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196850</wp:posOffset>
            </wp:positionH>
            <wp:positionV relativeFrom="page">
              <wp:posOffset>325755</wp:posOffset>
            </wp:positionV>
            <wp:extent cx="7154545"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4545" cy="2857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426720</wp:posOffset>
            </wp:positionV>
            <wp:extent cx="71545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4545" cy="6985"/>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146"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FORM 10-K</w:t>
      </w:r>
    </w:p>
    <w:p>
      <w:pPr>
        <w:spacing w:after="0" w:line="200" w:lineRule="exact"/>
        <w:rPr>
          <w:sz w:val="24"/>
          <w:szCs w:val="24"/>
          <w:color w:val="auto"/>
        </w:rPr>
      </w:pPr>
    </w:p>
    <w:p>
      <w:pPr>
        <w:ind w:left="10"/>
        <w:spacing w:after="0"/>
        <w:rPr>
          <w:sz w:val="20"/>
          <w:szCs w:val="20"/>
          <w:color w:val="auto"/>
        </w:rPr>
      </w:pPr>
      <w:r>
        <w:rPr>
          <w:rFonts w:ascii="Arial" w:cs="Arial" w:eastAsia="Arial" w:hAnsi="Arial"/>
          <w:sz w:val="15"/>
          <w:szCs w:val="15"/>
          <w:i w:val="1"/>
          <w:iCs w:val="1"/>
          <w:color w:val="auto"/>
        </w:rPr>
        <w:t>(Mark One)</w:t>
      </w:r>
    </w:p>
    <w:p>
      <w:pPr>
        <w:spacing w:after="0" w:line="15" w:lineRule="exact"/>
        <w:rPr>
          <w:sz w:val="24"/>
          <w:szCs w:val="24"/>
          <w:color w:val="auto"/>
        </w:rPr>
      </w:pPr>
    </w:p>
    <w:p>
      <w:pPr>
        <w:ind w:left="270" w:right="3640" w:hanging="270"/>
        <w:spacing w:after="0" w:line="253" w:lineRule="auto"/>
        <w:tabs>
          <w:tab w:leader="none" w:pos="27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5"/>
          <w:szCs w:val="15"/>
          <w:i w:val="1"/>
          <w:iCs w:val="1"/>
          <w:color w:val="auto"/>
        </w:rPr>
        <w:t>or</w:t>
      </w:r>
    </w:p>
    <w:p>
      <w:pPr>
        <w:spacing w:after="0" w:line="6" w:lineRule="exact"/>
        <w:rPr>
          <w:sz w:val="24"/>
          <w:szCs w:val="24"/>
          <w:color w:val="auto"/>
        </w:rPr>
      </w:pPr>
    </w:p>
    <w:p>
      <w:pPr>
        <w:ind w:left="270" w:right="3320" w:hanging="270"/>
        <w:spacing w:after="0" w:line="267" w:lineRule="auto"/>
        <w:tabs>
          <w:tab w:leader="none" w:pos="27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 For the transition period from _________ to _____________</w:t>
      </w:r>
    </w:p>
    <w:p>
      <w:pPr>
        <w:spacing w:after="0" w:line="149" w:lineRule="exact"/>
        <w:rPr>
          <w:sz w:val="24"/>
          <w:szCs w:val="24"/>
          <w:color w:val="auto"/>
        </w:rPr>
      </w:pPr>
    </w:p>
    <w:p>
      <w:pPr>
        <w:jc w:val="center"/>
        <w:ind w:right="-9"/>
        <w:spacing w:after="0"/>
        <w:rPr>
          <w:sz w:val="20"/>
          <w:szCs w:val="20"/>
          <w:color w:val="auto"/>
        </w:rPr>
      </w:pPr>
      <w:r>
        <w:rPr>
          <w:rFonts w:ascii="Arial" w:cs="Arial" w:eastAsia="Arial" w:hAnsi="Arial"/>
          <w:sz w:val="15"/>
          <w:szCs w:val="15"/>
          <w:i w:val="1"/>
          <w:iCs w:val="1"/>
          <w:color w:val="auto"/>
        </w:rPr>
        <w:t xml:space="preserve">Commission file number: </w:t>
      </w:r>
      <w:r>
        <w:rPr>
          <w:rFonts w:ascii="Arial" w:cs="Arial" w:eastAsia="Arial" w:hAnsi="Arial"/>
          <w:sz w:val="15"/>
          <w:szCs w:val="15"/>
          <w:b w:val="1"/>
          <w:bCs w:val="1"/>
          <w:color w:val="auto"/>
        </w:rPr>
        <w:t>001-38273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3347720</wp:posOffset>
            </wp:positionH>
            <wp:positionV relativeFrom="paragraph">
              <wp:posOffset>129540</wp:posOffset>
            </wp:positionV>
            <wp:extent cx="466725" cy="3162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6725" cy="316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ACM Research, Inc.</w:t>
      </w:r>
    </w:p>
    <w:p>
      <w:pPr>
        <w:spacing w:after="0" w:line="42" w:lineRule="exact"/>
        <w:rPr>
          <w:sz w:val="24"/>
          <w:szCs w:val="24"/>
          <w:color w:val="auto"/>
        </w:rPr>
      </w:pPr>
    </w:p>
    <w:p>
      <w:pPr>
        <w:jc w:val="center"/>
        <w:ind w:right="-9"/>
        <w:spacing w:after="0"/>
        <w:rPr>
          <w:sz w:val="20"/>
          <w:szCs w:val="20"/>
          <w:color w:val="auto"/>
        </w:rPr>
      </w:pPr>
      <w:r>
        <w:rPr>
          <w:rFonts w:ascii="Arial" w:cs="Arial" w:eastAsia="Arial" w:hAnsi="Arial"/>
          <w:sz w:val="15"/>
          <w:szCs w:val="15"/>
          <w:i w:val="1"/>
          <w:iCs w:val="1"/>
          <w:color w:val="auto"/>
        </w:rPr>
        <w:t>(Exact Name of Registrant as Specified in Its Charter)</w:t>
      </w:r>
    </w:p>
    <w:p>
      <w:pPr>
        <w:spacing w:after="0" w:line="174" w:lineRule="exact"/>
        <w:rPr>
          <w:sz w:val="24"/>
          <w:szCs w:val="24"/>
          <w:color w:val="auto"/>
        </w:rPr>
      </w:pPr>
    </w:p>
    <w:tbl>
      <w:tblPr>
        <w:tblLayout w:type="fixed"/>
        <w:tblInd w:w="10" w:type="dxa"/>
        <w:tblCellMar>
          <w:top w:w="0" w:type="dxa"/>
          <w:left w:w="0" w:type="dxa"/>
          <w:bottom w:w="0" w:type="dxa"/>
          <w:right w:w="0" w:type="dxa"/>
        </w:tblCellMar>
      </w:tblPr>
      <w:tr>
        <w:trPr>
          <w:trHeight w:val="185"/>
        </w:trPr>
        <w:tc>
          <w:tcPr>
            <w:tcW w:w="5180" w:type="dxa"/>
            <w:vAlign w:val="bottom"/>
            <w:gridSpan w:val="3"/>
          </w:tcPr>
          <w:p>
            <w:pPr>
              <w:jc w:val="center"/>
              <w:ind w:left="1845"/>
              <w:spacing w:after="0"/>
              <w:rPr>
                <w:sz w:val="20"/>
                <w:szCs w:val="20"/>
                <w:color w:val="auto"/>
              </w:rPr>
            </w:pPr>
            <w:r>
              <w:rPr>
                <w:rFonts w:ascii="Arial" w:cs="Arial" w:eastAsia="Arial" w:hAnsi="Arial"/>
                <w:sz w:val="15"/>
                <w:szCs w:val="15"/>
                <w:b w:val="1"/>
                <w:bCs w:val="1"/>
                <w:color w:val="auto"/>
                <w:w w:val="94"/>
              </w:rPr>
              <w:t>Delaware</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40" w:type="dxa"/>
            <w:vAlign w:val="bottom"/>
          </w:tcPr>
          <w:p>
            <w:pPr>
              <w:jc w:val="right"/>
              <w:ind w:right="1605"/>
              <w:spacing w:after="0"/>
              <w:rPr>
                <w:sz w:val="20"/>
                <w:szCs w:val="20"/>
                <w:color w:val="auto"/>
              </w:rPr>
            </w:pPr>
            <w:r>
              <w:rPr>
                <w:rFonts w:ascii="Arial" w:cs="Arial" w:eastAsia="Arial" w:hAnsi="Arial"/>
                <w:sz w:val="15"/>
                <w:szCs w:val="15"/>
                <w:b w:val="1"/>
                <w:bCs w:val="1"/>
                <w:color w:val="auto"/>
              </w:rPr>
              <w:t>94-3290283</w:t>
            </w:r>
          </w:p>
        </w:tc>
      </w:tr>
      <w:tr>
        <w:trPr>
          <w:trHeight w:val="190"/>
        </w:trPr>
        <w:tc>
          <w:tcPr>
            <w:tcW w:w="7820" w:type="dxa"/>
            <w:vAlign w:val="bottom"/>
            <w:gridSpan w:val="6"/>
          </w:tcPr>
          <w:p>
            <w:pPr>
              <w:jc w:val="center"/>
              <w:ind w:right="700"/>
              <w:spacing w:after="0"/>
              <w:rPr>
                <w:sz w:val="20"/>
                <w:szCs w:val="20"/>
                <w:color w:val="auto"/>
              </w:rPr>
            </w:pPr>
            <w:r>
              <w:rPr>
                <w:rFonts w:ascii="Arial" w:cs="Arial" w:eastAsia="Arial" w:hAnsi="Arial"/>
                <w:sz w:val="15"/>
                <w:szCs w:val="15"/>
                <w:i w:val="1"/>
                <w:iCs w:val="1"/>
                <w:color w:val="auto"/>
                <w:w w:val="94"/>
              </w:rPr>
              <w:t>(State or Other Jurisdiction of Incorporation or Organization)</w:t>
            </w:r>
          </w:p>
        </w:tc>
        <w:tc>
          <w:tcPr>
            <w:tcW w:w="3440" w:type="dxa"/>
            <w:vAlign w:val="bottom"/>
          </w:tcPr>
          <w:p>
            <w:pPr>
              <w:jc w:val="center"/>
              <w:ind w:right="565"/>
              <w:spacing w:after="0"/>
              <w:rPr>
                <w:sz w:val="20"/>
                <w:szCs w:val="20"/>
                <w:color w:val="auto"/>
              </w:rPr>
            </w:pPr>
            <w:r>
              <w:rPr>
                <w:rFonts w:ascii="Arial" w:cs="Arial" w:eastAsia="Arial" w:hAnsi="Arial"/>
                <w:sz w:val="15"/>
                <w:szCs w:val="15"/>
                <w:i w:val="1"/>
                <w:iCs w:val="1"/>
                <w:color w:val="auto"/>
                <w:w w:val="93"/>
              </w:rPr>
              <w:t>(I.R.S. Employer Identification No.)</w:t>
            </w:r>
          </w:p>
        </w:tc>
      </w:tr>
      <w:tr>
        <w:trPr>
          <w:trHeight w:val="353"/>
        </w:trPr>
        <w:tc>
          <w:tcPr>
            <w:tcW w:w="5180" w:type="dxa"/>
            <w:vAlign w:val="bottom"/>
            <w:gridSpan w:val="3"/>
          </w:tcPr>
          <w:p>
            <w:pPr>
              <w:jc w:val="center"/>
              <w:ind w:left="1845"/>
              <w:spacing w:after="0"/>
              <w:rPr>
                <w:sz w:val="20"/>
                <w:szCs w:val="20"/>
                <w:color w:val="auto"/>
              </w:rPr>
            </w:pPr>
            <w:r>
              <w:rPr>
                <w:rFonts w:ascii="Arial" w:cs="Arial" w:eastAsia="Arial" w:hAnsi="Arial"/>
                <w:sz w:val="15"/>
                <w:szCs w:val="15"/>
                <w:b w:val="1"/>
                <w:bCs w:val="1"/>
                <w:color w:val="auto"/>
                <w:w w:val="91"/>
              </w:rPr>
              <w:t>42307 Osgood Road, Suite I, Fremont, California</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Pr>
          <w:p>
            <w:pPr>
              <w:jc w:val="right"/>
              <w:ind w:right="1785"/>
              <w:spacing w:after="0"/>
              <w:rPr>
                <w:sz w:val="20"/>
                <w:szCs w:val="20"/>
                <w:color w:val="auto"/>
              </w:rPr>
            </w:pPr>
            <w:r>
              <w:rPr>
                <w:rFonts w:ascii="Arial" w:cs="Arial" w:eastAsia="Arial" w:hAnsi="Arial"/>
                <w:sz w:val="15"/>
                <w:szCs w:val="15"/>
                <w:b w:val="1"/>
                <w:bCs w:val="1"/>
                <w:color w:val="auto"/>
              </w:rPr>
              <w:t>94539</w:t>
            </w:r>
          </w:p>
        </w:tc>
      </w:tr>
      <w:tr>
        <w:trPr>
          <w:trHeight w:val="190"/>
        </w:trPr>
        <w:tc>
          <w:tcPr>
            <w:tcW w:w="5180" w:type="dxa"/>
            <w:vAlign w:val="bottom"/>
            <w:gridSpan w:val="3"/>
          </w:tcPr>
          <w:p>
            <w:pPr>
              <w:jc w:val="center"/>
              <w:ind w:left="1845"/>
              <w:spacing w:after="0"/>
              <w:rPr>
                <w:sz w:val="20"/>
                <w:szCs w:val="20"/>
                <w:color w:val="auto"/>
              </w:rPr>
            </w:pPr>
            <w:r>
              <w:rPr>
                <w:rFonts w:ascii="Arial" w:cs="Arial" w:eastAsia="Arial" w:hAnsi="Arial"/>
                <w:sz w:val="15"/>
                <w:szCs w:val="15"/>
                <w:i w:val="1"/>
                <w:iCs w:val="1"/>
                <w:color w:val="auto"/>
                <w:w w:val="91"/>
              </w:rPr>
              <w:t>(Address of Principal Executive Offices)</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40" w:type="dxa"/>
            <w:vAlign w:val="bottom"/>
          </w:tcPr>
          <w:p>
            <w:pPr>
              <w:jc w:val="center"/>
              <w:ind w:right="545"/>
              <w:spacing w:after="0"/>
              <w:rPr>
                <w:sz w:val="20"/>
                <w:szCs w:val="20"/>
                <w:color w:val="auto"/>
              </w:rPr>
            </w:pPr>
            <w:r>
              <w:rPr>
                <w:rFonts w:ascii="Arial" w:cs="Arial" w:eastAsia="Arial" w:hAnsi="Arial"/>
                <w:sz w:val="15"/>
                <w:szCs w:val="15"/>
                <w:i w:val="1"/>
                <w:iCs w:val="1"/>
                <w:color w:val="auto"/>
                <w:w w:val="93"/>
              </w:rPr>
              <w:t>(Zip Code)</w:t>
            </w:r>
          </w:p>
        </w:tc>
      </w:tr>
      <w:tr>
        <w:trPr>
          <w:trHeight w:val="362"/>
        </w:trPr>
        <w:tc>
          <w:tcPr>
            <w:tcW w:w="7820" w:type="dxa"/>
            <w:vAlign w:val="bottom"/>
            <w:gridSpan w:val="6"/>
          </w:tcPr>
          <w:p>
            <w:pPr>
              <w:jc w:val="center"/>
              <w:ind w:left="3345"/>
              <w:spacing w:after="0"/>
              <w:rPr>
                <w:sz w:val="20"/>
                <w:szCs w:val="20"/>
                <w:color w:val="auto"/>
              </w:rPr>
            </w:pPr>
            <w:r>
              <w:rPr>
                <w:rFonts w:ascii="Arial" w:cs="Arial" w:eastAsia="Arial" w:hAnsi="Arial"/>
                <w:sz w:val="15"/>
                <w:szCs w:val="15"/>
                <w:i w:val="1"/>
                <w:iCs w:val="1"/>
                <w:color w:val="auto"/>
                <w:w w:val="90"/>
              </w:rPr>
              <w:t xml:space="preserve">Registrant’s telephone number, including area code: </w:t>
            </w:r>
            <w:r>
              <w:rPr>
                <w:rFonts w:ascii="Arial" w:cs="Arial" w:eastAsia="Arial" w:hAnsi="Arial"/>
                <w:sz w:val="15"/>
                <w:szCs w:val="15"/>
                <w:b w:val="1"/>
                <w:bCs w:val="1"/>
                <w:color w:val="auto"/>
                <w:w w:val="90"/>
              </w:rPr>
              <w:t>(510) 445-3700</w:t>
            </w:r>
          </w:p>
        </w:tc>
        <w:tc>
          <w:tcPr>
            <w:tcW w:w="3440" w:type="dxa"/>
            <w:vAlign w:val="bottom"/>
          </w:tcPr>
          <w:p>
            <w:pPr>
              <w:spacing w:after="0"/>
              <w:rPr>
                <w:sz w:val="24"/>
                <w:szCs w:val="24"/>
                <w:color w:val="auto"/>
              </w:rPr>
            </w:pPr>
          </w:p>
        </w:tc>
      </w:tr>
      <w:tr>
        <w:trPr>
          <w:trHeight w:val="362"/>
        </w:trPr>
        <w:tc>
          <w:tcPr>
            <w:tcW w:w="7820" w:type="dxa"/>
            <w:vAlign w:val="bottom"/>
            <w:gridSpan w:val="6"/>
          </w:tcPr>
          <w:p>
            <w:pPr>
              <w:jc w:val="center"/>
              <w:ind w:left="3345"/>
              <w:spacing w:after="0"/>
              <w:rPr>
                <w:sz w:val="20"/>
                <w:szCs w:val="20"/>
                <w:color w:val="auto"/>
              </w:rPr>
            </w:pPr>
            <w:r>
              <w:rPr>
                <w:rFonts w:ascii="Arial" w:cs="Arial" w:eastAsia="Arial" w:hAnsi="Arial"/>
                <w:sz w:val="15"/>
                <w:szCs w:val="15"/>
                <w:i w:val="1"/>
                <w:iCs w:val="1"/>
                <w:color w:val="auto"/>
                <w:w w:val="91"/>
              </w:rPr>
              <w:t>Securities registered pursuant to Section 12(b) of the Act:</w:t>
            </w:r>
          </w:p>
        </w:tc>
        <w:tc>
          <w:tcPr>
            <w:tcW w:w="3440" w:type="dxa"/>
            <w:vAlign w:val="bottom"/>
          </w:tcPr>
          <w:p>
            <w:pPr>
              <w:spacing w:after="0"/>
              <w:rPr>
                <w:sz w:val="24"/>
                <w:szCs w:val="24"/>
                <w:color w:val="auto"/>
              </w:rPr>
            </w:pPr>
          </w:p>
        </w:tc>
      </w:tr>
      <w:tr>
        <w:trPr>
          <w:trHeight w:val="366"/>
        </w:trPr>
        <w:tc>
          <w:tcPr>
            <w:tcW w:w="5180" w:type="dxa"/>
            <w:vAlign w:val="bottom"/>
            <w:gridSpan w:val="3"/>
          </w:tcPr>
          <w:p>
            <w:pPr>
              <w:jc w:val="center"/>
              <w:ind w:right="1100"/>
              <w:spacing w:after="0"/>
              <w:rPr>
                <w:sz w:val="20"/>
                <w:szCs w:val="20"/>
                <w:color w:val="auto"/>
              </w:rPr>
            </w:pPr>
            <w:r>
              <w:rPr>
                <w:rFonts w:ascii="Arial" w:cs="Arial" w:eastAsia="Arial" w:hAnsi="Arial"/>
                <w:sz w:val="15"/>
                <w:szCs w:val="15"/>
                <w:color w:val="auto"/>
                <w:w w:val="92"/>
              </w:rPr>
              <w:t>Title of Each Class</w:t>
            </w:r>
          </w:p>
        </w:tc>
        <w:tc>
          <w:tcPr>
            <w:tcW w:w="2640" w:type="dxa"/>
            <w:vAlign w:val="bottom"/>
            <w:gridSpan w:val="3"/>
          </w:tcPr>
          <w:p>
            <w:pPr>
              <w:jc w:val="center"/>
              <w:ind w:right="1540"/>
              <w:spacing w:after="0"/>
              <w:rPr>
                <w:sz w:val="20"/>
                <w:szCs w:val="20"/>
                <w:color w:val="auto"/>
              </w:rPr>
            </w:pPr>
            <w:r>
              <w:rPr>
                <w:rFonts w:ascii="Arial" w:cs="Arial" w:eastAsia="Arial" w:hAnsi="Arial"/>
                <w:sz w:val="15"/>
                <w:szCs w:val="15"/>
                <w:color w:val="auto"/>
                <w:w w:val="93"/>
              </w:rPr>
              <w:t>Trading Symbol</w:t>
            </w:r>
          </w:p>
        </w:tc>
        <w:tc>
          <w:tcPr>
            <w:tcW w:w="3440" w:type="dxa"/>
            <w:vAlign w:val="bottom"/>
          </w:tcPr>
          <w:p>
            <w:pPr>
              <w:jc w:val="center"/>
              <w:ind w:right="345"/>
              <w:spacing w:after="0"/>
              <w:rPr>
                <w:sz w:val="20"/>
                <w:szCs w:val="20"/>
                <w:color w:val="auto"/>
              </w:rPr>
            </w:pPr>
            <w:r>
              <w:rPr>
                <w:rFonts w:ascii="Arial" w:cs="Arial" w:eastAsia="Arial" w:hAnsi="Arial"/>
                <w:sz w:val="15"/>
                <w:szCs w:val="15"/>
                <w:color w:val="auto"/>
                <w:w w:val="90"/>
              </w:rPr>
              <w:t>Name of Each Exchange on which Registered</w:t>
            </w:r>
          </w:p>
        </w:tc>
      </w:tr>
      <w:tr>
        <w:trPr>
          <w:trHeight w:val="194"/>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Class A Common Stock, $0.0001 par value</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center"/>
              <w:ind w:right="925"/>
              <w:spacing w:after="0"/>
              <w:rPr>
                <w:sz w:val="20"/>
                <w:szCs w:val="20"/>
                <w:color w:val="auto"/>
              </w:rPr>
            </w:pPr>
            <w:r>
              <w:rPr>
                <w:rFonts w:ascii="Arial" w:cs="Arial" w:eastAsia="Arial" w:hAnsi="Arial"/>
                <w:sz w:val="15"/>
                <w:szCs w:val="15"/>
                <w:b w:val="1"/>
                <w:bCs w:val="1"/>
                <w:color w:val="auto"/>
              </w:rPr>
              <w:t>ACMR</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tcPr>
          <w:p>
            <w:pPr>
              <w:jc w:val="center"/>
              <w:ind w:right="345"/>
              <w:spacing w:after="0"/>
              <w:rPr>
                <w:sz w:val="20"/>
                <w:szCs w:val="20"/>
                <w:color w:val="auto"/>
              </w:rPr>
            </w:pPr>
            <w:r>
              <w:rPr>
                <w:rFonts w:ascii="Arial" w:cs="Arial" w:eastAsia="Arial" w:hAnsi="Arial"/>
                <w:sz w:val="15"/>
                <w:szCs w:val="15"/>
                <w:b w:val="1"/>
                <w:bCs w:val="1"/>
                <w:color w:val="auto"/>
                <w:w w:val="96"/>
              </w:rPr>
              <w:t>The NASDAQ Stock Market LLC</w:t>
            </w:r>
          </w:p>
        </w:tc>
      </w:tr>
    </w:tbl>
    <w:p>
      <w:pPr>
        <w:spacing w:after="0" w:line="153" w:lineRule="exact"/>
        <w:rPr>
          <w:sz w:val="24"/>
          <w:szCs w:val="24"/>
          <w:color w:val="auto"/>
        </w:rPr>
      </w:pPr>
    </w:p>
    <w:p>
      <w:pPr>
        <w:jc w:val="center"/>
        <w:ind w:right="-9"/>
        <w:spacing w:after="0"/>
        <w:rPr>
          <w:sz w:val="20"/>
          <w:szCs w:val="20"/>
          <w:color w:val="auto"/>
        </w:rPr>
      </w:pPr>
      <w:r>
        <w:rPr>
          <w:rFonts w:ascii="Arial" w:cs="Arial" w:eastAsia="Arial" w:hAnsi="Arial"/>
          <w:sz w:val="15"/>
          <w:szCs w:val="15"/>
          <w:i w:val="1"/>
          <w:iCs w:val="1"/>
          <w:color w:val="auto"/>
        </w:rPr>
        <w:t xml:space="preserve">Securities registered pursuant to Section 12(g) of the Act: </w:t>
      </w:r>
      <w:r>
        <w:rPr>
          <w:rFonts w:ascii="Arial" w:cs="Arial" w:eastAsia="Arial" w:hAnsi="Arial"/>
          <w:sz w:val="15"/>
          <w:szCs w:val="15"/>
          <w:b w:val="1"/>
          <w:bCs w:val="1"/>
          <w:color w:val="auto"/>
        </w:rPr>
        <w:t>None.</w:t>
      </w:r>
    </w:p>
    <w:p>
      <w:pPr>
        <w:spacing w:after="0" w:line="164" w:lineRule="exact"/>
        <w:rPr>
          <w:sz w:val="24"/>
          <w:szCs w:val="24"/>
          <w:color w:val="auto"/>
        </w:rPr>
      </w:pPr>
    </w:p>
    <w:p>
      <w:pPr>
        <w:ind w:left="10"/>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0" w:lineRule="exact"/>
        <w:rPr>
          <w:sz w:val="24"/>
          <w:szCs w:val="24"/>
          <w:color w:val="auto"/>
        </w:rPr>
      </w:pPr>
    </w:p>
    <w:p>
      <w:pPr>
        <w:ind w:left="10"/>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9" w:lineRule="exact"/>
        <w:rPr>
          <w:sz w:val="24"/>
          <w:szCs w:val="24"/>
          <w:color w:val="auto"/>
        </w:rPr>
      </w:pPr>
    </w:p>
    <w:p>
      <w:pPr>
        <w:jc w:val="both"/>
        <w:ind w:left="10"/>
        <w:spacing w:after="0" w:line="19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jc w:val="both"/>
        <w:ind w:left="10" w:right="20"/>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5" w:lineRule="exact"/>
        <w:rPr>
          <w:sz w:val="24"/>
          <w:szCs w:val="24"/>
          <w:color w:val="auto"/>
        </w:rPr>
      </w:pPr>
    </w:p>
    <w:p>
      <w:pPr>
        <w:jc w:val="both"/>
        <w:ind w:left="10" w:right="20"/>
        <w:spacing w:after="0" w:line="27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570" w:type="dxa"/>
        <w:tblCellMar>
          <w:top w:w="0" w:type="dxa"/>
          <w:left w:w="0" w:type="dxa"/>
          <w:bottom w:w="0" w:type="dxa"/>
          <w:right w:w="0" w:type="dxa"/>
        </w:tblCellMar>
      </w:tblPr>
      <w:tr>
        <w:trPr>
          <w:trHeight w:val="181"/>
        </w:trPr>
        <w:tc>
          <w:tcPr>
            <w:tcW w:w="1380" w:type="dxa"/>
            <w:vAlign w:val="bottom"/>
          </w:tcPr>
          <w:p>
            <w:pPr>
              <w:spacing w:after="0"/>
              <w:rPr>
                <w:sz w:val="20"/>
                <w:szCs w:val="20"/>
                <w:color w:val="auto"/>
              </w:rPr>
            </w:pPr>
            <w:r>
              <w:rPr>
                <w:rFonts w:ascii="Arial" w:cs="Arial" w:eastAsia="Arial" w:hAnsi="Arial"/>
                <w:sz w:val="15"/>
                <w:szCs w:val="15"/>
                <w:color w:val="auto"/>
                <w:w w:val="91"/>
              </w:rPr>
              <w:t>Large accelerated filer</w:t>
            </w:r>
          </w:p>
        </w:tc>
        <w:tc>
          <w:tcPr>
            <w:tcW w:w="30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2880"/>
              <w:spacing w:after="0"/>
              <w:rPr>
                <w:sz w:val="20"/>
                <w:szCs w:val="20"/>
                <w:color w:val="auto"/>
              </w:rPr>
            </w:pPr>
            <w:r>
              <w:rPr>
                <w:rFonts w:ascii="Arial" w:cs="Arial" w:eastAsia="Arial" w:hAnsi="Arial"/>
                <w:sz w:val="15"/>
                <w:szCs w:val="15"/>
                <w:color w:val="auto"/>
              </w:rPr>
              <w:t>Accelerated filer</w:t>
            </w:r>
          </w:p>
        </w:tc>
        <w:tc>
          <w:tcPr>
            <w:tcW w:w="680" w:type="dxa"/>
            <w:vAlign w:val="bottom"/>
          </w:tcPr>
          <w:p>
            <w:pPr>
              <w:ind w:left="5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1"/>
        </w:trPr>
        <w:tc>
          <w:tcPr>
            <w:tcW w:w="1380" w:type="dxa"/>
            <w:vAlign w:val="bottom"/>
          </w:tcPr>
          <w:p>
            <w:pPr>
              <w:spacing w:after="0"/>
              <w:rPr>
                <w:sz w:val="20"/>
                <w:szCs w:val="20"/>
                <w:color w:val="auto"/>
              </w:rPr>
            </w:pPr>
            <w:r>
              <w:rPr>
                <w:rFonts w:ascii="Arial" w:cs="Arial" w:eastAsia="Arial" w:hAnsi="Arial"/>
                <w:sz w:val="15"/>
                <w:szCs w:val="15"/>
                <w:color w:val="auto"/>
                <w:w w:val="98"/>
              </w:rPr>
              <w:t>Non-accelerated filer</w:t>
            </w:r>
          </w:p>
        </w:tc>
        <w:tc>
          <w:tcPr>
            <w:tcW w:w="30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2880"/>
              <w:spacing w:after="0"/>
              <w:rPr>
                <w:sz w:val="20"/>
                <w:szCs w:val="20"/>
                <w:color w:val="auto"/>
              </w:rPr>
            </w:pPr>
            <w:r>
              <w:rPr>
                <w:rFonts w:ascii="Arial" w:cs="Arial" w:eastAsia="Arial" w:hAnsi="Arial"/>
                <w:sz w:val="15"/>
                <w:szCs w:val="15"/>
                <w:color w:val="auto"/>
              </w:rPr>
              <w:t>Smaller reporting company</w:t>
            </w:r>
          </w:p>
        </w:tc>
        <w:tc>
          <w:tcPr>
            <w:tcW w:w="680" w:type="dxa"/>
            <w:vAlign w:val="bottom"/>
          </w:tcPr>
          <w:p>
            <w:pPr>
              <w:ind w:left="5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8"/>
        </w:trPr>
        <w:tc>
          <w:tcPr>
            <w:tcW w:w="1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80" w:type="dxa"/>
            <w:vAlign w:val="bottom"/>
          </w:tcPr>
          <w:p>
            <w:pPr>
              <w:ind w:left="2880"/>
              <w:spacing w:after="0"/>
              <w:rPr>
                <w:sz w:val="20"/>
                <w:szCs w:val="20"/>
                <w:color w:val="auto"/>
              </w:rPr>
            </w:pPr>
            <w:r>
              <w:rPr>
                <w:rFonts w:ascii="Arial" w:cs="Arial" w:eastAsia="Arial" w:hAnsi="Arial"/>
                <w:sz w:val="15"/>
                <w:szCs w:val="15"/>
                <w:color w:val="auto"/>
              </w:rPr>
              <w:t>Emerging growth company</w:t>
            </w:r>
          </w:p>
        </w:tc>
        <w:tc>
          <w:tcPr>
            <w:tcW w:w="680" w:type="dxa"/>
            <w:vAlign w:val="bottom"/>
          </w:tcPr>
          <w:p>
            <w:pPr>
              <w:ind w:left="5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4" w:lineRule="exact"/>
        <w:rPr>
          <w:sz w:val="24"/>
          <w:szCs w:val="24"/>
          <w:color w:val="auto"/>
        </w:rPr>
      </w:pPr>
    </w:p>
    <w:p>
      <w:pPr>
        <w:ind w:left="10"/>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55" w:lineRule="exact"/>
        <w:rPr>
          <w:sz w:val="24"/>
          <w:szCs w:val="24"/>
          <w:color w:val="auto"/>
        </w:rPr>
      </w:pPr>
    </w:p>
    <w:p>
      <w:pPr>
        <w:ind w:left="10"/>
        <w:spacing w:after="0" w:line="195"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25" w:lineRule="exact"/>
        <w:rPr>
          <w:sz w:val="24"/>
          <w:szCs w:val="24"/>
          <w:color w:val="auto"/>
        </w:rPr>
      </w:pPr>
    </w:p>
    <w:p>
      <w:pPr>
        <w:ind w:left="1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9" w:lineRule="exact"/>
        <w:rPr>
          <w:sz w:val="24"/>
          <w:szCs w:val="24"/>
          <w:color w:val="auto"/>
        </w:rPr>
      </w:pPr>
    </w:p>
    <w:p>
      <w:pPr>
        <w:ind w:left="10"/>
        <w:spacing w:after="0" w:line="356" w:lineRule="auto"/>
        <w:rPr>
          <w:sz w:val="20"/>
          <w:szCs w:val="20"/>
          <w:color w:val="auto"/>
        </w:rPr>
      </w:pPr>
      <w:r>
        <w:rPr>
          <w:rFonts w:ascii="Arial" w:cs="Arial" w:eastAsia="Arial" w:hAnsi="Arial"/>
          <w:sz w:val="13"/>
          <w:szCs w:val="13"/>
          <w:color w:val="auto"/>
        </w:rPr>
        <w:t>The aggregate market value on June 30, 2021 (the last business day of the registrant’s most recently completed second quarter) of the voting common equity held by non-affiliates of the registrant, computed by reference to the $102.22 closing price of the stock on that date, was $1,980.6 million. The registrant does not have non-voting common equity outstanding.</w:t>
      </w:r>
    </w:p>
    <w:p>
      <w:pPr>
        <w:spacing w:after="0" w:line="99" w:lineRule="exact"/>
        <w:rPr>
          <w:sz w:val="24"/>
          <w:szCs w:val="24"/>
          <w:color w:val="auto"/>
        </w:rPr>
      </w:pPr>
    </w:p>
    <w:p>
      <w:pPr>
        <w:ind w:left="10"/>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the latest practicable date.</w:t>
      </w:r>
    </w:p>
    <w:p>
      <w:pPr>
        <w:spacing w:after="0" w:line="190" w:lineRule="exact"/>
        <w:rPr>
          <w:sz w:val="24"/>
          <w:szCs w:val="24"/>
          <w:color w:val="auto"/>
        </w:rPr>
      </w:pPr>
    </w:p>
    <w:tbl>
      <w:tblPr>
        <w:tblLayout w:type="fixed"/>
        <w:tblInd w:w="1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360" w:type="dxa"/>
            <w:vAlign w:val="bottom"/>
            <w:tcBorders>
              <w:bottom w:val="single" w:sz="8" w:color="auto"/>
            </w:tcBorders>
          </w:tcPr>
          <w:p>
            <w:pPr>
              <w:ind w:left="2500"/>
              <w:spacing w:after="0"/>
              <w:rPr>
                <w:sz w:val="20"/>
                <w:szCs w:val="20"/>
                <w:color w:val="auto"/>
              </w:rPr>
            </w:pPr>
            <w:r>
              <w:rPr>
                <w:rFonts w:ascii="Arial" w:cs="Arial" w:eastAsia="Arial" w:hAnsi="Arial"/>
                <w:sz w:val="15"/>
                <w:szCs w:val="15"/>
                <w:color w:val="auto"/>
              </w:rPr>
              <w:t>Class</w:t>
            </w:r>
          </w:p>
        </w:tc>
        <w:tc>
          <w:tcPr>
            <w:tcW w:w="500" w:type="dxa"/>
            <w:vAlign w:val="bottom"/>
          </w:tcPr>
          <w:p>
            <w:pPr>
              <w:spacing w:after="0"/>
              <w:rPr>
                <w:sz w:val="16"/>
                <w:szCs w:val="16"/>
                <w:color w:val="auto"/>
              </w:rPr>
            </w:pPr>
          </w:p>
        </w:tc>
        <w:tc>
          <w:tcPr>
            <w:tcW w:w="5380" w:type="dxa"/>
            <w:vAlign w:val="bottom"/>
            <w:tcBorders>
              <w:bottom w:val="single" w:sz="8" w:color="auto"/>
            </w:tcBorders>
          </w:tcPr>
          <w:p>
            <w:pPr>
              <w:ind w:left="1760"/>
              <w:spacing w:after="0"/>
              <w:rPr>
                <w:sz w:val="20"/>
                <w:szCs w:val="20"/>
                <w:color w:val="auto"/>
              </w:rPr>
            </w:pPr>
            <w:r>
              <w:rPr>
                <w:rFonts w:ascii="Arial" w:cs="Arial" w:eastAsia="Arial" w:hAnsi="Arial"/>
                <w:sz w:val="15"/>
                <w:szCs w:val="15"/>
                <w:color w:val="auto"/>
              </w:rPr>
              <w:t>Number of Shares Outstanding</w:t>
            </w:r>
          </w:p>
        </w:tc>
      </w:tr>
      <w:tr>
        <w:trPr>
          <w:trHeight w:val="166"/>
        </w:trPr>
        <w:tc>
          <w:tcPr>
            <w:tcW w:w="20" w:type="dxa"/>
            <w:vAlign w:val="bottom"/>
          </w:tcPr>
          <w:p>
            <w:pPr>
              <w:spacing w:after="0"/>
              <w:rPr>
                <w:sz w:val="14"/>
                <w:szCs w:val="14"/>
                <w:color w:val="auto"/>
              </w:rPr>
            </w:pPr>
          </w:p>
        </w:tc>
        <w:tc>
          <w:tcPr>
            <w:tcW w:w="5360" w:type="dxa"/>
            <w:vAlign w:val="bottom"/>
          </w:tcPr>
          <w:p>
            <w:pPr>
              <w:spacing w:after="0" w:line="167" w:lineRule="exact"/>
              <w:rPr>
                <w:sz w:val="20"/>
                <w:szCs w:val="20"/>
                <w:color w:val="auto"/>
              </w:rPr>
            </w:pPr>
            <w:r>
              <w:rPr>
                <w:rFonts w:ascii="Arial" w:cs="Arial" w:eastAsia="Arial" w:hAnsi="Arial"/>
                <w:sz w:val="15"/>
                <w:szCs w:val="15"/>
                <w:b w:val="1"/>
                <w:bCs w:val="1"/>
                <w:color w:val="auto"/>
              </w:rPr>
              <w:t>Class A Common Stock, $0.0001 par value</w:t>
            </w:r>
          </w:p>
        </w:tc>
        <w:tc>
          <w:tcPr>
            <w:tcW w:w="500" w:type="dxa"/>
            <w:vAlign w:val="bottom"/>
          </w:tcPr>
          <w:p>
            <w:pPr>
              <w:spacing w:after="0"/>
              <w:rPr>
                <w:sz w:val="14"/>
                <w:szCs w:val="14"/>
                <w:color w:val="auto"/>
              </w:rPr>
            </w:pPr>
          </w:p>
        </w:tc>
        <w:tc>
          <w:tcPr>
            <w:tcW w:w="5380" w:type="dxa"/>
            <w:vAlign w:val="bottom"/>
          </w:tcPr>
          <w:p>
            <w:pPr>
              <w:spacing w:after="0" w:line="167" w:lineRule="exact"/>
              <w:rPr>
                <w:sz w:val="20"/>
                <w:szCs w:val="20"/>
                <w:color w:val="auto"/>
              </w:rPr>
            </w:pPr>
            <w:r>
              <w:rPr>
                <w:rFonts w:ascii="Arial" w:cs="Arial" w:eastAsia="Arial" w:hAnsi="Arial"/>
                <w:sz w:val="15"/>
                <w:szCs w:val="15"/>
                <w:b w:val="1"/>
                <w:bCs w:val="1"/>
                <w:color w:val="auto"/>
              </w:rPr>
              <w:t>17,883,192 shares outstanding as of February 23, 2022</w:t>
            </w:r>
          </w:p>
        </w:tc>
      </w:tr>
      <w:tr>
        <w:trPr>
          <w:trHeight w:val="194"/>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Class B Common Stock, $0.0001 par value</w:t>
            </w:r>
          </w:p>
        </w:tc>
        <w:tc>
          <w:tcPr>
            <w:tcW w:w="50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Arial" w:cs="Arial" w:eastAsia="Arial" w:hAnsi="Arial"/>
                <w:sz w:val="15"/>
                <w:szCs w:val="15"/>
                <w:b w:val="1"/>
                <w:bCs w:val="1"/>
                <w:color w:val="auto"/>
              </w:rPr>
              <w:t>1,695,604 shares outstanding as of February 23, 2022</w:t>
            </w:r>
          </w:p>
        </w:tc>
      </w:tr>
    </w:tbl>
    <w:p>
      <w:pPr>
        <w:spacing w:after="0" w:line="168" w:lineRule="exact"/>
        <w:rPr>
          <w:sz w:val="24"/>
          <w:szCs w:val="24"/>
          <w:color w:val="auto"/>
        </w:rPr>
      </w:pPr>
    </w:p>
    <w:p>
      <w:pPr>
        <w:jc w:val="center"/>
        <w:ind w:right="-9"/>
        <w:spacing w:after="0"/>
        <w:rPr>
          <w:sz w:val="20"/>
          <w:szCs w:val="20"/>
          <w:color w:val="auto"/>
        </w:rPr>
      </w:pPr>
      <w:r>
        <w:rPr>
          <w:rFonts w:ascii="Arial" w:cs="Arial" w:eastAsia="Arial" w:hAnsi="Arial"/>
          <w:sz w:val="15"/>
          <w:szCs w:val="15"/>
          <w:b w:val="1"/>
          <w:bCs w:val="1"/>
          <w:color w:val="auto"/>
        </w:rPr>
        <w:t>Documents Incorporated By Reference</w:t>
      </w:r>
    </w:p>
    <w:p>
      <w:pPr>
        <w:spacing w:after="0" w:line="22" w:lineRule="exact"/>
        <w:rPr>
          <w:sz w:val="24"/>
          <w:szCs w:val="24"/>
          <w:color w:val="auto"/>
        </w:rPr>
      </w:pPr>
    </w:p>
    <w:p>
      <w:pPr>
        <w:jc w:val="both"/>
        <w:ind w:left="10"/>
        <w:spacing w:after="0" w:line="263" w:lineRule="auto"/>
        <w:rPr>
          <w:sz w:val="20"/>
          <w:szCs w:val="20"/>
          <w:color w:val="auto"/>
        </w:rPr>
      </w:pPr>
      <w:r>
        <w:rPr>
          <w:rFonts w:ascii="Arial" w:cs="Arial" w:eastAsia="Arial" w:hAnsi="Arial"/>
          <w:sz w:val="15"/>
          <w:szCs w:val="15"/>
          <w:color w:val="auto"/>
        </w:rPr>
        <w:t>The registrant intends to file a proxy statement pursuant to Regulation 14A within 120 days of the end of the fiscal year ended December 31, 2021. Portions of such proxy statement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545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45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227965</wp:posOffset>
            </wp:positionV>
            <wp:extent cx="7154545"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454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356870</wp:posOffset>
            </wp:positionV>
            <wp:extent cx="715454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77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40" w:type="dxa"/>
            <w:vAlign w:val="bottom"/>
            <w:gridSpan w:val="5"/>
          </w:tcPr>
          <w:p>
            <w:pPr>
              <w:jc w:val="center"/>
              <w:ind w:right="2800"/>
              <w:spacing w:after="0"/>
              <w:rPr>
                <w:sz w:val="20"/>
                <w:szCs w:val="20"/>
                <w:color w:val="auto"/>
              </w:rPr>
            </w:pPr>
            <w:r>
              <w:rPr>
                <w:rFonts w:ascii="Arial" w:cs="Arial" w:eastAsia="Arial" w:hAnsi="Arial"/>
                <w:sz w:val="15"/>
                <w:szCs w:val="15"/>
                <w:b w:val="1"/>
                <w:bCs w:val="1"/>
                <w:color w:val="auto"/>
              </w:rPr>
              <w:t>TABLE OF CONTENTS</w:t>
            </w:r>
          </w:p>
        </w:tc>
        <w:tc>
          <w:tcPr>
            <w:tcW w:w="1860" w:type="dxa"/>
            <w:vAlign w:val="bottom"/>
          </w:tcPr>
          <w:p>
            <w:pPr>
              <w:spacing w:after="0"/>
              <w:rPr>
                <w:sz w:val="16"/>
                <w:szCs w:val="16"/>
                <w:color w:val="auto"/>
              </w:rPr>
            </w:pPr>
          </w:p>
        </w:tc>
      </w:tr>
      <w:tr>
        <w:trPr>
          <w:trHeight w:val="182"/>
        </w:trPr>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1"/>
        </w:trPr>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740" w:type="dxa"/>
            <w:vAlign w:val="bottom"/>
            <w:gridSpan w:val="5"/>
            <w:shd w:val="clear" w:color="auto" w:fill="CCEEFF"/>
          </w:tcPr>
          <w:p>
            <w:pPr>
              <w:jc w:val="center"/>
              <w:ind w:right="2820"/>
              <w:spacing w:after="0"/>
              <w:rPr>
                <w:sz w:val="20"/>
                <w:szCs w:val="20"/>
                <w:color w:val="auto"/>
              </w:rPr>
            </w:pPr>
            <w:r>
              <w:rPr>
                <w:rFonts w:ascii="Arial" w:cs="Arial" w:eastAsia="Arial" w:hAnsi="Arial"/>
                <w:sz w:val="15"/>
                <w:szCs w:val="15"/>
                <w:b w:val="1"/>
                <w:bCs w:val="1"/>
                <w:color w:val="auto"/>
                <w:w w:val="97"/>
              </w:rPr>
              <w:t>PART I</w:t>
            </w:r>
          </w:p>
        </w:tc>
        <w:tc>
          <w:tcPr>
            <w:tcW w:w="1860" w:type="dxa"/>
            <w:vAlign w:val="bottom"/>
            <w:shd w:val="clear" w:color="auto" w:fill="CCEEFF"/>
          </w:tcPr>
          <w:p>
            <w:pPr>
              <w:spacing w:after="0"/>
              <w:rPr>
                <w:sz w:val="15"/>
                <w:szCs w:val="15"/>
                <w:color w:val="auto"/>
              </w:rPr>
            </w:pPr>
          </w:p>
        </w:tc>
      </w:tr>
      <w:tr>
        <w:trPr>
          <w:trHeight w:val="147"/>
        </w:trPr>
        <w:tc>
          <w:tcPr>
            <w:tcW w:w="820" w:type="dxa"/>
            <w:vAlign w:val="bottom"/>
            <w:gridSpan w:val="2"/>
          </w:tcPr>
          <w:p>
            <w:pPr>
              <w:spacing w:after="0" w:line="147" w:lineRule="exact"/>
              <w:rPr>
                <w:sz w:val="20"/>
                <w:szCs w:val="20"/>
                <w:color w:val="auto"/>
              </w:rPr>
            </w:pPr>
            <w:r>
              <w:rPr>
                <w:rFonts w:ascii="Arial" w:cs="Arial" w:eastAsia="Arial" w:hAnsi="Arial"/>
                <w:sz w:val="15"/>
                <w:szCs w:val="15"/>
                <w:color w:val="auto"/>
              </w:rPr>
              <w:t>Item 1</w:t>
            </w:r>
          </w:p>
        </w:tc>
        <w:tc>
          <w:tcPr>
            <w:tcW w:w="180" w:type="dxa"/>
            <w:vAlign w:val="bottom"/>
          </w:tcPr>
          <w:p>
            <w:pPr>
              <w:spacing w:after="0"/>
              <w:rPr>
                <w:sz w:val="12"/>
                <w:szCs w:val="12"/>
                <w:color w:val="auto"/>
              </w:rPr>
            </w:pPr>
          </w:p>
        </w:tc>
        <w:tc>
          <w:tcPr>
            <w:tcW w:w="8400" w:type="dxa"/>
            <w:vAlign w:val="bottom"/>
            <w:gridSpan w:val="15"/>
          </w:tcPr>
          <w:p>
            <w:pPr>
              <w:spacing w:after="0" w:line="147" w:lineRule="exact"/>
              <w:rPr>
                <w:rFonts w:ascii="Arial" w:cs="Arial" w:eastAsia="Arial" w:hAnsi="Arial"/>
                <w:sz w:val="15"/>
                <w:szCs w:val="15"/>
                <w:color w:val="0000EE"/>
              </w:rPr>
            </w:pPr>
            <w:hyperlink w:anchor="page4">
              <w:r>
                <w:rPr>
                  <w:rFonts w:ascii="Arial" w:cs="Arial" w:eastAsia="Arial" w:hAnsi="Arial"/>
                  <w:sz w:val="15"/>
                  <w:szCs w:val="15"/>
                  <w:color w:val="0000EE"/>
                </w:rPr>
                <w:t>Business</w:t>
              </w:r>
            </w:hyperlink>
          </w:p>
        </w:tc>
        <w:tc>
          <w:tcPr>
            <w:tcW w:w="1860" w:type="dxa"/>
            <w:vAlign w:val="bottom"/>
          </w:tcPr>
          <w:p>
            <w:pPr>
              <w:jc w:val="right"/>
              <w:spacing w:after="0" w:line="147" w:lineRule="exact"/>
              <w:rPr>
                <w:sz w:val="20"/>
                <w:szCs w:val="20"/>
                <w:color w:val="auto"/>
              </w:rPr>
            </w:pPr>
            <w:r>
              <w:rPr>
                <w:rFonts w:ascii="Arial" w:cs="Arial" w:eastAsia="Arial" w:hAnsi="Arial"/>
                <w:sz w:val="15"/>
                <w:szCs w:val="15"/>
                <w:color w:val="auto"/>
              </w:rPr>
              <w:t>4</w:t>
            </w:r>
          </w:p>
        </w:tc>
      </w:tr>
      <w:tr>
        <w:trPr>
          <w:trHeight w:val="20"/>
        </w:trPr>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5"/>
        </w:trPr>
        <w:tc>
          <w:tcPr>
            <w:tcW w:w="82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Item 1A</w:t>
            </w:r>
          </w:p>
        </w:tc>
        <w:tc>
          <w:tcPr>
            <w:tcW w:w="180" w:type="dxa"/>
            <w:vAlign w:val="bottom"/>
            <w:shd w:val="clear" w:color="auto" w:fill="CCEEFF"/>
          </w:tcPr>
          <w:p>
            <w:pPr>
              <w:spacing w:after="0"/>
              <w:rPr>
                <w:sz w:val="15"/>
                <w:szCs w:val="15"/>
                <w:color w:val="auto"/>
              </w:rPr>
            </w:pPr>
          </w:p>
        </w:tc>
        <w:tc>
          <w:tcPr>
            <w:tcW w:w="8400" w:type="dxa"/>
            <w:vAlign w:val="bottom"/>
            <w:gridSpan w:val="15"/>
            <w:shd w:val="clear" w:color="auto" w:fill="CCEEFF"/>
          </w:tcPr>
          <w:p>
            <w:pPr>
              <w:spacing w:after="0" w:line="161" w:lineRule="exact"/>
              <w:rPr>
                <w:rFonts w:ascii="Arial" w:cs="Arial" w:eastAsia="Arial" w:hAnsi="Arial"/>
                <w:sz w:val="15"/>
                <w:szCs w:val="15"/>
                <w:color w:val="0000EE"/>
              </w:rPr>
            </w:pPr>
            <w:hyperlink w:anchor="page19">
              <w:r>
                <w:rPr>
                  <w:rFonts w:ascii="Arial" w:cs="Arial" w:eastAsia="Arial" w:hAnsi="Arial"/>
                  <w:sz w:val="15"/>
                  <w:szCs w:val="15"/>
                  <w:color w:val="0000EE"/>
                </w:rPr>
                <w:t>Risk Factors</w:t>
              </w:r>
            </w:hyperlink>
          </w:p>
        </w:tc>
        <w:tc>
          <w:tcPr>
            <w:tcW w:w="18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19</w:t>
            </w:r>
          </w:p>
        </w:tc>
      </w:tr>
      <w:tr>
        <w:trPr>
          <w:trHeight w:val="147"/>
        </w:trPr>
        <w:tc>
          <w:tcPr>
            <w:tcW w:w="820" w:type="dxa"/>
            <w:vAlign w:val="bottom"/>
            <w:tcBorders>
              <w:top w:val="single" w:sz="8" w:color="CCEEFF"/>
            </w:tcBorders>
            <w:gridSpan w:val="2"/>
          </w:tcPr>
          <w:p>
            <w:pPr>
              <w:spacing w:after="0" w:line="147" w:lineRule="exact"/>
              <w:rPr>
                <w:sz w:val="20"/>
                <w:szCs w:val="20"/>
                <w:color w:val="auto"/>
              </w:rPr>
            </w:pPr>
            <w:r>
              <w:rPr>
                <w:rFonts w:ascii="Arial" w:cs="Arial" w:eastAsia="Arial" w:hAnsi="Arial"/>
                <w:sz w:val="15"/>
                <w:szCs w:val="15"/>
                <w:color w:val="auto"/>
              </w:rPr>
              <w:t>Item 2</w:t>
            </w:r>
          </w:p>
        </w:tc>
        <w:tc>
          <w:tcPr>
            <w:tcW w:w="180" w:type="dxa"/>
            <w:vAlign w:val="bottom"/>
            <w:tcBorders>
              <w:top w:val="single" w:sz="8" w:color="CCEEFF"/>
            </w:tcBorders>
          </w:tcPr>
          <w:p>
            <w:pPr>
              <w:spacing w:after="0"/>
              <w:rPr>
                <w:sz w:val="12"/>
                <w:szCs w:val="12"/>
                <w:color w:val="auto"/>
              </w:rPr>
            </w:pPr>
          </w:p>
        </w:tc>
        <w:tc>
          <w:tcPr>
            <w:tcW w:w="620" w:type="dxa"/>
            <w:vAlign w:val="bottom"/>
            <w:tcBorders>
              <w:top w:val="single" w:sz="8" w:color="0000EE"/>
              <w:bottom w:val="single" w:sz="8" w:color="0000EE"/>
            </w:tcBorders>
            <w:gridSpan w:val="2"/>
          </w:tcPr>
          <w:p>
            <w:pPr>
              <w:spacing w:after="0" w:line="147" w:lineRule="exact"/>
              <w:rPr>
                <w:rFonts w:ascii="Arial" w:cs="Arial" w:eastAsia="Arial" w:hAnsi="Arial"/>
                <w:sz w:val="15"/>
                <w:szCs w:val="15"/>
                <w:color w:val="0000EE"/>
                <w:w w:val="87"/>
              </w:rPr>
            </w:pPr>
            <w:hyperlink w:anchor="page52">
              <w:r>
                <w:rPr>
                  <w:rFonts w:ascii="Arial" w:cs="Arial" w:eastAsia="Arial" w:hAnsi="Arial"/>
                  <w:sz w:val="15"/>
                  <w:szCs w:val="15"/>
                  <w:color w:val="0000EE"/>
                  <w:w w:val="87"/>
                </w:rPr>
                <w:t>Properties</w:t>
              </w:r>
            </w:hyperlink>
          </w:p>
        </w:tc>
        <w:tc>
          <w:tcPr>
            <w:tcW w:w="140" w:type="dxa"/>
            <w:vAlign w:val="bottom"/>
            <w:tcBorders>
              <w:top w:val="single" w:sz="8" w:color="0000EE"/>
            </w:tcBorders>
          </w:tcPr>
          <w:p>
            <w:pPr>
              <w:spacing w:after="0"/>
              <w:rPr>
                <w:sz w:val="12"/>
                <w:szCs w:val="12"/>
                <w:color w:val="auto"/>
              </w:rPr>
            </w:pPr>
          </w:p>
        </w:tc>
        <w:tc>
          <w:tcPr>
            <w:tcW w:w="7640" w:type="dxa"/>
            <w:vAlign w:val="bottom"/>
            <w:tcBorders>
              <w:top w:val="single" w:sz="8" w:color="CCEEFF"/>
            </w:tcBorders>
            <w:gridSpan w:val="12"/>
          </w:tcPr>
          <w:p>
            <w:pPr>
              <w:spacing w:after="0"/>
              <w:rPr>
                <w:sz w:val="12"/>
                <w:szCs w:val="12"/>
                <w:color w:val="auto"/>
              </w:rPr>
            </w:pPr>
          </w:p>
        </w:tc>
        <w:tc>
          <w:tcPr>
            <w:tcW w:w="1860" w:type="dxa"/>
            <w:vAlign w:val="bottom"/>
            <w:tcBorders>
              <w:top w:val="single" w:sz="8" w:color="CCEEFF"/>
            </w:tcBorders>
          </w:tcPr>
          <w:p>
            <w:pPr>
              <w:jc w:val="right"/>
              <w:spacing w:after="0" w:line="147" w:lineRule="exact"/>
              <w:rPr>
                <w:sz w:val="20"/>
                <w:szCs w:val="20"/>
                <w:color w:val="auto"/>
              </w:rPr>
            </w:pPr>
            <w:r>
              <w:rPr>
                <w:rFonts w:ascii="Arial" w:cs="Arial" w:eastAsia="Arial" w:hAnsi="Arial"/>
                <w:sz w:val="15"/>
                <w:szCs w:val="15"/>
                <w:color w:val="auto"/>
              </w:rPr>
              <w:t>52</w:t>
            </w:r>
          </w:p>
        </w:tc>
      </w:tr>
      <w:tr>
        <w:trPr>
          <w:trHeight w:val="175"/>
        </w:trPr>
        <w:tc>
          <w:tcPr>
            <w:tcW w:w="82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Item 3</w:t>
            </w:r>
          </w:p>
        </w:tc>
        <w:tc>
          <w:tcPr>
            <w:tcW w:w="8580" w:type="dxa"/>
            <w:vAlign w:val="bottom"/>
            <w:gridSpan w:val="16"/>
            <w:shd w:val="clear" w:color="auto" w:fill="CCEEFF"/>
          </w:tcPr>
          <w:p>
            <w:pPr>
              <w:ind w:left="180"/>
              <w:spacing w:after="0" w:line="161" w:lineRule="exact"/>
              <w:rPr>
                <w:rFonts w:ascii="Arial" w:cs="Arial" w:eastAsia="Arial" w:hAnsi="Arial"/>
                <w:sz w:val="15"/>
                <w:szCs w:val="15"/>
                <w:color w:val="0000EE"/>
              </w:rPr>
            </w:pPr>
            <w:hyperlink w:anchor="page52">
              <w:r>
                <w:rPr>
                  <w:rFonts w:ascii="Arial" w:cs="Arial" w:eastAsia="Arial" w:hAnsi="Arial"/>
                  <w:sz w:val="15"/>
                  <w:szCs w:val="15"/>
                  <w:color w:val="0000EE"/>
                </w:rPr>
                <w:t>Legal Proceedings</w:t>
              </w:r>
            </w:hyperlink>
          </w:p>
        </w:tc>
        <w:tc>
          <w:tcPr>
            <w:tcW w:w="18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52</w:t>
            </w:r>
          </w:p>
        </w:tc>
      </w:tr>
      <w:tr>
        <w:trPr>
          <w:trHeight w:val="181"/>
        </w:trPr>
        <w:tc>
          <w:tcPr>
            <w:tcW w:w="6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r>
      <w:tr>
        <w:trPr>
          <w:trHeight w:val="181"/>
        </w:trPr>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740" w:type="dxa"/>
            <w:vAlign w:val="bottom"/>
            <w:gridSpan w:val="5"/>
            <w:shd w:val="clear" w:color="auto" w:fill="CCEEFF"/>
          </w:tcPr>
          <w:p>
            <w:pPr>
              <w:jc w:val="center"/>
              <w:ind w:right="2820"/>
              <w:spacing w:after="0"/>
              <w:rPr>
                <w:sz w:val="20"/>
                <w:szCs w:val="20"/>
                <w:color w:val="auto"/>
              </w:rPr>
            </w:pPr>
            <w:r>
              <w:rPr>
                <w:rFonts w:ascii="Arial" w:cs="Arial" w:eastAsia="Arial" w:hAnsi="Arial"/>
                <w:sz w:val="15"/>
                <w:szCs w:val="15"/>
                <w:b w:val="1"/>
                <w:bCs w:val="1"/>
                <w:color w:val="auto"/>
              </w:rPr>
              <w:t>PART II</w:t>
            </w:r>
          </w:p>
        </w:tc>
        <w:tc>
          <w:tcPr>
            <w:tcW w:w="1860" w:type="dxa"/>
            <w:vAlign w:val="bottom"/>
            <w:shd w:val="clear" w:color="auto" w:fill="CCEEFF"/>
          </w:tcPr>
          <w:p>
            <w:pPr>
              <w:spacing w:after="0"/>
              <w:rPr>
                <w:sz w:val="15"/>
                <w:szCs w:val="15"/>
                <w:color w:val="auto"/>
              </w:rPr>
            </w:pPr>
          </w:p>
        </w:tc>
      </w:tr>
      <w:tr>
        <w:trPr>
          <w:trHeight w:val="147"/>
        </w:trPr>
        <w:tc>
          <w:tcPr>
            <w:tcW w:w="820" w:type="dxa"/>
            <w:vAlign w:val="bottom"/>
            <w:gridSpan w:val="2"/>
          </w:tcPr>
          <w:p>
            <w:pPr>
              <w:spacing w:after="0" w:line="147" w:lineRule="exact"/>
              <w:rPr>
                <w:sz w:val="20"/>
                <w:szCs w:val="20"/>
                <w:color w:val="auto"/>
              </w:rPr>
            </w:pPr>
            <w:r>
              <w:rPr>
                <w:rFonts w:ascii="Arial" w:cs="Arial" w:eastAsia="Arial" w:hAnsi="Arial"/>
                <w:sz w:val="15"/>
                <w:szCs w:val="15"/>
                <w:color w:val="auto"/>
              </w:rPr>
              <w:t>Item 5</w:t>
            </w:r>
          </w:p>
        </w:tc>
        <w:tc>
          <w:tcPr>
            <w:tcW w:w="180" w:type="dxa"/>
            <w:vAlign w:val="bottom"/>
          </w:tcPr>
          <w:p>
            <w:pPr>
              <w:spacing w:after="0"/>
              <w:rPr>
                <w:sz w:val="12"/>
                <w:szCs w:val="12"/>
                <w:color w:val="auto"/>
              </w:rPr>
            </w:pPr>
          </w:p>
        </w:tc>
        <w:tc>
          <w:tcPr>
            <w:tcW w:w="6780" w:type="dxa"/>
            <w:vAlign w:val="bottom"/>
            <w:tcBorders>
              <w:bottom w:val="single" w:sz="8" w:color="0000EE"/>
            </w:tcBorders>
            <w:gridSpan w:val="14"/>
          </w:tcPr>
          <w:p>
            <w:pPr>
              <w:spacing w:after="0" w:line="147" w:lineRule="exact"/>
              <w:rPr>
                <w:rFonts w:ascii="Arial" w:cs="Arial" w:eastAsia="Arial" w:hAnsi="Arial"/>
                <w:sz w:val="15"/>
                <w:szCs w:val="15"/>
                <w:color w:val="0000EE"/>
                <w:w w:val="91"/>
              </w:rPr>
            </w:pPr>
            <w:hyperlink w:anchor="page53">
              <w:r>
                <w:rPr>
                  <w:rFonts w:ascii="Arial" w:cs="Arial" w:eastAsia="Arial" w:hAnsi="Arial"/>
                  <w:sz w:val="15"/>
                  <w:szCs w:val="15"/>
                  <w:color w:val="0000EE"/>
                  <w:w w:val="91"/>
                </w:rPr>
                <w:t>Market for Registrant’s Common Equity, Related Stockholder Matters and Issuer Purchases of Equity Securities</w:t>
              </w:r>
            </w:hyperlink>
          </w:p>
        </w:tc>
        <w:tc>
          <w:tcPr>
            <w:tcW w:w="1620" w:type="dxa"/>
            <w:vAlign w:val="bottom"/>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Arial" w:cs="Arial" w:eastAsia="Arial" w:hAnsi="Arial"/>
                <w:sz w:val="15"/>
                <w:szCs w:val="15"/>
                <w:color w:val="auto"/>
              </w:rPr>
              <w:t>53</w:t>
            </w:r>
          </w:p>
        </w:tc>
      </w:tr>
      <w:tr>
        <w:trPr>
          <w:trHeight w:val="175"/>
        </w:trPr>
        <w:tc>
          <w:tcPr>
            <w:tcW w:w="82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Item 7</w:t>
            </w:r>
          </w:p>
        </w:tc>
        <w:tc>
          <w:tcPr>
            <w:tcW w:w="180" w:type="dxa"/>
            <w:vAlign w:val="bottom"/>
            <w:tcBorders>
              <w:bottom w:val="single" w:sz="8" w:color="CCEEFF"/>
            </w:tcBorders>
            <w:shd w:val="clear" w:color="auto" w:fill="CCEEFF"/>
          </w:tcPr>
          <w:p>
            <w:pPr>
              <w:spacing w:after="0"/>
              <w:rPr>
                <w:sz w:val="15"/>
                <w:szCs w:val="15"/>
                <w:color w:val="auto"/>
              </w:rPr>
            </w:pPr>
          </w:p>
        </w:tc>
        <w:tc>
          <w:tcPr>
            <w:tcW w:w="5420" w:type="dxa"/>
            <w:vAlign w:val="bottom"/>
            <w:tcBorders>
              <w:bottom w:val="single" w:sz="8" w:color="0000EE"/>
            </w:tcBorders>
            <w:gridSpan w:val="12"/>
            <w:shd w:val="clear" w:color="auto" w:fill="CCEEFF"/>
          </w:tcPr>
          <w:p>
            <w:pPr>
              <w:spacing w:after="0" w:line="161" w:lineRule="exact"/>
              <w:rPr>
                <w:rFonts w:ascii="Arial" w:cs="Arial" w:eastAsia="Arial" w:hAnsi="Arial"/>
                <w:sz w:val="15"/>
                <w:szCs w:val="15"/>
                <w:color w:val="0000EE"/>
                <w:w w:val="91"/>
              </w:rPr>
            </w:pPr>
            <w:hyperlink w:anchor="page55">
              <w:r>
                <w:rPr>
                  <w:rFonts w:ascii="Arial" w:cs="Arial" w:eastAsia="Arial" w:hAnsi="Arial"/>
                  <w:sz w:val="15"/>
                  <w:szCs w:val="15"/>
                  <w:color w:val="0000EE"/>
                  <w:w w:val="91"/>
                </w:rPr>
                <w:t>Management’s Discussion and Analysis of Financial Condition and Results of Operations</w:t>
              </w:r>
            </w:hyperlink>
          </w:p>
        </w:tc>
        <w:tc>
          <w:tcPr>
            <w:tcW w:w="2980" w:type="dxa"/>
            <w:vAlign w:val="bottom"/>
            <w:tcBorders>
              <w:bottom w:val="single" w:sz="8" w:color="CCEEFF"/>
            </w:tcBorders>
            <w:gridSpan w:val="3"/>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55</w:t>
            </w:r>
          </w:p>
        </w:tc>
      </w:tr>
      <w:tr>
        <w:trPr>
          <w:trHeight w:val="147"/>
        </w:trPr>
        <w:tc>
          <w:tcPr>
            <w:tcW w:w="820" w:type="dxa"/>
            <w:vAlign w:val="bottom"/>
            <w:gridSpan w:val="2"/>
          </w:tcPr>
          <w:p>
            <w:pPr>
              <w:spacing w:after="0" w:line="147" w:lineRule="exact"/>
              <w:rPr>
                <w:sz w:val="20"/>
                <w:szCs w:val="20"/>
                <w:color w:val="auto"/>
              </w:rPr>
            </w:pPr>
            <w:r>
              <w:rPr>
                <w:rFonts w:ascii="Arial" w:cs="Arial" w:eastAsia="Arial" w:hAnsi="Arial"/>
                <w:sz w:val="15"/>
                <w:szCs w:val="15"/>
                <w:color w:val="auto"/>
              </w:rPr>
              <w:t>Item 7A</w:t>
            </w:r>
          </w:p>
        </w:tc>
        <w:tc>
          <w:tcPr>
            <w:tcW w:w="180" w:type="dxa"/>
            <w:vAlign w:val="bottom"/>
          </w:tcPr>
          <w:p>
            <w:pPr>
              <w:spacing w:after="0"/>
              <w:rPr>
                <w:sz w:val="12"/>
                <w:szCs w:val="12"/>
                <w:color w:val="auto"/>
              </w:rPr>
            </w:pPr>
          </w:p>
        </w:tc>
        <w:tc>
          <w:tcPr>
            <w:tcW w:w="3660" w:type="dxa"/>
            <w:vAlign w:val="bottom"/>
            <w:tcBorders>
              <w:bottom w:val="single" w:sz="8" w:color="0000EE"/>
            </w:tcBorders>
            <w:gridSpan w:val="10"/>
          </w:tcPr>
          <w:p>
            <w:pPr>
              <w:spacing w:after="0" w:line="147" w:lineRule="exact"/>
              <w:rPr>
                <w:rFonts w:ascii="Arial" w:cs="Arial" w:eastAsia="Arial" w:hAnsi="Arial"/>
                <w:sz w:val="15"/>
                <w:szCs w:val="15"/>
                <w:color w:val="0000EE"/>
                <w:w w:val="92"/>
              </w:rPr>
            </w:pPr>
            <w:hyperlink w:anchor="page78">
              <w:r>
                <w:rPr>
                  <w:rFonts w:ascii="Arial" w:cs="Arial" w:eastAsia="Arial" w:hAnsi="Arial"/>
                  <w:sz w:val="15"/>
                  <w:szCs w:val="15"/>
                  <w:color w:val="0000EE"/>
                  <w:w w:val="92"/>
                </w:rPr>
                <w:t>Quantitative and Qualitative Disclosures About Market Risk</w:t>
              </w:r>
            </w:hyperlink>
          </w:p>
        </w:tc>
        <w:tc>
          <w:tcPr>
            <w:tcW w:w="4740" w:type="dxa"/>
            <w:vAlign w:val="bottom"/>
            <w:gridSpan w:val="5"/>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Arial" w:cs="Arial" w:eastAsia="Arial" w:hAnsi="Arial"/>
                <w:sz w:val="15"/>
                <w:szCs w:val="15"/>
                <w:color w:val="auto"/>
              </w:rPr>
              <w:t>78</w:t>
            </w:r>
          </w:p>
        </w:tc>
      </w:tr>
      <w:tr>
        <w:trPr>
          <w:trHeight w:val="175"/>
        </w:trPr>
        <w:tc>
          <w:tcPr>
            <w:tcW w:w="82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Item 8</w:t>
            </w:r>
          </w:p>
        </w:tc>
        <w:tc>
          <w:tcPr>
            <w:tcW w:w="180" w:type="dxa"/>
            <w:vAlign w:val="bottom"/>
            <w:tcBorders>
              <w:bottom w:val="single" w:sz="8" w:color="CCEEFF"/>
            </w:tcBorders>
            <w:shd w:val="clear" w:color="auto" w:fill="CCEEFF"/>
          </w:tcPr>
          <w:p>
            <w:pPr>
              <w:spacing w:after="0"/>
              <w:rPr>
                <w:sz w:val="15"/>
                <w:szCs w:val="15"/>
                <w:color w:val="auto"/>
              </w:rPr>
            </w:pPr>
          </w:p>
        </w:tc>
        <w:tc>
          <w:tcPr>
            <w:tcW w:w="2800" w:type="dxa"/>
            <w:vAlign w:val="bottom"/>
            <w:tcBorders>
              <w:bottom w:val="single" w:sz="8" w:color="0000EE"/>
            </w:tcBorders>
            <w:gridSpan w:val="8"/>
            <w:shd w:val="clear" w:color="auto" w:fill="CCEEFF"/>
          </w:tcPr>
          <w:p>
            <w:pPr>
              <w:spacing w:after="0" w:line="161" w:lineRule="exact"/>
              <w:rPr>
                <w:rFonts w:ascii="Arial" w:cs="Arial" w:eastAsia="Arial" w:hAnsi="Arial"/>
                <w:sz w:val="15"/>
                <w:szCs w:val="15"/>
                <w:color w:val="0000EE"/>
                <w:w w:val="89"/>
              </w:rPr>
            </w:pPr>
            <w:hyperlink w:anchor="page80">
              <w:r>
                <w:rPr>
                  <w:rFonts w:ascii="Arial" w:cs="Arial" w:eastAsia="Arial" w:hAnsi="Arial"/>
                  <w:sz w:val="15"/>
                  <w:szCs w:val="15"/>
                  <w:color w:val="0000EE"/>
                  <w:w w:val="89"/>
                </w:rPr>
                <w:t>Financial Statements and Supplementary Data</w:t>
              </w:r>
            </w:hyperlink>
          </w:p>
        </w:tc>
        <w:tc>
          <w:tcPr>
            <w:tcW w:w="5600" w:type="dxa"/>
            <w:vAlign w:val="bottom"/>
            <w:tcBorders>
              <w:bottom w:val="single" w:sz="8" w:color="CCEEFF"/>
            </w:tcBorders>
            <w:gridSpan w:val="7"/>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80</w:t>
            </w:r>
          </w:p>
        </w:tc>
      </w:tr>
      <w:tr>
        <w:trPr>
          <w:trHeight w:val="154"/>
        </w:trPr>
        <w:tc>
          <w:tcPr>
            <w:tcW w:w="820" w:type="dxa"/>
            <w:vAlign w:val="bottom"/>
            <w:gridSpan w:val="2"/>
          </w:tcPr>
          <w:p>
            <w:pPr>
              <w:spacing w:after="0" w:line="147" w:lineRule="exact"/>
              <w:rPr>
                <w:sz w:val="20"/>
                <w:szCs w:val="20"/>
                <w:color w:val="auto"/>
              </w:rPr>
            </w:pPr>
            <w:r>
              <w:rPr>
                <w:rFonts w:ascii="Arial" w:cs="Arial" w:eastAsia="Arial" w:hAnsi="Arial"/>
                <w:sz w:val="15"/>
                <w:szCs w:val="15"/>
                <w:color w:val="auto"/>
              </w:rPr>
              <w:t>Item 9A</w:t>
            </w:r>
          </w:p>
        </w:tc>
        <w:tc>
          <w:tcPr>
            <w:tcW w:w="8580" w:type="dxa"/>
            <w:vAlign w:val="bottom"/>
            <w:gridSpan w:val="16"/>
          </w:tcPr>
          <w:p>
            <w:pPr>
              <w:ind w:left="180"/>
              <w:spacing w:after="0" w:line="147" w:lineRule="exact"/>
              <w:rPr>
                <w:rFonts w:ascii="Arial" w:cs="Arial" w:eastAsia="Arial" w:hAnsi="Arial"/>
                <w:sz w:val="15"/>
                <w:szCs w:val="15"/>
                <w:color w:val="0000EE"/>
              </w:rPr>
            </w:pPr>
            <w:hyperlink w:anchor="page124">
              <w:r>
                <w:rPr>
                  <w:rFonts w:ascii="Arial" w:cs="Arial" w:eastAsia="Arial" w:hAnsi="Arial"/>
                  <w:sz w:val="15"/>
                  <w:szCs w:val="15"/>
                  <w:color w:val="0000EE"/>
                </w:rPr>
                <w:t>Controls and Procedures</w:t>
              </w:r>
            </w:hyperlink>
          </w:p>
        </w:tc>
        <w:tc>
          <w:tcPr>
            <w:tcW w:w="1860" w:type="dxa"/>
            <w:vAlign w:val="bottom"/>
          </w:tcPr>
          <w:p>
            <w:pPr>
              <w:jc w:val="right"/>
              <w:spacing w:after="0" w:line="147" w:lineRule="exact"/>
              <w:rPr>
                <w:sz w:val="20"/>
                <w:szCs w:val="20"/>
                <w:color w:val="auto"/>
              </w:rPr>
            </w:pPr>
            <w:r>
              <w:rPr>
                <w:rFonts w:ascii="Arial" w:cs="Arial" w:eastAsia="Arial" w:hAnsi="Arial"/>
                <w:sz w:val="15"/>
                <w:szCs w:val="15"/>
                <w:color w:val="auto"/>
              </w:rPr>
              <w:t>124</w:t>
            </w:r>
          </w:p>
        </w:tc>
      </w:tr>
      <w:tr>
        <w:trPr>
          <w:trHeight w:val="188"/>
        </w:trPr>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140" w:type="dxa"/>
            <w:vAlign w:val="bottom"/>
            <w:tcBorders>
              <w:top w:val="single" w:sz="8" w:color="0000EE"/>
            </w:tcBorders>
            <w:shd w:val="clear" w:color="auto" w:fill="CCEEFF"/>
          </w:tcPr>
          <w:p>
            <w:pPr>
              <w:spacing w:after="0"/>
              <w:rPr>
                <w:sz w:val="16"/>
                <w:szCs w:val="16"/>
                <w:color w:val="auto"/>
              </w:rPr>
            </w:pPr>
          </w:p>
        </w:tc>
        <w:tc>
          <w:tcPr>
            <w:tcW w:w="360" w:type="dxa"/>
            <w:vAlign w:val="bottom"/>
            <w:tcBorders>
              <w:top w:val="single" w:sz="8" w:color="0000EE"/>
            </w:tcBorders>
            <w:shd w:val="clear" w:color="auto" w:fill="CCEEFF"/>
          </w:tcPr>
          <w:p>
            <w:pPr>
              <w:spacing w:after="0"/>
              <w:rPr>
                <w:sz w:val="16"/>
                <w:szCs w:val="16"/>
                <w:color w:val="auto"/>
              </w:rPr>
            </w:pPr>
          </w:p>
        </w:tc>
        <w:tc>
          <w:tcPr>
            <w:tcW w:w="400" w:type="dxa"/>
            <w:vAlign w:val="bottom"/>
            <w:tcBorders>
              <w:top w:val="single" w:sz="8" w:color="0000EE"/>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r>
      <w:tr>
        <w:trPr>
          <w:trHeight w:val="181"/>
        </w:trPr>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gridSpan w:val="5"/>
          </w:tcPr>
          <w:p>
            <w:pPr>
              <w:jc w:val="center"/>
              <w:ind w:right="2820"/>
              <w:spacing w:after="0"/>
              <w:rPr>
                <w:sz w:val="20"/>
                <w:szCs w:val="20"/>
                <w:color w:val="auto"/>
              </w:rPr>
            </w:pPr>
            <w:r>
              <w:rPr>
                <w:rFonts w:ascii="Arial" w:cs="Arial" w:eastAsia="Arial" w:hAnsi="Arial"/>
                <w:sz w:val="15"/>
                <w:szCs w:val="15"/>
                <w:b w:val="1"/>
                <w:bCs w:val="1"/>
                <w:color w:val="auto"/>
              </w:rPr>
              <w:t>PART III</w:t>
            </w:r>
          </w:p>
        </w:tc>
        <w:tc>
          <w:tcPr>
            <w:tcW w:w="1860" w:type="dxa"/>
            <w:vAlign w:val="bottom"/>
          </w:tcPr>
          <w:p>
            <w:pPr>
              <w:spacing w:after="0"/>
              <w:rPr>
                <w:sz w:val="15"/>
                <w:szCs w:val="15"/>
                <w:color w:val="auto"/>
              </w:rPr>
            </w:pPr>
          </w:p>
        </w:tc>
      </w:tr>
      <w:tr>
        <w:trPr>
          <w:trHeight w:val="161"/>
        </w:trPr>
        <w:tc>
          <w:tcPr>
            <w:tcW w:w="82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5"/>
                <w:szCs w:val="15"/>
                <w:color w:val="auto"/>
              </w:rPr>
              <w:t>Item 10</w:t>
            </w:r>
          </w:p>
        </w:tc>
        <w:tc>
          <w:tcPr>
            <w:tcW w:w="180" w:type="dxa"/>
            <w:vAlign w:val="bottom"/>
            <w:tcBorders>
              <w:bottom w:val="single" w:sz="8" w:color="CCEEFF"/>
            </w:tcBorders>
            <w:shd w:val="clear" w:color="auto" w:fill="CCEEFF"/>
          </w:tcPr>
          <w:p>
            <w:pPr>
              <w:spacing w:after="0"/>
              <w:rPr>
                <w:sz w:val="14"/>
                <w:szCs w:val="14"/>
                <w:color w:val="auto"/>
              </w:rPr>
            </w:pPr>
          </w:p>
        </w:tc>
        <w:tc>
          <w:tcPr>
            <w:tcW w:w="3440" w:type="dxa"/>
            <w:vAlign w:val="bottom"/>
            <w:tcBorders>
              <w:bottom w:val="single" w:sz="8" w:color="0000EE"/>
            </w:tcBorders>
            <w:gridSpan w:val="9"/>
            <w:shd w:val="clear" w:color="auto" w:fill="CCEEFF"/>
          </w:tcPr>
          <w:p>
            <w:pPr>
              <w:spacing w:after="0" w:line="147" w:lineRule="exact"/>
              <w:rPr>
                <w:rFonts w:ascii="Arial" w:cs="Arial" w:eastAsia="Arial" w:hAnsi="Arial"/>
                <w:sz w:val="15"/>
                <w:szCs w:val="15"/>
                <w:color w:val="0000EE"/>
                <w:w w:val="91"/>
              </w:rPr>
            </w:pPr>
            <w:hyperlink w:anchor="page128">
              <w:r>
                <w:rPr>
                  <w:rFonts w:ascii="Arial" w:cs="Arial" w:eastAsia="Arial" w:hAnsi="Arial"/>
                  <w:sz w:val="15"/>
                  <w:szCs w:val="15"/>
                  <w:color w:val="0000EE"/>
                  <w:w w:val="91"/>
                </w:rPr>
                <w:t>Directors, Executive Officers and Corporate Governance</w:t>
              </w:r>
            </w:hyperlink>
          </w:p>
        </w:tc>
        <w:tc>
          <w:tcPr>
            <w:tcW w:w="4960" w:type="dxa"/>
            <w:vAlign w:val="bottom"/>
            <w:tcBorders>
              <w:bottom w:val="single" w:sz="8" w:color="CCEEFF"/>
            </w:tcBorders>
            <w:gridSpan w:val="6"/>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jc w:val="right"/>
              <w:spacing w:after="0" w:line="147" w:lineRule="exact"/>
              <w:rPr>
                <w:sz w:val="20"/>
                <w:szCs w:val="20"/>
                <w:color w:val="auto"/>
              </w:rPr>
            </w:pPr>
            <w:r>
              <w:rPr>
                <w:rFonts w:ascii="Arial" w:cs="Arial" w:eastAsia="Arial" w:hAnsi="Arial"/>
                <w:sz w:val="15"/>
                <w:szCs w:val="15"/>
                <w:color w:val="auto"/>
              </w:rPr>
              <w:t>128</w:t>
            </w:r>
          </w:p>
        </w:tc>
      </w:tr>
      <w:tr>
        <w:trPr>
          <w:trHeight w:val="147"/>
        </w:trPr>
        <w:tc>
          <w:tcPr>
            <w:tcW w:w="820" w:type="dxa"/>
            <w:vAlign w:val="bottom"/>
            <w:gridSpan w:val="2"/>
          </w:tcPr>
          <w:p>
            <w:pPr>
              <w:spacing w:after="0" w:line="147" w:lineRule="exact"/>
              <w:rPr>
                <w:sz w:val="20"/>
                <w:szCs w:val="20"/>
                <w:color w:val="auto"/>
              </w:rPr>
            </w:pPr>
            <w:r>
              <w:rPr>
                <w:rFonts w:ascii="Arial" w:cs="Arial" w:eastAsia="Arial" w:hAnsi="Arial"/>
                <w:sz w:val="15"/>
                <w:szCs w:val="15"/>
                <w:color w:val="auto"/>
              </w:rPr>
              <w:t>Item 11</w:t>
            </w:r>
          </w:p>
        </w:tc>
        <w:tc>
          <w:tcPr>
            <w:tcW w:w="180" w:type="dxa"/>
            <w:vAlign w:val="bottom"/>
          </w:tcPr>
          <w:p>
            <w:pPr>
              <w:spacing w:after="0"/>
              <w:rPr>
                <w:sz w:val="12"/>
                <w:szCs w:val="12"/>
                <w:color w:val="auto"/>
              </w:rPr>
            </w:pPr>
          </w:p>
        </w:tc>
        <w:tc>
          <w:tcPr>
            <w:tcW w:w="8400" w:type="dxa"/>
            <w:vAlign w:val="bottom"/>
            <w:gridSpan w:val="15"/>
          </w:tcPr>
          <w:p>
            <w:pPr>
              <w:spacing w:after="0" w:line="147" w:lineRule="exact"/>
              <w:rPr>
                <w:rFonts w:ascii="Arial" w:cs="Arial" w:eastAsia="Arial" w:hAnsi="Arial"/>
                <w:sz w:val="15"/>
                <w:szCs w:val="15"/>
                <w:color w:val="0000EE"/>
              </w:rPr>
            </w:pPr>
            <w:hyperlink w:anchor="page128">
              <w:r>
                <w:rPr>
                  <w:rFonts w:ascii="Arial" w:cs="Arial" w:eastAsia="Arial" w:hAnsi="Arial"/>
                  <w:sz w:val="15"/>
                  <w:szCs w:val="15"/>
                  <w:color w:val="0000EE"/>
                </w:rPr>
                <w:t>Executive Compensation</w:t>
              </w:r>
            </w:hyperlink>
          </w:p>
        </w:tc>
        <w:tc>
          <w:tcPr>
            <w:tcW w:w="1860" w:type="dxa"/>
            <w:vAlign w:val="bottom"/>
          </w:tcPr>
          <w:p>
            <w:pPr>
              <w:jc w:val="right"/>
              <w:spacing w:after="0" w:line="147" w:lineRule="exact"/>
              <w:rPr>
                <w:sz w:val="20"/>
                <w:szCs w:val="20"/>
                <w:color w:val="auto"/>
              </w:rPr>
            </w:pPr>
            <w:r>
              <w:rPr>
                <w:rFonts w:ascii="Arial" w:cs="Arial" w:eastAsia="Arial" w:hAnsi="Arial"/>
                <w:sz w:val="15"/>
                <w:szCs w:val="15"/>
                <w:color w:val="auto"/>
              </w:rPr>
              <w:t>128</w:t>
            </w:r>
          </w:p>
        </w:tc>
      </w:tr>
      <w:tr>
        <w:trPr>
          <w:trHeight w:val="20"/>
        </w:trPr>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5"/>
        </w:trPr>
        <w:tc>
          <w:tcPr>
            <w:tcW w:w="82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Item 12</w:t>
            </w:r>
          </w:p>
        </w:tc>
        <w:tc>
          <w:tcPr>
            <w:tcW w:w="180" w:type="dxa"/>
            <w:vAlign w:val="bottom"/>
            <w:tcBorders>
              <w:bottom w:val="single" w:sz="8" w:color="CCEEFF"/>
            </w:tcBorders>
            <w:shd w:val="clear" w:color="auto" w:fill="CCEEFF"/>
          </w:tcPr>
          <w:p>
            <w:pPr>
              <w:spacing w:after="0"/>
              <w:rPr>
                <w:sz w:val="15"/>
                <w:szCs w:val="15"/>
                <w:color w:val="auto"/>
              </w:rPr>
            </w:pPr>
          </w:p>
        </w:tc>
        <w:tc>
          <w:tcPr>
            <w:tcW w:w="6120" w:type="dxa"/>
            <w:vAlign w:val="bottom"/>
            <w:tcBorders>
              <w:bottom w:val="single" w:sz="8" w:color="0000EE"/>
            </w:tcBorders>
            <w:gridSpan w:val="13"/>
            <w:shd w:val="clear" w:color="auto" w:fill="CCEEFF"/>
          </w:tcPr>
          <w:p>
            <w:pPr>
              <w:spacing w:after="0" w:line="161" w:lineRule="exact"/>
              <w:rPr>
                <w:rFonts w:ascii="Arial" w:cs="Arial" w:eastAsia="Arial" w:hAnsi="Arial"/>
                <w:sz w:val="15"/>
                <w:szCs w:val="15"/>
                <w:color w:val="0000EE"/>
                <w:w w:val="91"/>
              </w:rPr>
            </w:pPr>
            <w:hyperlink w:anchor="page128">
              <w:r>
                <w:rPr>
                  <w:rFonts w:ascii="Arial" w:cs="Arial" w:eastAsia="Arial" w:hAnsi="Arial"/>
                  <w:sz w:val="15"/>
                  <w:szCs w:val="15"/>
                  <w:color w:val="0000EE"/>
                  <w:w w:val="91"/>
                </w:rPr>
                <w:t>Security Ownership of Certain Beneficial Owners and Management and Related Stockholder Matters</w:t>
              </w:r>
            </w:hyperlink>
          </w:p>
        </w:tc>
        <w:tc>
          <w:tcPr>
            <w:tcW w:w="2280" w:type="dxa"/>
            <w:vAlign w:val="bottom"/>
            <w:tcBorders>
              <w:bottom w:val="single" w:sz="8" w:color="CCEEFF"/>
            </w:tcBorders>
            <w:gridSpan w:val="2"/>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128</w:t>
            </w:r>
          </w:p>
        </w:tc>
      </w:tr>
      <w:tr>
        <w:trPr>
          <w:trHeight w:val="147"/>
        </w:trPr>
        <w:tc>
          <w:tcPr>
            <w:tcW w:w="820" w:type="dxa"/>
            <w:vAlign w:val="bottom"/>
            <w:gridSpan w:val="2"/>
          </w:tcPr>
          <w:p>
            <w:pPr>
              <w:spacing w:after="0" w:line="147" w:lineRule="exact"/>
              <w:rPr>
                <w:sz w:val="20"/>
                <w:szCs w:val="20"/>
                <w:color w:val="auto"/>
              </w:rPr>
            </w:pPr>
            <w:r>
              <w:rPr>
                <w:rFonts w:ascii="Arial" w:cs="Arial" w:eastAsia="Arial" w:hAnsi="Arial"/>
                <w:sz w:val="15"/>
                <w:szCs w:val="15"/>
                <w:color w:val="auto"/>
              </w:rPr>
              <w:t>Item 13</w:t>
            </w:r>
          </w:p>
        </w:tc>
        <w:tc>
          <w:tcPr>
            <w:tcW w:w="180" w:type="dxa"/>
            <w:vAlign w:val="bottom"/>
          </w:tcPr>
          <w:p>
            <w:pPr>
              <w:spacing w:after="0"/>
              <w:rPr>
                <w:sz w:val="12"/>
                <w:szCs w:val="12"/>
                <w:color w:val="auto"/>
              </w:rPr>
            </w:pPr>
          </w:p>
        </w:tc>
        <w:tc>
          <w:tcPr>
            <w:tcW w:w="4580" w:type="dxa"/>
            <w:vAlign w:val="bottom"/>
            <w:tcBorders>
              <w:bottom w:val="single" w:sz="8" w:color="0000EE"/>
            </w:tcBorders>
            <w:gridSpan w:val="11"/>
          </w:tcPr>
          <w:p>
            <w:pPr>
              <w:spacing w:after="0" w:line="147" w:lineRule="exact"/>
              <w:rPr>
                <w:rFonts w:ascii="Arial" w:cs="Arial" w:eastAsia="Arial" w:hAnsi="Arial"/>
                <w:sz w:val="15"/>
                <w:szCs w:val="15"/>
                <w:color w:val="0000EE"/>
                <w:w w:val="89"/>
              </w:rPr>
            </w:pPr>
            <w:hyperlink w:anchor="page128">
              <w:r>
                <w:rPr>
                  <w:rFonts w:ascii="Arial" w:cs="Arial" w:eastAsia="Arial" w:hAnsi="Arial"/>
                  <w:sz w:val="15"/>
                  <w:szCs w:val="15"/>
                  <w:color w:val="0000EE"/>
                  <w:w w:val="89"/>
                </w:rPr>
                <w:t>Certain Relationships and Related Transactions, and Director Independence</w:t>
              </w:r>
            </w:hyperlink>
          </w:p>
        </w:tc>
        <w:tc>
          <w:tcPr>
            <w:tcW w:w="3820" w:type="dxa"/>
            <w:vAlign w:val="bottom"/>
            <w:gridSpan w:val="4"/>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Arial" w:cs="Arial" w:eastAsia="Arial" w:hAnsi="Arial"/>
                <w:sz w:val="15"/>
                <w:szCs w:val="15"/>
                <w:color w:val="auto"/>
              </w:rPr>
              <w:t>128</w:t>
            </w:r>
          </w:p>
        </w:tc>
      </w:tr>
      <w:tr>
        <w:trPr>
          <w:trHeight w:val="175"/>
        </w:trPr>
        <w:tc>
          <w:tcPr>
            <w:tcW w:w="82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Item 14</w:t>
            </w:r>
          </w:p>
        </w:tc>
        <w:tc>
          <w:tcPr>
            <w:tcW w:w="8580" w:type="dxa"/>
            <w:vAlign w:val="bottom"/>
            <w:gridSpan w:val="16"/>
            <w:shd w:val="clear" w:color="auto" w:fill="CCEEFF"/>
          </w:tcPr>
          <w:p>
            <w:pPr>
              <w:ind w:left="180"/>
              <w:spacing w:after="0" w:line="161" w:lineRule="exact"/>
              <w:rPr>
                <w:rFonts w:ascii="Arial" w:cs="Arial" w:eastAsia="Arial" w:hAnsi="Arial"/>
                <w:sz w:val="15"/>
                <w:szCs w:val="15"/>
                <w:color w:val="0000EE"/>
              </w:rPr>
            </w:pPr>
            <w:hyperlink w:anchor="page128">
              <w:r>
                <w:rPr>
                  <w:rFonts w:ascii="Arial" w:cs="Arial" w:eastAsia="Arial" w:hAnsi="Arial"/>
                  <w:sz w:val="15"/>
                  <w:szCs w:val="15"/>
                  <w:color w:val="0000EE"/>
                </w:rPr>
                <w:t>Principal Accountant Fees and Services</w:t>
              </w:r>
            </w:hyperlink>
          </w:p>
        </w:tc>
        <w:tc>
          <w:tcPr>
            <w:tcW w:w="18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128</w:t>
            </w:r>
          </w:p>
        </w:tc>
      </w:tr>
      <w:tr>
        <w:trPr>
          <w:trHeight w:val="181"/>
        </w:trPr>
        <w:tc>
          <w:tcPr>
            <w:tcW w:w="6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r>
      <w:tr>
        <w:trPr>
          <w:trHeight w:val="181"/>
        </w:trPr>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740" w:type="dxa"/>
            <w:vAlign w:val="bottom"/>
            <w:gridSpan w:val="5"/>
            <w:shd w:val="clear" w:color="auto" w:fill="CCEEFF"/>
          </w:tcPr>
          <w:p>
            <w:pPr>
              <w:jc w:val="center"/>
              <w:ind w:right="2820"/>
              <w:spacing w:after="0"/>
              <w:rPr>
                <w:sz w:val="20"/>
                <w:szCs w:val="20"/>
                <w:color w:val="auto"/>
              </w:rPr>
            </w:pPr>
            <w:r>
              <w:rPr>
                <w:rFonts w:ascii="Arial" w:cs="Arial" w:eastAsia="Arial" w:hAnsi="Arial"/>
                <w:sz w:val="15"/>
                <w:szCs w:val="15"/>
                <w:b w:val="1"/>
                <w:bCs w:val="1"/>
                <w:color w:val="auto"/>
              </w:rPr>
              <w:t>PART IV</w:t>
            </w:r>
          </w:p>
        </w:tc>
        <w:tc>
          <w:tcPr>
            <w:tcW w:w="1860" w:type="dxa"/>
            <w:vAlign w:val="bottom"/>
            <w:shd w:val="clear" w:color="auto" w:fill="CCEEFF"/>
          </w:tcPr>
          <w:p>
            <w:pPr>
              <w:spacing w:after="0"/>
              <w:rPr>
                <w:sz w:val="15"/>
                <w:szCs w:val="15"/>
                <w:color w:val="auto"/>
              </w:rPr>
            </w:pPr>
          </w:p>
        </w:tc>
      </w:tr>
      <w:tr>
        <w:trPr>
          <w:trHeight w:val="147"/>
        </w:trPr>
        <w:tc>
          <w:tcPr>
            <w:tcW w:w="820" w:type="dxa"/>
            <w:vAlign w:val="bottom"/>
            <w:gridSpan w:val="2"/>
          </w:tcPr>
          <w:p>
            <w:pPr>
              <w:spacing w:after="0" w:line="147" w:lineRule="exact"/>
              <w:rPr>
                <w:sz w:val="20"/>
                <w:szCs w:val="20"/>
                <w:color w:val="auto"/>
              </w:rPr>
            </w:pPr>
            <w:r>
              <w:rPr>
                <w:rFonts w:ascii="Arial" w:cs="Arial" w:eastAsia="Arial" w:hAnsi="Arial"/>
                <w:sz w:val="15"/>
                <w:szCs w:val="15"/>
                <w:color w:val="auto"/>
              </w:rPr>
              <w:t>Item 15</w:t>
            </w:r>
          </w:p>
        </w:tc>
        <w:tc>
          <w:tcPr>
            <w:tcW w:w="8580" w:type="dxa"/>
            <w:vAlign w:val="bottom"/>
            <w:gridSpan w:val="16"/>
          </w:tcPr>
          <w:p>
            <w:pPr>
              <w:ind w:left="180"/>
              <w:spacing w:after="0" w:line="147" w:lineRule="exact"/>
              <w:rPr>
                <w:rFonts w:ascii="Arial" w:cs="Arial" w:eastAsia="Arial" w:hAnsi="Arial"/>
                <w:sz w:val="15"/>
                <w:szCs w:val="15"/>
                <w:color w:val="0000EE"/>
              </w:rPr>
            </w:pPr>
            <w:hyperlink w:anchor="page129">
              <w:r>
                <w:rPr>
                  <w:rFonts w:ascii="Arial" w:cs="Arial" w:eastAsia="Arial" w:hAnsi="Arial"/>
                  <w:sz w:val="15"/>
                  <w:szCs w:val="15"/>
                  <w:color w:val="0000EE"/>
                </w:rPr>
                <w:t>Exhibits and Financial Statement Schedules</w:t>
              </w:r>
            </w:hyperlink>
          </w:p>
        </w:tc>
        <w:tc>
          <w:tcPr>
            <w:tcW w:w="1860" w:type="dxa"/>
            <w:vAlign w:val="bottom"/>
          </w:tcPr>
          <w:p>
            <w:pPr>
              <w:jc w:val="right"/>
              <w:spacing w:after="0" w:line="147" w:lineRule="exact"/>
              <w:rPr>
                <w:sz w:val="20"/>
                <w:szCs w:val="20"/>
                <w:color w:val="auto"/>
              </w:rPr>
            </w:pPr>
            <w:r>
              <w:rPr>
                <w:rFonts w:ascii="Arial" w:cs="Arial" w:eastAsia="Arial" w:hAnsi="Arial"/>
                <w:sz w:val="15"/>
                <w:szCs w:val="15"/>
                <w:color w:val="auto"/>
              </w:rPr>
              <w:t>129</w:t>
            </w:r>
          </w:p>
        </w:tc>
      </w:tr>
      <w:tr>
        <w:trPr>
          <w:trHeight w:val="161"/>
        </w:trPr>
        <w:tc>
          <w:tcPr>
            <w:tcW w:w="820" w:type="dxa"/>
            <w:vAlign w:val="bottom"/>
            <w:gridSpan w:val="2"/>
            <w:shd w:val="clear" w:color="auto" w:fill="CCEEFF"/>
          </w:tcPr>
          <w:p>
            <w:pPr>
              <w:spacing w:after="0" w:line="161" w:lineRule="exact"/>
              <w:rPr>
                <w:rFonts w:ascii="Arial" w:cs="Arial" w:eastAsia="Arial" w:hAnsi="Arial"/>
                <w:sz w:val="15"/>
                <w:szCs w:val="15"/>
                <w:color w:val="0000EE"/>
              </w:rPr>
            </w:pPr>
            <w:hyperlink w:anchor="page134">
              <w:r>
                <w:rPr>
                  <w:rFonts w:ascii="Arial" w:cs="Arial" w:eastAsia="Arial" w:hAnsi="Arial"/>
                  <w:sz w:val="15"/>
                  <w:szCs w:val="15"/>
                  <w:color w:val="0000EE"/>
                </w:rPr>
                <w:t>Signatures</w:t>
              </w:r>
            </w:hyperlink>
          </w:p>
        </w:tc>
        <w:tc>
          <w:tcPr>
            <w:tcW w:w="180" w:type="dxa"/>
            <w:vAlign w:val="bottom"/>
            <w:shd w:val="clear" w:color="auto" w:fill="CCEEFF"/>
          </w:tcPr>
          <w:p>
            <w:pPr>
              <w:spacing w:after="0"/>
              <w:rPr>
                <w:sz w:val="14"/>
                <w:szCs w:val="14"/>
                <w:color w:val="auto"/>
              </w:rPr>
            </w:pPr>
          </w:p>
        </w:tc>
        <w:tc>
          <w:tcPr>
            <w:tcW w:w="54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tcBorders>
            <w:shd w:val="clear" w:color="auto" w:fill="CCEEFF"/>
          </w:tcPr>
          <w:p>
            <w:pPr>
              <w:spacing w:after="0"/>
              <w:rPr>
                <w:sz w:val="14"/>
                <w:szCs w:val="14"/>
                <w:color w:val="auto"/>
              </w:rPr>
            </w:pPr>
          </w:p>
        </w:tc>
        <w:tc>
          <w:tcPr>
            <w:tcW w:w="36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right w:val="single" w:sz="8" w:color="CCEEFF"/>
            </w:tcBorders>
            <w:shd w:val="clear" w:color="auto" w:fill="CCEEFF"/>
          </w:tcPr>
          <w:p>
            <w:pPr>
              <w:spacing w:after="0"/>
              <w:rPr>
                <w:sz w:val="14"/>
                <w:szCs w:val="14"/>
                <w:color w:val="auto"/>
              </w:rPr>
            </w:pPr>
          </w:p>
        </w:tc>
        <w:tc>
          <w:tcPr>
            <w:tcW w:w="880" w:type="dxa"/>
            <w:vAlign w:val="bottom"/>
            <w:tcBorders>
              <w:top w:val="single" w:sz="8" w:color="0000EE"/>
            </w:tcBorders>
            <w:shd w:val="clear" w:color="auto" w:fill="CCEEFF"/>
          </w:tcPr>
          <w:p>
            <w:pPr>
              <w:spacing w:after="0"/>
              <w:rPr>
                <w:sz w:val="14"/>
                <w:szCs w:val="14"/>
                <w:color w:val="auto"/>
              </w:rPr>
            </w:pPr>
          </w:p>
        </w:tc>
        <w:tc>
          <w:tcPr>
            <w:tcW w:w="260" w:type="dxa"/>
            <w:vAlign w:val="bottom"/>
            <w:tcBorders>
              <w:top w:val="single" w:sz="8" w:color="0000EE"/>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134</w:t>
            </w:r>
          </w:p>
        </w:tc>
      </w:tr>
      <w:tr>
        <w:trPr>
          <w:trHeight w:val="34"/>
        </w:trPr>
        <w:tc>
          <w:tcPr>
            <w:tcW w:w="62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i w:val="1"/>
          <w:iCs w:val="1"/>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i w:val="1"/>
          <w:iCs w:val="1"/>
          <w:color w:val="auto"/>
        </w:rPr>
        <w:t>SAPS, TEBO, ULTRA C and ULTRA FURNACE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sectPr>
      </w:pPr>
    </w:p>
    <w:bookmarkStart w:id="2" w:name="page3"/>
    <w:bookmarkEnd w:id="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FORWARD-LOOKING STATEMENTS AND STATISTICAL DATA</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 of this report, that may cause our actual results, performance or achievements to be materially different from any future results, performance or achievements expressed or implied by these forward-looking statements.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information included under the heading “Item 7. Management’s Discussion and Analysis of Financial Condition and Results of Operations – Overview,” of Part II of this report contains statistical data and estimates, including forecasts, that are based on information provided by Gartner, Inc., or Gartner, in “Forecast: Semiconductor Wafer Fab Equipment, Worldwide, 4Q21 Update” (December 2021),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65"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 w:name="page4"/>
    <w:bookmarkEnd w:id="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3D NAND-flash memory chips, and compound semiconductor chips. We also develop, manufacture and sell a range of advanced packaging tools to wafer assembly and packaging customers.</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Revenue from wet cleaning and other front-end processing tools totaled $202.3 million, or 77.9% of total revenue in 2021, $136.3 million, or 87.0% of total revenue in 2020; and $90.9 million, or 84.6% of total revenue, in 2019. Selling prices for our wet-cleaning production tools range from more than $1 million to more than $5 million. Our customers for wet-cleaning and other front-end processing tools have included Huali Microelectronics Corporation, The Huahong Group, Semiconductor Manufacturing International Corporation, or SMIC, Shanghai SK Hynix Inc., Yangtze Memory Technologies Co., Ltd, and ChangXin Memory Technologies.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Revenue from advanced packaging, other processing tools, services and spares totaled $57.5 million, or 22.1% of total revenue in 2021; $20.4 million, or 13.0% of total revenue in 2020; and $16.6 million, or 15.4% of total revenue in 2019. Selling prices for these tools range from $0.5 million to more than $4 million. Our customers for advanced packaging, and other processing tools have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leading PRC-based wafer supplier.</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estimate, based on third-party reports and on customer and other information, that our current product portfolio addresses approximately $8 billion of the global wafer equipment market. By product line, we estimate an approximately $3.7 billion market opportunity is addressed by our wafer cleaning equipment, $2.9 billion by our furnace equipment, $730 million by our electro-chemical plating or ECP equipment, and more than $650 million by our stress-free polishing, advanced packaging, wafer processing, and other processing equipment. By major equipment segment, Gartner estimates a 2021 worldwide semiconductor wafer fab equipment WFE market size of $88.1 billion, of which $4.1 billion is for wafer cleaning equipment (auto wet stations, single-wafer spray processors, batch spray processors, and other clean process equipment), $3.4 billion is for furnace equipment (tube CVD, oxidation/diffusion furnace, and batch atomic layer deposition), and $764 million is for ECD (electro-chemical deposition). Based on Gartner’s estimates, total available global market for these equipment segments increased by 30.1% from $6.4 billion in 2020 to $8.3 billion in 2021, and is expected to increase by 8.3% to $8.9 billion in 2022. These segments are part of the worldwide semiconductor WFE market, which based on Gartner’s estimates increased by 35.6% from $64.9 billion in 2020 to $88.1 billion in 2021, and is expected to increase by 10.7% to $97.5 billion in 2022.</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 w:name="page5"/>
    <w:bookmarkEnd w:id="4"/>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Since 2009 we have delivered more than 225 wet cleaning and other front-end processing tools, more than 185 of which have been accepted by customers and thereby generated revenue to us. The balance of the delivered tools are awaiting customer acceptance should contractual conditions be met. To date, a substantial majority of our sales of single-wafer wet cleaning equipment for front-end 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and services teams and increasing our global marketing activities.</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3"/>
          <w:szCs w:val="13"/>
          <w:color w:val="auto"/>
        </w:rPr>
        <w:t>We are focused on building a strategic portfolio of intellectual property to support and protect our key innovations. Our tools have been developed using our key proprietary technologies:</w:t>
      </w:r>
    </w:p>
    <w:p>
      <w:pPr>
        <w:spacing w:after="0" w:line="41" w:lineRule="exact"/>
        <w:rPr>
          <w:sz w:val="20"/>
          <w:szCs w:val="20"/>
          <w:color w:val="auto"/>
        </w:rPr>
      </w:pPr>
    </w:p>
    <w:p>
      <w:pPr>
        <w:jc w:val="both"/>
        <w:ind w:left="410" w:hanging="410"/>
        <w:spacing w:after="0" w:line="290" w:lineRule="auto"/>
        <w:tabs>
          <w:tab w:leader="none" w:pos="41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Space Alternated Phase Shift, or SAPS, technology for flat and patterned (deep via or deep trench with stronger structure) wafer surfaces. </w:t>
      </w:r>
      <w:r>
        <w:rPr>
          <w:rFonts w:ascii="Arial" w:cs="Arial" w:eastAsia="Arial" w:hAnsi="Arial"/>
          <w:sz w:val="13"/>
          <w:szCs w:val="13"/>
          <w:color w:val="auto"/>
        </w:rPr>
        <w:t>SAPS technology employs alternating</w:t>
      </w:r>
      <w:r>
        <w:rPr>
          <w:rFonts w:ascii="Arial" w:cs="Arial" w:eastAsia="Arial" w:hAnsi="Arial"/>
          <w:sz w:val="13"/>
          <w:szCs w:val="13"/>
          <w:i w:val="1"/>
          <w:iCs w:val="1"/>
          <w:color w:val="auto"/>
        </w:rPr>
        <w:t xml:space="preserve"> </w:t>
      </w:r>
      <w:r>
        <w:rPr>
          <w:rFonts w:ascii="Arial" w:cs="Arial" w:eastAsia="Arial" w:hAnsi="Arial"/>
          <w:sz w:val="13"/>
          <w:szCs w:val="13"/>
          <w:color w:val="auto"/>
        </w:rPr>
        <w:t>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spacing w:after="0" w:line="1" w:lineRule="exact"/>
        <w:rPr>
          <w:rFonts w:ascii="Arial" w:cs="Arial" w:eastAsia="Arial" w:hAnsi="Arial"/>
          <w:sz w:val="13"/>
          <w:szCs w:val="13"/>
          <w:color w:val="auto"/>
        </w:rPr>
      </w:pPr>
    </w:p>
    <w:p>
      <w:pPr>
        <w:jc w:val="both"/>
        <w:ind w:left="410" w:hanging="410"/>
        <w:spacing w:after="0" w:line="181" w:lineRule="exact"/>
        <w:tabs>
          <w:tab w:leader="none" w:pos="41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Timely Energized Bubble Oscillation, or TEBO, technology for patterned wafer surfaces at advanced process nodes</w:t>
      </w:r>
      <w:r>
        <w:rPr>
          <w:rFonts w:ascii="Arial" w:cs="Arial" w:eastAsia="Arial" w:hAnsi="Arial"/>
          <w:sz w:val="15"/>
          <w:szCs w:val="15"/>
          <w:color w:val="auto"/>
        </w:rPr>
        <w:t>. TEBO technology has been developed to provide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r>
      <w:r>
        <w:rPr>
          <w:rFonts w:ascii="MS PGothic" w:cs="MS PGothic" w:eastAsia="MS PGothic" w:hAnsi="MS PGothic"/>
          <w:sz w:val="15"/>
          <w:szCs w:val="15"/>
          <w:color w:val="auto"/>
        </w:rPr>
        <w:t>‑</w:t>
      </w:r>
      <w:r>
        <w:rPr>
          <w:rFonts w:ascii="Arial" w:cs="Arial" w:eastAsia="Arial" w:hAnsi="Arial"/>
          <w:sz w:val="15"/>
          <w:szCs w:val="15"/>
          <w:color w:val="auto"/>
        </w:rPr>
        <w:t>to</w:t>
      </w:r>
      <w:r>
        <w:rPr>
          <w:rFonts w:ascii="MS PGothic" w:cs="MS PGothic" w:eastAsia="MS PGothic" w:hAnsi="MS PGothic"/>
          <w:sz w:val="15"/>
          <w:szCs w:val="15"/>
          <w:color w:val="auto"/>
        </w:rPr>
        <w:t>‑</w:t>
      </w:r>
      <w:r>
        <w:rPr>
          <w:rFonts w:ascii="Arial" w:cs="Arial" w:eastAsia="Arial" w:hAnsi="Arial"/>
          <w:sz w:val="15"/>
          <w:szCs w:val="15"/>
          <w:color w:val="auto"/>
        </w:rPr>
        <w:t>1.</w:t>
      </w:r>
    </w:p>
    <w:p>
      <w:pPr>
        <w:spacing w:after="0" w:line="2" w:lineRule="exact"/>
        <w:rPr>
          <w:rFonts w:ascii="Arial" w:cs="Arial" w:eastAsia="Arial" w:hAnsi="Arial"/>
          <w:sz w:val="15"/>
          <w:szCs w:val="15"/>
          <w:color w:val="auto"/>
        </w:rPr>
      </w:pPr>
    </w:p>
    <w:p>
      <w:pPr>
        <w:ind w:left="410" w:right="20" w:hanging="410"/>
        <w:spacing w:after="0" w:line="251" w:lineRule="auto"/>
        <w:tabs>
          <w:tab w:leader="none" w:pos="41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Tahoe technology for cost and environmental savings. </w:t>
      </w:r>
      <w:r>
        <w:rPr>
          <w:rFonts w:ascii="Arial" w:cs="Arial" w:eastAsia="Arial" w:hAnsi="Arial"/>
          <w:sz w:val="15"/>
          <w:szCs w:val="15"/>
          <w:color w:val="auto"/>
        </w:rPr>
        <w:t>Tahoe technology delivers high cleaning performance using significantly less sulfuric acid and hydrogen peroxide than is</w:t>
      </w:r>
      <w:r>
        <w:rPr>
          <w:rFonts w:ascii="Arial" w:cs="Arial" w:eastAsia="Arial" w:hAnsi="Arial"/>
          <w:sz w:val="15"/>
          <w:szCs w:val="15"/>
          <w:i w:val="1"/>
          <w:iCs w:val="1"/>
          <w:color w:val="auto"/>
        </w:rPr>
        <w:t xml:space="preserve"> </w:t>
      </w:r>
      <w:r>
        <w:rPr>
          <w:rFonts w:ascii="Arial" w:cs="Arial" w:eastAsia="Arial" w:hAnsi="Arial"/>
          <w:sz w:val="15"/>
          <w:szCs w:val="15"/>
          <w:color w:val="auto"/>
        </w:rPr>
        <w:t>typically consumed by conventional high-temperature single-wafer cleaning tools.</w:t>
      </w:r>
    </w:p>
    <w:p>
      <w:pPr>
        <w:spacing w:after="0" w:line="1" w:lineRule="exact"/>
        <w:rPr>
          <w:rFonts w:ascii="Arial" w:cs="Arial" w:eastAsia="Arial" w:hAnsi="Arial"/>
          <w:sz w:val="15"/>
          <w:szCs w:val="15"/>
          <w:color w:val="auto"/>
        </w:rPr>
      </w:pPr>
    </w:p>
    <w:p>
      <w:pPr>
        <w:jc w:val="both"/>
        <w:ind w:left="410" w:hanging="410"/>
        <w:spacing w:after="0" w:line="255" w:lineRule="auto"/>
        <w:tabs>
          <w:tab w:leader="none" w:pos="41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ECP technology for advanced metal plating. </w:t>
      </w:r>
      <w:r>
        <w:rPr>
          <w:rFonts w:ascii="Arial" w:cs="Arial" w:eastAsia="Arial" w:hAnsi="Arial"/>
          <w:sz w:val="15"/>
          <w:szCs w:val="15"/>
          <w:color w:val="auto"/>
        </w:rPr>
        <w:t>Our Ultra ECP ap, or Advanced Packaging, technology was developed for back-end assembly processes to deliver a more uniform</w:t>
      </w:r>
      <w:r>
        <w:rPr>
          <w:rFonts w:ascii="Arial" w:cs="Arial" w:eastAsia="Arial" w:hAnsi="Arial"/>
          <w:sz w:val="15"/>
          <w:szCs w:val="15"/>
          <w:i w:val="1"/>
          <w:iCs w:val="1"/>
          <w:color w:val="auto"/>
        </w:rPr>
        <w:t xml:space="preserve"> </w:t>
      </w:r>
      <w:r>
        <w:rPr>
          <w:rFonts w:ascii="Arial" w:cs="Arial" w:eastAsia="Arial" w:hAnsi="Arial"/>
          <w:sz w:val="15"/>
          <w:szCs w:val="15"/>
          <w:color w:val="auto"/>
        </w:rPr>
        <w:t>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28nm, 14nm and beyond.</w:t>
      </w:r>
    </w:p>
    <w:p>
      <w:pPr>
        <w:spacing w:after="0" w:line="163"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In 2020 we introduced and delivered a range of new tools intended to broaden our revenue opportunity with global semiconductor manufacturers. Product extensions include the Ultra SFP ap tool for advanced packaging solutions, the Ultra C VI 18-chamber single wafer cleaning tool for advanced memory devices, and the Ultra ECP 3d platform for through-silicon-via, or tsv, application. New product lines include the Ultra fn Furnace, our first dry processing tool, and a suite of semi-critical cleaning systems which include single wafer back side cleaning, scrubber, and auto bench cleaning tools.</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have been issued more than 411 patents in the United States, the People’s Republic of China or PRC, Japan, Singapore, South Korea and Taiwan.</w:t>
      </w:r>
    </w:p>
    <w:p>
      <w:pPr>
        <w:spacing w:after="0" w:line="190" w:lineRule="exact"/>
        <w:rPr>
          <w:sz w:val="20"/>
          <w:szCs w:val="20"/>
          <w:color w:val="auto"/>
        </w:rPr>
      </w:pPr>
    </w:p>
    <w:p>
      <w:pPr>
        <w:jc w:val="both"/>
        <w:ind w:left="10"/>
        <w:spacing w:after="0" w:line="274" w:lineRule="auto"/>
        <w:rPr>
          <w:sz w:val="20"/>
          <w:szCs w:val="20"/>
          <w:color w:val="auto"/>
        </w:rPr>
      </w:pPr>
      <w:r>
        <w:rPr>
          <w:rFonts w:ascii="Arial" w:cs="Arial" w:eastAsia="Arial" w:hAnsi="Arial"/>
          <w:sz w:val="14"/>
          <w:szCs w:val="14"/>
          <w:color w:val="auto"/>
        </w:rPr>
        <w:t>We conduct a substantial majority of our product development, manufacturing, support and services in the PRC, with additional product development and subsystem production in South Korea. Substantially all of our integrated tools are built to order at our manufacturing facilities in the Pudong region of Shanghai, which now encompass a total of 236,000 square feet of floor space for production capacity, with 100,000 square feet having been added in 2021 with the lease of a second building in the Pudong region of Shanghai. In May 2020 ACM Shanghai, through its wholly owned subsidiary Shengwei Research (Shanghai), Inc., entered into an agreement for a land use right in the Lingang region of Shanghai. In 2020 Shengwei Research (Shanghai), Inc. began a multi-year construction project for a new 1,000,000 square foot development and production center that will incorporate state-of-the-art manufacturing systems and automation technologies, and will provide floor space to support significantly increase production capacity and related research and development activities. Our experience has shown that chip manufacturers in the PRC and throughout Asia demand equipment meeting their specific technical requirements and prefer building relationships with local suppliers. We will continue to seek to leverage our local presence in the PRC and South Korea to address the growing market for semiconductor manufacturing equipment in the region by working closely with regional chip manufacturers to understand their specific requirements, encourage them to adopt our technologies, and enable us to design innovative products and solutions to address their needs.</w:t>
      </w:r>
    </w:p>
    <w:p>
      <w:pPr>
        <w:spacing w:after="0" w:line="306"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5" w:name="page6"/>
    <w:bookmarkEnd w:id="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On November 18, 2021, ACM’s operating subsidiary, ACM Research (Shanghai), Inc., or ACM Shanghai, successfully completed its initial public offering of shares of ACM Shanghai in the PRC, which we refer to as the STAR IPO, and its shares began trading on the Shanghai Stock Exchange’s Sci-Tech innovAtion boaRd, known as the STAR Market, which we refer to as the STAR Listing, as described under “Item 7. Management’s Discussion and Analysis of Financial Condition and Results of Operations—STAR Market Listing and IPO.”</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Technology and Product Offerings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Wet Cleaning Equipment for Front End Production Processes</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Chip fabricators can use our single-wafer wet-cleaning tools in numerous steps to improve product yield in the front-end production process, during which individual devices are patterned in a chip prior to being interconnected on a wafer. Our wet-cleaning equipment has been developed using our proprietary SAPS, TEBO and Tahoe technologies, which allow our tools to remove random defects from a wafer surface effectively, without damaging a wafer or its features, even at increasingly advanced process nodes (the minimum line widths on a chip) of 22nm or less. We use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 millimeter, or mm, silicon wafers, but we also offer solutions for 150mm and 200mm wafers and for nonstandard substrates, including compound semiconductor, quartz, sapphire, glass and plastics.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SAPS Technology, Applications and Equipment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SAPS Technology</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in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20nm and below. These trials show that SAPS technology has an even greater relative advantage over conventional jet spray technology for cleaning defects between 50 and 65nm in size, and we expect the relative benefits of SAPS will continue to apply in cleaning even smaller defect sizes.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SAPS Applications</w:t>
      </w:r>
    </w:p>
    <w:p>
      <w:pPr>
        <w:spacing w:after="0" w:line="19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SAPS megasonic cleaning technology can be applied during the chip fabrication process to clean wafer surfaces and interconnects. It also can be used to clean, and lengthen the lifetime, of recycled test wafers.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 w:name="page7"/>
    <w:bookmarkEnd w:id="6"/>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10" w:right="20"/>
        <w:spacing w:after="0" w:line="276" w:lineRule="auto"/>
        <w:rPr>
          <w:sz w:val="20"/>
          <w:szCs w:val="20"/>
          <w:color w:val="auto"/>
        </w:rPr>
      </w:pPr>
      <w:r>
        <w:rPr>
          <w:rFonts w:ascii="Arial" w:cs="Arial" w:eastAsia="Arial" w:hAnsi="Arial"/>
          <w:sz w:val="15"/>
          <w:szCs w:val="15"/>
          <w:i w:val="1"/>
          <w:iCs w:val="1"/>
          <w:color w:val="auto"/>
        </w:rPr>
        <w:t xml:space="preserve">Wafer Surfaces. </w:t>
      </w:r>
      <w:r>
        <w:rPr>
          <w:rFonts w:ascii="Arial" w:cs="Arial" w:eastAsia="Arial" w:hAnsi="Arial"/>
          <w:sz w:val="15"/>
          <w:szCs w:val="15"/>
          <w:color w:val="auto"/>
        </w:rPr>
        <w:t>SAPS technology can enhance removal of random defects following planarization and deposition, which are among the most important, and most repeated, steps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fabrication process:</w:t>
      </w:r>
    </w:p>
    <w:p>
      <w:pPr>
        <w:spacing w:after="0" w:line="146" w:lineRule="exact"/>
        <w:rPr>
          <w:sz w:val="20"/>
          <w:szCs w:val="20"/>
          <w:color w:val="auto"/>
        </w:rPr>
      </w:pPr>
    </w:p>
    <w:p>
      <w:pPr>
        <w:jc w:val="both"/>
        <w:ind w:left="410" w:hanging="410"/>
        <w:spacing w:after="0" w:line="256" w:lineRule="auto"/>
        <w:tabs>
          <w:tab w:leader="none" w:pos="41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Post CMP</w:t>
      </w:r>
      <w:r>
        <w:rPr>
          <w:rFonts w:ascii="Arial" w:cs="Arial" w:eastAsia="Arial" w:hAnsi="Arial"/>
          <w:sz w:val="15"/>
          <w:szCs w:val="15"/>
          <w:color w:val="auto"/>
        </w:rPr>
        <w:t>: Chemical mechanical planarization, or CMP, uses an abrasive chemical slurry following other fabrication processes, such as deposition and etching, in order to achieve</w:t>
      </w:r>
      <w:r>
        <w:rPr>
          <w:rFonts w:ascii="Arial" w:cs="Arial" w:eastAsia="Arial" w:hAnsi="Arial"/>
          <w:sz w:val="15"/>
          <w:szCs w:val="15"/>
          <w:i w:val="1"/>
          <w:iCs w:val="1"/>
          <w:color w:val="auto"/>
        </w:rPr>
        <w:t xml:space="preserve"> </w:t>
      </w:r>
      <w:r>
        <w:rPr>
          <w:rFonts w:ascii="Arial" w:cs="Arial" w:eastAsia="Arial" w:hAnsi="Arial"/>
          <w:sz w:val="15"/>
          <w:szCs w:val="15"/>
          <w:color w:val="auto"/>
        </w:rPr>
        <w:t>a smooth wafer surface in preparation for subsequent processing steps. SAPS technology can be applied following each CMP process to remove residual random defects deposited or formed during CMP.</w:t>
      </w:r>
    </w:p>
    <w:p>
      <w:pPr>
        <w:jc w:val="both"/>
        <w:ind w:left="410" w:hanging="410"/>
        <w:spacing w:after="0" w:line="284" w:lineRule="auto"/>
        <w:tabs>
          <w:tab w:leader="none" w:pos="41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Post Hard Mask Deposition: </w:t>
      </w:r>
      <w:r>
        <w:rPr>
          <w:rFonts w:ascii="Arial" w:cs="Arial" w:eastAsia="Arial" w:hAnsi="Arial"/>
          <w:sz w:val="14"/>
          <w:szCs w:val="14"/>
          <w:color w:val="auto"/>
        </w:rPr>
        <w:t>As part of the photolithographical patterning process, a mask is applied with each deposition of a material layer to prevent etching of material</w:t>
      </w:r>
      <w:r>
        <w:rPr>
          <w:rFonts w:ascii="Arial" w:cs="Arial" w:eastAsia="Arial" w:hAnsi="Arial"/>
          <w:sz w:val="14"/>
          <w:szCs w:val="14"/>
          <w:i w:val="1"/>
          <w:iCs w:val="1"/>
          <w:color w:val="auto"/>
        </w:rPr>
        <w:t xml:space="preserve"> </w:t>
      </w:r>
      <w:r>
        <w:rPr>
          <w:rFonts w:ascii="Arial" w:cs="Arial" w:eastAsia="Arial" w:hAnsi="Arial"/>
          <w:sz w:val="14"/>
          <w:szCs w:val="14"/>
          <w:color w:val="auto"/>
        </w:rPr>
        <w:t>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143" w:lineRule="exact"/>
        <w:rPr>
          <w:sz w:val="20"/>
          <w:szCs w:val="20"/>
          <w:color w:val="auto"/>
        </w:rPr>
      </w:pPr>
    </w:p>
    <w:p>
      <w:pPr>
        <w:jc w:val="both"/>
        <w:ind w:left="10"/>
        <w:spacing w:after="0" w:line="278" w:lineRule="auto"/>
        <w:rPr>
          <w:sz w:val="20"/>
          <w:szCs w:val="20"/>
          <w:color w:val="auto"/>
        </w:rPr>
      </w:pPr>
      <w:r>
        <w:rPr>
          <w:rFonts w:ascii="Arial" w:cs="Arial" w:eastAsia="Arial" w:hAnsi="Arial"/>
          <w:sz w:val="14"/>
          <w:szCs w:val="14"/>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48"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i w:val="1"/>
          <w:iCs w:val="1"/>
          <w:color w:val="auto"/>
        </w:rPr>
        <w:t>Interconnects and Barrier Metals</w:t>
      </w:r>
      <w:r>
        <w:rPr>
          <w:rFonts w:ascii="Arial" w:cs="Arial" w:eastAsia="Arial" w:hAnsi="Arial"/>
          <w:sz w:val="15"/>
          <w:szCs w:val="15"/>
          <w:color w:val="auto"/>
        </w:rPr>
        <w:t>. Each successive advanced process node has led to finer feature sizes of interconnects such as contacts, which form electrical pathways between a</w:t>
      </w:r>
      <w:r>
        <w:rPr>
          <w:rFonts w:ascii="Arial" w:cs="Arial" w:eastAsia="Arial" w:hAnsi="Arial"/>
          <w:sz w:val="15"/>
          <w:szCs w:val="15"/>
          <w:i w:val="1"/>
          <w:iCs w:val="1"/>
          <w:color w:val="auto"/>
        </w:rPr>
        <w:t xml:space="preserve"> </w:t>
      </w:r>
      <w:r>
        <w:rPr>
          <w:rFonts w:ascii="Arial" w:cs="Arial" w:eastAsia="Arial" w:hAnsi="Arial"/>
          <w:sz w:val="15"/>
          <w:szCs w:val="15"/>
          <w:color w:val="auto"/>
        </w:rPr>
        <w:t>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158" w:lineRule="exact"/>
        <w:rPr>
          <w:sz w:val="20"/>
          <w:szCs w:val="20"/>
          <w:color w:val="auto"/>
        </w:rPr>
      </w:pPr>
    </w:p>
    <w:p>
      <w:pPr>
        <w:ind w:left="410" w:right="20" w:hanging="410"/>
        <w:spacing w:after="0" w:line="258" w:lineRule="auto"/>
        <w:tabs>
          <w:tab w:leader="none" w:pos="41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Post Contact/Via Etch: </w:t>
      </w:r>
      <w:r>
        <w:rPr>
          <w:rFonts w:ascii="Arial" w:cs="Arial" w:eastAsia="Arial" w:hAnsi="Arial"/>
          <w:sz w:val="15"/>
          <w:szCs w:val="15"/>
          <w:color w:val="auto"/>
        </w:rPr>
        <w:t>Wet etching processes are commonly used to create patterns of high-density contacts and vias. SAPS technology can be applied after each such etching</w:t>
      </w:r>
      <w:r>
        <w:rPr>
          <w:rFonts w:ascii="Arial" w:cs="Arial" w:eastAsia="Arial" w:hAnsi="Arial"/>
          <w:sz w:val="15"/>
          <w:szCs w:val="15"/>
          <w:i w:val="1"/>
          <w:iCs w:val="1"/>
          <w:color w:val="auto"/>
        </w:rPr>
        <w:t xml:space="preserve"> </w:t>
      </w:r>
      <w:r>
        <w:rPr>
          <w:rFonts w:ascii="Arial" w:cs="Arial" w:eastAsia="Arial" w:hAnsi="Arial"/>
          <w:sz w:val="15"/>
          <w:szCs w:val="15"/>
          <w:color w:val="auto"/>
        </w:rPr>
        <w:t>process to remove random defects that could otherwise lead to electrical shorts.</w:t>
      </w:r>
    </w:p>
    <w:p>
      <w:pPr>
        <w:ind w:left="410" w:right="20" w:hanging="410"/>
        <w:spacing w:after="0" w:line="263" w:lineRule="auto"/>
        <w:tabs>
          <w:tab w:leader="none" w:pos="41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Pre Barrier Metal Deposition</w:t>
      </w:r>
      <w:r>
        <w:rPr>
          <w:rFonts w:ascii="Arial" w:cs="Arial" w:eastAsia="Arial" w:hAnsi="Arial"/>
          <w:sz w:val="15"/>
          <w:szCs w:val="15"/>
          <w:color w:val="auto"/>
        </w:rPr>
        <w:t>: Copper wiring requires metal diffusion barriers at the top of via holes to prevent electrical leakage. SAPS technology can be applied prior to</w:t>
      </w:r>
      <w:r>
        <w:rPr>
          <w:rFonts w:ascii="Arial" w:cs="Arial" w:eastAsia="Arial" w:hAnsi="Arial"/>
          <w:sz w:val="15"/>
          <w:szCs w:val="15"/>
          <w:i w:val="1"/>
          <w:iCs w:val="1"/>
          <w:color w:val="auto"/>
        </w:rPr>
        <w:t xml:space="preserve"> </w:t>
      </w:r>
      <w:r>
        <w:rPr>
          <w:rFonts w:ascii="Arial" w:cs="Arial" w:eastAsia="Arial" w:hAnsi="Arial"/>
          <w:sz w:val="15"/>
          <w:szCs w:val="15"/>
          <w:color w:val="auto"/>
        </w:rPr>
        <w:t>deposition of barrier metal to remove residual oxidized copper, which otherwise would adhere poorly to the barrier and impair performance.</w:t>
      </w:r>
    </w:p>
    <w:p>
      <w:pPr>
        <w:spacing w:after="0" w:line="156"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58" w:lineRule="exact"/>
        <w:rPr>
          <w:sz w:val="20"/>
          <w:szCs w:val="20"/>
          <w:color w:val="auto"/>
        </w:rPr>
      </w:pPr>
    </w:p>
    <w:p>
      <w:pPr>
        <w:jc w:val="both"/>
        <w:ind w:left="10"/>
        <w:spacing w:after="0" w:line="277" w:lineRule="auto"/>
        <w:rPr>
          <w:sz w:val="20"/>
          <w:szCs w:val="20"/>
          <w:color w:val="auto"/>
        </w:rPr>
      </w:pPr>
      <w:r>
        <w:rPr>
          <w:rFonts w:ascii="Arial" w:cs="Arial" w:eastAsia="Arial" w:hAnsi="Arial"/>
          <w:sz w:val="14"/>
          <w:szCs w:val="14"/>
          <w:i w:val="1"/>
          <w:iCs w:val="1"/>
          <w:color w:val="auto"/>
        </w:rPr>
        <w:t xml:space="preserve">Recycled Test Wafers. </w:t>
      </w:r>
      <w:r>
        <w:rPr>
          <w:rFonts w:ascii="Arial" w:cs="Arial" w:eastAsia="Arial" w:hAnsi="Arial"/>
          <w:sz w:val="14"/>
          <w:szCs w:val="14"/>
          <w:color w:val="auto"/>
        </w:rPr>
        <w:t>In addition to using silicon wafers for chip production, chip manufacturers routinely process wafers through a limited portion of the front-end fabrication steps in</w:t>
      </w:r>
      <w:r>
        <w:rPr>
          <w:rFonts w:ascii="Arial" w:cs="Arial" w:eastAsia="Arial" w:hAnsi="Arial"/>
          <w:sz w:val="14"/>
          <w:szCs w:val="14"/>
          <w:i w:val="1"/>
          <w:iCs w:val="1"/>
          <w:color w:val="auto"/>
        </w:rPr>
        <w:t xml:space="preserve"> </w:t>
      </w:r>
      <w:r>
        <w:rPr>
          <w:rFonts w:ascii="Arial" w:cs="Arial" w:eastAsia="Arial" w:hAnsi="Arial"/>
          <w:sz w:val="14"/>
          <w:szCs w:val="14"/>
          <w:color w:val="auto"/>
        </w:rPr>
        <w:t>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30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7" w:name="page8"/>
    <w:bookmarkEnd w:id="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SAPS Equipment</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offer two principal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926465" cy="904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6465" cy="90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SAPS II (released in 2011). </w:t>
      </w:r>
      <w:r>
        <w:rPr>
          <w:rFonts w:ascii="Arial" w:cs="Arial" w:eastAsia="Arial" w:hAnsi="Arial"/>
          <w:sz w:val="15"/>
          <w:szCs w:val="15"/>
          <w:color w:val="auto"/>
        </w:rPr>
        <w:t>Highlights of our SAPS II equipment include:</w:t>
      </w:r>
    </w:p>
    <w:p>
      <w:pPr>
        <w:spacing w:after="0" w:line="190" w:lineRule="exact"/>
        <w:rPr>
          <w:sz w:val="20"/>
          <w:szCs w:val="20"/>
          <w:color w:val="auto"/>
        </w:rPr>
      </w:pPr>
    </w:p>
    <w:p>
      <w:pPr>
        <w:ind w:left="3320" w:hanging="275"/>
        <w:spacing w:after="0"/>
        <w:tabs>
          <w:tab w:leader="none" w:pos="3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compact design, with footprint of 2.65m x 4.10m x 2.85m (WxDxH), requiring limited clean room floor space;</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up to 8 chambers, providing throughput of up to 225 wafers per hour;</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double-sided cleaning capability, with up to 5 cleaning chemicals for process flexibility;</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2-chemical recycling capability for reduced chemical consumption;</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image wafer detection method for lowering wafer breakage rates; and</w:t>
      </w:r>
    </w:p>
    <w:p>
      <w:pPr>
        <w:spacing w:after="0" w:line="189" w:lineRule="exact"/>
        <w:rPr>
          <w:rFonts w:ascii="Arial" w:cs="Arial" w:eastAsia="Arial" w:hAnsi="Arial"/>
          <w:sz w:val="15"/>
          <w:szCs w:val="15"/>
          <w:color w:val="auto"/>
        </w:rPr>
      </w:pPr>
    </w:p>
    <w:p>
      <w:pPr>
        <w:ind w:left="3320" w:hanging="275"/>
        <w:spacing w:after="0" w:line="276" w:lineRule="auto"/>
        <w:tabs>
          <w:tab w:leader="none" w:pos="3371" w:val="left"/>
        </w:tabs>
        <w:numPr>
          <w:ilvl w:val="0"/>
          <w:numId w:val="6"/>
        </w:numPr>
        <w:rPr>
          <w:rFonts w:ascii="Arial" w:cs="Arial" w:eastAsia="Arial" w:hAnsi="Arial"/>
          <w:sz w:val="15"/>
          <w:szCs w:val="15"/>
          <w:color w:val="auto"/>
        </w:rPr>
      </w:pPr>
      <w:r>
        <w:rPr>
          <w:rFonts w:ascii="Arial" w:cs="Arial" w:eastAsia="Arial" w:hAnsi="Arial"/>
          <w:sz w:val="15"/>
          <w:szCs w:val="15"/>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-1393825</wp:posOffset>
            </wp:positionV>
            <wp:extent cx="1077595" cy="1005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7595" cy="100584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SAPS V (released in 2014). </w:t>
      </w:r>
      <w:r>
        <w:rPr>
          <w:rFonts w:ascii="Arial" w:cs="Arial" w:eastAsia="Arial" w:hAnsi="Arial"/>
          <w:sz w:val="15"/>
          <w:szCs w:val="15"/>
          <w:color w:val="auto"/>
        </w:rPr>
        <w:t>SAPS V includes SAPS II features with the following upgrades:</w:t>
      </w:r>
    </w:p>
    <w:p>
      <w:pPr>
        <w:spacing w:after="0" w:line="190" w:lineRule="exact"/>
        <w:rPr>
          <w:sz w:val="20"/>
          <w:szCs w:val="20"/>
          <w:color w:val="auto"/>
        </w:rPr>
      </w:pPr>
    </w:p>
    <w:p>
      <w:pPr>
        <w:ind w:left="3320" w:hanging="275"/>
        <w:spacing w:after="0"/>
        <w:tabs>
          <w:tab w:leader="none" w:pos="3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compact design, with footprint of 2.55m x 5.1m x 2.85m (WxDxH), requiring limited clean room floor space;</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up to 12 chambers, providing throughput of up to 375 wafers per hour;</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chemical supply system integrated into mainframe;</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inline mixing method replaces tank auto-changing, reducing process time; and</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-1021715</wp:posOffset>
            </wp:positionV>
            <wp:extent cx="1120775" cy="976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0775" cy="976630"/>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 w:name="page9"/>
    <w:bookmarkEnd w:id="8"/>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ind w:left="550"/>
        <w:spacing w:after="0"/>
        <w:rPr>
          <w:sz w:val="20"/>
          <w:szCs w:val="20"/>
          <w:color w:val="auto"/>
        </w:rPr>
      </w:pPr>
      <w:r>
        <w:rPr>
          <w:rFonts w:ascii="Arial" w:cs="Arial" w:eastAsia="Arial" w:hAnsi="Arial"/>
          <w:sz w:val="15"/>
          <w:szCs w:val="15"/>
          <w:b w:val="1"/>
          <w:bCs w:val="1"/>
          <w:color w:val="auto"/>
        </w:rPr>
        <w:t>TEBO Technology, Applications and Equipment</w:t>
      </w:r>
    </w:p>
    <w:p>
      <w:pPr>
        <w:spacing w:after="0" w:line="194" w:lineRule="exact"/>
        <w:rPr>
          <w:sz w:val="20"/>
          <w:szCs w:val="20"/>
          <w:color w:val="auto"/>
        </w:rPr>
      </w:pPr>
    </w:p>
    <w:p>
      <w:pPr>
        <w:ind w:left="550"/>
        <w:spacing w:after="0"/>
        <w:rPr>
          <w:sz w:val="20"/>
          <w:szCs w:val="20"/>
          <w:color w:val="auto"/>
        </w:rPr>
      </w:pPr>
      <w:r>
        <w:rPr>
          <w:rFonts w:ascii="Arial" w:cs="Arial" w:eastAsia="Arial" w:hAnsi="Arial"/>
          <w:sz w:val="15"/>
          <w:szCs w:val="15"/>
          <w:u w:val="single" w:color="auto"/>
          <w:color w:val="auto"/>
        </w:rPr>
        <w:t>TEBO Technology</w:t>
      </w:r>
    </w:p>
    <w:p>
      <w:pPr>
        <w:spacing w:after="0" w:line="19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We developed TEBO technology for application in wet wafer cleaning during the fabrication of 2D and 3D wafers with fine feature sizes. TEBO technology facilitates effective cleaning even with patterned features too small or fragile to be addressed by conventional jet spray and megasonic cleaning technologies.</w:t>
      </w:r>
    </w:p>
    <w:p>
      <w:pPr>
        <w:spacing w:after="0" w:line="146"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59" w:lineRule="exact"/>
        <w:rPr>
          <w:sz w:val="20"/>
          <w:szCs w:val="20"/>
          <w:color w:val="auto"/>
        </w:rPr>
      </w:pPr>
    </w:p>
    <w:p>
      <w:pPr>
        <w:jc w:val="both"/>
        <w:ind w:left="10"/>
        <w:spacing w:after="0" w:line="323" w:lineRule="auto"/>
        <w:rPr>
          <w:sz w:val="20"/>
          <w:szCs w:val="20"/>
          <w:color w:val="auto"/>
        </w:rPr>
      </w:pPr>
      <w:r>
        <w:rPr>
          <w:rFonts w:ascii="Arial" w:cs="Arial" w:eastAsia="Arial" w:hAnsi="Arial"/>
          <w:sz w:val="13"/>
          <w:szCs w:val="13"/>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20" w:lineRule="exact"/>
        <w:rPr>
          <w:sz w:val="20"/>
          <w:szCs w:val="20"/>
          <w:color w:val="auto"/>
        </w:rPr>
      </w:pPr>
    </w:p>
    <w:p>
      <w:pPr>
        <w:jc w:val="both"/>
        <w:ind w:left="10"/>
        <w:spacing w:after="0" w:line="303" w:lineRule="auto"/>
        <w:rPr>
          <w:sz w:val="20"/>
          <w:szCs w:val="20"/>
          <w:color w:val="auto"/>
        </w:rPr>
      </w:pPr>
      <w:r>
        <w:rPr>
          <w:rFonts w:ascii="Arial" w:cs="Arial" w:eastAsia="Arial" w:hAnsi="Arial"/>
          <w:sz w:val="13"/>
          <w:szCs w:val="13"/>
          <w:color w:val="auto"/>
        </w:rPr>
        <w:t>We have demonstrated the damage-free or low-damage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 Field Effect Transistors or FinFET, DRAM, 3D NAND and 3D cross point memory, and we expect it will be applicable to other 3D architectures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135" w:lineRule="exact"/>
        <w:rPr>
          <w:sz w:val="20"/>
          <w:szCs w:val="20"/>
          <w:color w:val="auto"/>
        </w:rPr>
      </w:pPr>
    </w:p>
    <w:p>
      <w:pPr>
        <w:ind w:left="550"/>
        <w:spacing w:after="0"/>
        <w:rPr>
          <w:sz w:val="20"/>
          <w:szCs w:val="20"/>
          <w:color w:val="auto"/>
        </w:rPr>
      </w:pPr>
      <w:r>
        <w:rPr>
          <w:rFonts w:ascii="Arial" w:cs="Arial" w:eastAsia="Arial" w:hAnsi="Arial"/>
          <w:sz w:val="15"/>
          <w:szCs w:val="15"/>
          <w:u w:val="single" w:color="auto"/>
          <w:color w:val="auto"/>
        </w:rPr>
        <w:t>TEBO Applications</w:t>
      </w:r>
    </w:p>
    <w:p>
      <w:pPr>
        <w:spacing w:after="0" w:line="190" w:lineRule="exact"/>
        <w:rPr>
          <w:sz w:val="20"/>
          <w:szCs w:val="20"/>
          <w:color w:val="auto"/>
        </w:rPr>
      </w:pPr>
    </w:p>
    <w:p>
      <w:pPr>
        <w:jc w:val="both"/>
        <w:ind w:left="10"/>
        <w:spacing w:after="0" w:line="274" w:lineRule="auto"/>
        <w:rPr>
          <w:sz w:val="20"/>
          <w:szCs w:val="20"/>
          <w:color w:val="auto"/>
        </w:rPr>
      </w:pPr>
      <w:r>
        <w:rPr>
          <w:rFonts w:ascii="Arial" w:cs="Arial" w:eastAsia="Arial" w:hAnsi="Arial"/>
          <w:sz w:val="14"/>
          <w:szCs w:val="14"/>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1" w:lineRule="exact"/>
        <w:rPr>
          <w:sz w:val="20"/>
          <w:szCs w:val="20"/>
          <w:color w:val="auto"/>
        </w:rPr>
      </w:pPr>
    </w:p>
    <w:p>
      <w:pPr>
        <w:ind w:left="410" w:right="20" w:hanging="410"/>
        <w:spacing w:after="0" w:line="263" w:lineRule="auto"/>
        <w:tabs>
          <w:tab w:leader="none" w:pos="41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Memory Chips: </w:t>
      </w:r>
      <w:r>
        <w:rPr>
          <w:rFonts w:ascii="Arial" w:cs="Arial" w:eastAsia="Arial" w:hAnsi="Arial"/>
          <w:sz w:val="15"/>
          <w:szCs w:val="15"/>
          <w:color w:val="auto"/>
        </w:rPr>
        <w:t>We estimate that TEBO technology can be applied in as many as 50 steps in the fabrication of a DRAM chip, consisting of up to 10 steps in cleaning ISO</w:t>
      </w:r>
      <w:r>
        <w:rPr>
          <w:rFonts w:ascii="Arial" w:cs="Arial" w:eastAsia="Arial" w:hAnsi="Arial"/>
          <w:sz w:val="15"/>
          <w:szCs w:val="15"/>
          <w:i w:val="1"/>
          <w:iCs w:val="1"/>
          <w:color w:val="auto"/>
        </w:rPr>
        <w:t xml:space="preserve"> </w:t>
      </w:r>
      <w:r>
        <w:rPr>
          <w:rFonts w:ascii="Arial" w:cs="Arial" w:eastAsia="Arial" w:hAnsi="Arial"/>
          <w:sz w:val="15"/>
          <w:szCs w:val="15"/>
          <w:color w:val="auto"/>
        </w:rPr>
        <w:t>structures, 20 steps in cleaning buried gates, and 20 steps in cleaning high aspect-ratio storage nodes and stacked films.</w:t>
      </w:r>
    </w:p>
    <w:p>
      <w:pPr>
        <w:spacing w:after="0" w:line="155" w:lineRule="exact"/>
        <w:rPr>
          <w:rFonts w:ascii="Arial" w:cs="Arial" w:eastAsia="Arial" w:hAnsi="Arial"/>
          <w:sz w:val="15"/>
          <w:szCs w:val="15"/>
          <w:color w:val="auto"/>
        </w:rPr>
      </w:pPr>
    </w:p>
    <w:p>
      <w:pPr>
        <w:ind w:left="410" w:hanging="410"/>
        <w:spacing w:after="0"/>
        <w:tabs>
          <w:tab w:leader="none" w:pos="41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Logic Chips: </w:t>
      </w:r>
      <w:r>
        <w:rPr>
          <w:rFonts w:ascii="Arial" w:cs="Arial" w:eastAsia="Arial" w:hAnsi="Arial"/>
          <w:sz w:val="15"/>
          <w:szCs w:val="15"/>
          <w:color w:val="auto"/>
        </w:rPr>
        <w:t>In the fabrication process for a logic chip with a FinFET structure, we estimate that TEBO technology can be used in 15 or more cleaning steps.</w:t>
      </w:r>
    </w:p>
    <w:p>
      <w:pPr>
        <w:spacing w:after="0" w:line="18" w:lineRule="exact"/>
        <w:rPr>
          <w:sz w:val="20"/>
          <w:szCs w:val="20"/>
          <w:color w:val="auto"/>
        </w:rPr>
      </w:pPr>
    </w:p>
    <w:p>
      <w:pPr>
        <w:ind w:left="10"/>
        <w:spacing w:after="0" w:line="263" w:lineRule="auto"/>
        <w:rPr>
          <w:sz w:val="20"/>
          <w:szCs w:val="20"/>
          <w:color w:val="auto"/>
        </w:rPr>
      </w:pPr>
      <w:r>
        <w:rPr>
          <w:rFonts w:ascii="Arial" w:cs="Arial" w:eastAsia="Arial" w:hAnsi="Arial"/>
          <w:sz w:val="15"/>
          <w:szCs w:val="15"/>
          <w:color w:val="auto"/>
        </w:rPr>
        <w:t>For purposes of solving inside pattern surface conditions for memory or logic chips, TEBO technology uses environmentally friendly dilute chemicals such as RCA SC-1 and hydrogen gas doped functional water.</w:t>
      </w:r>
    </w:p>
    <w:p>
      <w:pPr>
        <w:spacing w:after="0" w:line="309"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9" w:name="page10"/>
    <w:bookmarkEnd w:id="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TEBO Equipment</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of 28nm or less. TEBO equipment solves the problem of pattern damage caused by transient cavitation in conventional jet spray and megasonic cleaning processes, providing better particle removal efficiency with limited material loss or roughing. TEBO equipment is being evaluated by a select group of leading memory and logic chip customers.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Each model of TEBO equipment includes:</w:t>
      </w:r>
    </w:p>
    <w:p>
      <w:pPr>
        <w:spacing w:after="0" w:line="190" w:lineRule="exact"/>
        <w:rPr>
          <w:sz w:val="20"/>
          <w:szCs w:val="20"/>
          <w:color w:val="auto"/>
        </w:rPr>
      </w:pPr>
    </w:p>
    <w:p>
      <w:pPr>
        <w:ind w:left="3320" w:hanging="275"/>
        <w:spacing w:after="0"/>
        <w:tabs>
          <w:tab w:leader="none" w:pos="3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 equipment front-end module, or EFEM, which moves wafers from chamber to chamber;</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one or more chamber modules, each equipped with a TEBO megasonic generator system;</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 electrical module to provide power for the tool; and</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chemical delivery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-791845</wp:posOffset>
            </wp:positionV>
            <wp:extent cx="955675" cy="897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5675" cy="897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Ultra C TEBO II (released in 2016). </w:t>
      </w:r>
      <w:r>
        <w:rPr>
          <w:rFonts w:ascii="Arial" w:cs="Arial" w:eastAsia="Arial" w:hAnsi="Arial"/>
          <w:sz w:val="15"/>
          <w:szCs w:val="15"/>
          <w:color w:val="auto"/>
        </w:rPr>
        <w:t>Highlights of our Ultra C TEBO II equipment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1149350" cy="976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9350" cy="976630"/>
                    </a:xfrm>
                    <a:prstGeom prst="rect">
                      <a:avLst/>
                    </a:prstGeom>
                    <a:noFill/>
                  </pic:spPr>
                </pic:pic>
              </a:graphicData>
            </a:graphic>
          </wp:anchor>
        </w:drawing>
      </w:r>
    </w:p>
    <w:p>
      <w:pPr>
        <w:spacing w:after="0" w:line="215" w:lineRule="exact"/>
        <w:rPr>
          <w:sz w:val="20"/>
          <w:szCs w:val="20"/>
          <w:color w:val="auto"/>
        </w:rPr>
      </w:pPr>
    </w:p>
    <w:p>
      <w:pPr>
        <w:ind w:left="3320" w:hanging="275"/>
        <w:spacing w:after="0"/>
        <w:tabs>
          <w:tab w:leader="none" w:pos="3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compact design, with footprint of 2.25m x 2.25m x 2.85m (WxDxH);</w:t>
      </w:r>
    </w:p>
    <w:p>
      <w:pPr>
        <w:spacing w:after="0" w:line="189" w:lineRule="exact"/>
        <w:rPr>
          <w:rFonts w:ascii="Arial" w:cs="Arial" w:eastAsia="Arial" w:hAnsi="Arial"/>
          <w:sz w:val="15"/>
          <w:szCs w:val="15"/>
          <w:color w:val="auto"/>
        </w:rPr>
      </w:pPr>
    </w:p>
    <w:p>
      <w:pPr>
        <w:ind w:left="3320" w:right="20" w:hanging="275"/>
        <w:spacing w:after="0" w:line="276" w:lineRule="auto"/>
        <w:tabs>
          <w:tab w:leader="none" w:pos="3266" w:val="left"/>
        </w:tabs>
        <w:numPr>
          <w:ilvl w:val="0"/>
          <w:numId w:val="10"/>
        </w:numPr>
        <w:rPr>
          <w:rFonts w:ascii="Arial" w:cs="Arial" w:eastAsia="Arial" w:hAnsi="Arial"/>
          <w:sz w:val="15"/>
          <w:szCs w:val="15"/>
          <w:color w:val="auto"/>
        </w:rPr>
      </w:pPr>
      <w:r>
        <w:rPr>
          <w:rFonts w:ascii="Arial" w:cs="Arial" w:eastAsia="Arial" w:hAnsi="Arial"/>
          <w:sz w:val="15"/>
          <w:szCs w:val="15"/>
          <w:color w:val="auto"/>
        </w:rPr>
        <w:t>up to 8 chambers with an upgraded transport system and optimized robotic scheduler, providing throughput of up to 300 wafers per hour;</w:t>
      </w:r>
    </w:p>
    <w:p>
      <w:pPr>
        <w:spacing w:after="0" w:line="146" w:lineRule="exact"/>
        <w:rPr>
          <w:rFonts w:ascii="Arial" w:cs="Arial" w:eastAsia="Arial" w:hAnsi="Arial"/>
          <w:sz w:val="15"/>
          <w:szCs w:val="15"/>
          <w:color w:val="auto"/>
        </w:rPr>
      </w:pPr>
    </w:p>
    <w:p>
      <w:pPr>
        <w:ind w:left="3320" w:hanging="275"/>
        <w:spacing w:after="0"/>
        <w:tabs>
          <w:tab w:leader="none" w:pos="3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EFEM module consisting of 4 load ports, transfer robot and 1 process robot; and</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focus on dilute chemicals contributes to environmental sustainability and lower cost of ownership.</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Ultra C TEBO V (released in 2016). </w:t>
      </w:r>
      <w:r>
        <w:rPr>
          <w:rFonts w:ascii="Arial" w:cs="Arial" w:eastAsia="Arial" w:hAnsi="Arial"/>
          <w:sz w:val="15"/>
          <w:szCs w:val="15"/>
          <w:color w:val="auto"/>
        </w:rPr>
        <w:t>Highlights of our Ultra C TEBO V equipment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1149350" cy="991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9350" cy="991235"/>
                    </a:xfrm>
                    <a:prstGeom prst="rect">
                      <a:avLst/>
                    </a:prstGeom>
                    <a:noFill/>
                  </pic:spPr>
                </pic:pic>
              </a:graphicData>
            </a:graphic>
          </wp:anchor>
        </w:drawing>
      </w:r>
    </w:p>
    <w:p>
      <w:pPr>
        <w:spacing w:after="0" w:line="226" w:lineRule="exact"/>
        <w:rPr>
          <w:sz w:val="20"/>
          <w:szCs w:val="20"/>
          <w:color w:val="auto"/>
        </w:rPr>
      </w:pPr>
    </w:p>
    <w:p>
      <w:pPr>
        <w:ind w:left="3320" w:hanging="275"/>
        <w:spacing w:after="0"/>
        <w:tabs>
          <w:tab w:leader="none" w:pos="3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footprint of 2.45m x 5.30m x 2.85m (WxDxH);</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up to 12 chamber modules, providing throughput of up to 300 wafers per hour;</w:t>
      </w:r>
    </w:p>
    <w:p>
      <w:pPr>
        <w:spacing w:after="0" w:line="189" w:lineRule="exact"/>
        <w:rPr>
          <w:rFonts w:ascii="Arial" w:cs="Arial" w:eastAsia="Arial" w:hAnsi="Arial"/>
          <w:sz w:val="15"/>
          <w:szCs w:val="15"/>
          <w:color w:val="auto"/>
        </w:rPr>
      </w:pPr>
    </w:p>
    <w:p>
      <w:pPr>
        <w:ind w:left="3320" w:hanging="275"/>
        <w:spacing w:after="0"/>
        <w:tabs>
          <w:tab w:leader="none" w:pos="3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EFEM module consisting of 4 load ports, 1 transfer robot and 1 process robot; and</w:t>
      </w:r>
    </w:p>
    <w:p>
      <w:pPr>
        <w:spacing w:after="0" w:line="189" w:lineRule="exact"/>
        <w:rPr>
          <w:rFonts w:ascii="Arial" w:cs="Arial" w:eastAsia="Arial" w:hAnsi="Arial"/>
          <w:sz w:val="15"/>
          <w:szCs w:val="15"/>
          <w:color w:val="auto"/>
        </w:rPr>
      </w:pPr>
    </w:p>
    <w:p>
      <w:pPr>
        <w:ind w:left="3320" w:right="20" w:hanging="275"/>
        <w:spacing w:after="0" w:line="276" w:lineRule="auto"/>
        <w:tabs>
          <w:tab w:leader="none" w:pos="3361"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chemical delivery module for delivery of isopropyl alcohol, dilute hydrofluoric acid, RCA SC-1 solution, functional de-ionized water and carbon dioxide to each of the chambers.</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Tahoe Overview</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Ultra-C Tahoe wafer cleaning tool can deliver high cleaning performance using significantly less sulfuric acid and hydrogen peroxide than is typically consumed by conventional high-temperature single-wafer cleaning tools. During normal single-wafer cleaning processes, only a fraction of the acid reacts with the wafer surface, while the majority is wasted as acid spins off the wafer and requires significant cost and effort to be recycled. Tahoe employs a proprietary hybrid approach in which the sulfuric acid cleaning steps are processed in batch mode, and the final stage cleaning are processed with single-wafer cleaning technologies. In addition to providing cost savings resulting from vastly reduced sulfuric acid consumption, Ultra-C Tahoe meets the needs of customers who face increased environmental regulations and demand new, more environmentally friendly tools. We delivered our first Ultra C Tahoe tool to a strategic customer in 2019.</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 w:name="page11"/>
    <w:bookmarkEnd w:id="1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Advanced Packaging and other Back-End Processing Tools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leverage our technology and expertise to provide a range of single-wafer tools for back-end wafer assembly and packaging factories. We develop, manufacture and sell a wide range of advanced packaging tools, such as coaters, developers, photoresist strippers, scrubbers, wet etchers and copper-plating tools. We focus on providing custom-made, differentiated equipment that incorporates customer-requested features at a competitive price.</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Based on requests from customers, we developed and incorporated the special function of chamber auto-clean module into the Ultra C Coater, which further differentiates it from other products in the market by reducing or eliminating the cleaning of shroud in the coater which increases the tool’s continuous production time. The Ultra C Coater is designed to deliver improved throughput and more efficient tool utilization while eliminating particle generation.</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other advanced packaging tools include: Ultra ECP ap, which delivers a uniform metal layer to finished wafers prior to packaging; Ultra C Developer, which applies liquid developer to selected parts of photoresist to resolve an image; Ultra C PR Megasonic-Assisted Stripper, which removes photoresist; Ultra C Scrubber, which scrubs and cleans wafers; Ultra C Thin Wafer Scrubber, which addresses a sub-market of cleaning very thin wafers for certain Asian assembly factories; and Ultra C Wet Etcher, which etches silicon wafers and copper and titanium interconnects.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Customers</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Since 2009 we have delivered more than 225 wet cleaning and other front-end processing tools, more than 185 of which were repeat orders or acceptances upon contractual performance obligations having been met and thereby generated revenue to us. The balance of the delivered tools are awaiting customer acceptance should contractual conditions be met.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We generate most of our revenue from a limited number of customers as the result of our strategy of initially placing equipment with a small number of leading chip manufacturers that are driving technology trends and key capability implementation. In 2021, 48.9% of our revenue was derived from two customers: Shanghai Huali Microelectronics Corporation together with Huahong Semiconductor Ltd., collectively known as The Shanghai Huahong (Group) Company, Ltd., or The Huali Huahong Group, a leading PRC foundry, accounted for 28.1% of our revenue; and Yangtze Memory Technologies Co., Ltd., a leading PRC memory chip company, together with one of its subsidiaries, accounted for 20.8% of our revenue; In 2020, 75.8% of our revenue was derived from three customers: The Huali Huahong Group accounted for 36.9% of our revenue; Yangtze Memory Technologies Co., Ltd., together with one of its subsidiaries, accounted for 26.8% of our revenue; and Semiconductor Manufacturing International Corporation, a leading PRC foundry, accounted for 12.1% of our revenue. In 2019 73.8% of our revenue was derived from three customers: Yangtze Memory Technologies Co., Ltd., together with its subsidiaries, accounted for 27.5% of our revenue; The Huali Huahong Group accounted for 26.5% of our revenue; and SK Hynix Inc., a leading Korean memory chip company, accounted for 19.8% of our revenue.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 w:name="page12"/>
    <w:bookmarkEnd w:id="1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Based on our market experience, we believe that implementation of our equipment by one of our selected chip manufacturers will attract and encourage other manufacturers to evaluate our equipment, because the leading company’s implementation will serve as validation of our equipment and could enable the other manufacturers to shorten their evaluation processes. As an example, we placed our first SAPS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 tools following the customer’s completion of its qualification process. The period from new product introduction to high volume manufacturing can range from one to several years.</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For our back-end wafer assembly and packaging customers, we focus on providing custom-made, differentiated equipment that incorporates a customer’s requested features at a competitive cost of ownership. Our customers for advanced packaging, wafer processing, and other back-end processing tools have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Nepes Co., Ltd., a semiconductor packaging company based in South Korea which acquired the operations of Deca Technologies’ Philippines manufacturing facility in 2020; and Wafer Works Corporation, a leading PRC-based wafer supplier.</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market and sell our products worldwide using a combination of our direct sales force and third-party representatives. We employ direct sales teams in Asia, Europe and North America, and have located these teams near our customers, primarily in the PRC, South Korea, Taiwan and the United States. Each sales person has specific local market expertise. We also employ field application engineers, who are typically co-located with our direct sales teams, to provide technical pre- 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To supplement our direct sales teams, we have contacts with several independent sales representatives in the PRC, South Korea and Taiwan. We select these independent representatives based on their ability to provide effective field sales, marketing forecast and technical requirement updates for our products. In the case of representatives, our customers place purchase orders with us directly rather than with the representatives.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sales have historically been made using purchase orders with agreed technical specifications. Our sales terms and conditions are generally consistent with industry practice, but may vary from customer to customer. We seek to obtain a purchase order two to six months ahead of the customer’s desired delivery date. Consistent with industry practice, we allow customers to reschedule or cancel orders at a certain cost to them on relatively short notice. Because of our relatively short delivery period and our practice of permitting rescheduling or cancellation, we believe that backlog is not a reliable indicator of our future revenue.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conduct a substantial majority of our product development, manufacturing, support and services in the PRC, with additional product development and subsystem production in South Korea. Substantially all of our tools are built to order at our manufacturing facilities in the Pudong region of Shanghai, which now encompass a total of 236,000 square feet of floor space for production capacity.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 w:name="page13"/>
    <w:bookmarkEnd w:id="12"/>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In May 2020 ACM Shanghai, through its wholly owned subsidiary Shengwei Research (Shanghai), Inc., entered into an agreement for a land use right in the Lingang region of Shanghai. In July 2020 Shengwei Research (Shanghai), Inc. began a multi-year construction project for a new development and production center. The planned 1,000,000 square foot facility will incorporate state-of-the-art manufacturing systems and automation technologies, and will provide the floor space to support significantly more production capacity and related research and development activities when fully-staffed and supplied. See “Item 2. Properties,” of Part I of this report.</w:t>
      </w:r>
    </w:p>
    <w:p>
      <w:pPr>
        <w:spacing w:after="0" w:line="158"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ECP, furnace and other technologies in our current portfolio our product roadmap, and enable us to design innovative products and solutions to address their needs.</w:t>
      </w:r>
    </w:p>
    <w:p>
      <w:pPr>
        <w:spacing w:after="0" w:line="158" w:lineRule="exact"/>
        <w:rPr>
          <w:sz w:val="20"/>
          <w:szCs w:val="20"/>
          <w:color w:val="auto"/>
        </w:rPr>
      </w:pPr>
    </w:p>
    <w:p>
      <w:pPr>
        <w:ind w:left="10" w:right="120"/>
        <w:spacing w:after="0" w:line="264" w:lineRule="auto"/>
        <w:rPr>
          <w:sz w:val="20"/>
          <w:szCs w:val="20"/>
          <w:color w:val="auto"/>
        </w:rPr>
      </w:pPr>
      <w:r>
        <w:rPr>
          <w:rFonts w:ascii="Arial" w:cs="Arial" w:eastAsia="Arial" w:hAnsi="Arial"/>
          <w:sz w:val="15"/>
          <w:szCs w:val="15"/>
          <w:color w:val="auto"/>
        </w:rPr>
        <w:t>Currently substantially all of our staff are able to work at both of our Shanghai facilities, and to date we have not experienced absenteeism of management or other key employees, other than certain of our executive officers being delayed in travelling back to the PRC when working from our California office. For additional information, see “Item 7. Management’s Discussion and Analysis of Financial Condition and Results of Operations—COVID-19 Pandemic,” of Part II of this report.</w:t>
      </w:r>
    </w:p>
    <w:p>
      <w:pPr>
        <w:spacing w:after="0" w:line="155"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“Item 1A.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15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Research and Development</w:t>
      </w:r>
    </w:p>
    <w:p>
      <w:pPr>
        <w:spacing w:after="0" w:line="194" w:lineRule="exact"/>
        <w:rPr>
          <w:sz w:val="20"/>
          <w:szCs w:val="20"/>
          <w:color w:val="auto"/>
        </w:rPr>
      </w:pPr>
    </w:p>
    <w:p>
      <w:pPr>
        <w:jc w:val="both"/>
        <w:ind w:left="10"/>
        <w:spacing w:after="0" w:line="280" w:lineRule="auto"/>
        <w:rPr>
          <w:sz w:val="20"/>
          <w:szCs w:val="20"/>
          <w:color w:val="auto"/>
        </w:rPr>
      </w:pPr>
      <w:r>
        <w:rPr>
          <w:rFonts w:ascii="Arial" w:cs="Arial" w:eastAsia="Arial" w:hAnsi="Arial"/>
          <w:sz w:val="14"/>
          <w:szCs w:val="14"/>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To supplement our internal expertise, we have or are currently collaborating with external research and development entities such as International SEMATECH, Shanghai Integrated Circuits Research &amp; Development Center (ICRD), and IMEC on specific areas of interests. We also retain, as technical advisors, several experts in semiconductor technology.</w:t>
      </w:r>
    </w:p>
    <w:p>
      <w:pPr>
        <w:spacing w:after="0" w:line="147"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For the foreseeable future we are focusing on enhancing our Ultra C SAPS, TEBO, Tahoe, ECP, furnace and other tools and integrating additional capabilities to meet and anticipate requirements from our existing and potential customers. Our particular areas of focus include development of the following:</w:t>
      </w:r>
    </w:p>
    <w:p>
      <w:pPr>
        <w:spacing w:after="0" w:line="1" w:lineRule="exact"/>
        <w:rPr>
          <w:sz w:val="20"/>
          <w:szCs w:val="20"/>
          <w:color w:val="auto"/>
        </w:rPr>
      </w:pPr>
    </w:p>
    <w:p>
      <w:pPr>
        <w:ind w:left="410" w:hanging="410"/>
        <w:spacing w:after="0"/>
        <w:tabs>
          <w:tab w:leader="none" w:pos="4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new cleaning steps for Ultra C SAPS cleaners for application in logic chips and for DRAM, and 3D NAND technologies;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new cleaning steps for Ultra C TEBO cleaners for FinFET in logic chips, gates in DRAM, and deep vias in 3D NAND technologies;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new cleaning steps for Ultra Tahoe cleaners for application in logic chips and for DRAM and 3D NAND technologies;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new dry technologies such as supercritical CO2 dry and advanced IPA dry for DRAM, and logic technologies;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new hardware, including new system platforms, new and additional chamber structures and new chemical blending systems; and</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13" w:name="page14"/>
    <w:bookmarkEnd w:id="13"/>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tabs>
          <w:tab w:leader="none" w:pos="41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new software to integrate new functionalities to improve tool performance.</w:t>
      </w:r>
    </w:p>
    <w:p>
      <w:pPr>
        <w:spacing w:after="0" w:line="190" w:lineRule="exact"/>
        <w:rPr>
          <w:sz w:val="20"/>
          <w:szCs w:val="20"/>
          <w:color w:val="auto"/>
        </w:rPr>
      </w:pPr>
    </w:p>
    <w:p>
      <w:pPr>
        <w:jc w:val="both"/>
        <w:ind w:left="10"/>
        <w:spacing w:after="0" w:line="313" w:lineRule="auto"/>
        <w:rPr>
          <w:sz w:val="20"/>
          <w:szCs w:val="20"/>
          <w:color w:val="auto"/>
        </w:rPr>
      </w:pPr>
      <w:r>
        <w:rPr>
          <w:rFonts w:ascii="Arial" w:cs="Arial" w:eastAsia="Arial" w:hAnsi="Arial"/>
          <w:sz w:val="14"/>
          <w:szCs w:val="14"/>
          <w:color w:val="auto"/>
        </w:rPr>
        <w:t>Longer term, we are working on new proprietary process capabilities based on our existing tool hardware platforms. We are also working to integrate our tools with third-party tools in adjacent process areas in the chip manufacturing flow. We are developing two new product categories of semiconductor tools to further increase our addressable market.</w:t>
      </w:r>
    </w:p>
    <w:p>
      <w:pPr>
        <w:spacing w:after="0" w:line="123" w:lineRule="exact"/>
        <w:rPr>
          <w:sz w:val="20"/>
          <w:szCs w:val="20"/>
          <w:color w:val="auto"/>
        </w:rPr>
      </w:pPr>
    </w:p>
    <w:p>
      <w:pPr>
        <w:jc w:val="both"/>
        <w:ind w:left="10" w:right="20"/>
        <w:spacing w:after="0" w:line="264" w:lineRule="auto"/>
        <w:rPr>
          <w:sz w:val="20"/>
          <w:szCs w:val="20"/>
          <w:color w:val="auto"/>
        </w:rPr>
      </w:pPr>
      <w:r>
        <w:rPr>
          <w:rFonts w:ascii="Arial" w:cs="Arial" w:eastAsia="Arial" w:hAnsi="Arial"/>
          <w:sz w:val="15"/>
          <w:szCs w:val="15"/>
          <w:color w:val="auto"/>
        </w:rPr>
        <w:t>Our research and development expense totaled $34.2 million or 13.4% of revenue in 2021; $19.1 million or 12.2% of revenue in 2020; and $12.9 million, or 12.0% of revenue, in 2019. We intend to continue to invest in research and development to support and enhance our existing cleaning products and to develop future product offerings to build and maintain our technology leadership position.</w:t>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Intellectual Property</w:t>
      </w:r>
    </w:p>
    <w:p>
      <w:pPr>
        <w:spacing w:after="0" w:line="194" w:lineRule="exact"/>
        <w:rPr>
          <w:sz w:val="20"/>
          <w:szCs w:val="20"/>
          <w:color w:val="auto"/>
        </w:rPr>
      </w:pPr>
    </w:p>
    <w:p>
      <w:pPr>
        <w:jc w:val="both"/>
        <w:ind w:left="10"/>
        <w:spacing w:after="0" w:line="280" w:lineRule="auto"/>
        <w:rPr>
          <w:sz w:val="20"/>
          <w:szCs w:val="20"/>
          <w:color w:val="auto"/>
        </w:rPr>
      </w:pPr>
      <w:r>
        <w:rPr>
          <w:rFonts w:ascii="Arial" w:cs="Arial" w:eastAsia="Arial" w:hAnsi="Arial"/>
          <w:sz w:val="14"/>
          <w:szCs w:val="14"/>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47" w:lineRule="exact"/>
        <w:rPr>
          <w:sz w:val="20"/>
          <w:szCs w:val="20"/>
          <w:color w:val="auto"/>
        </w:rPr>
      </w:pPr>
    </w:p>
    <w:p>
      <w:pPr>
        <w:jc w:val="both"/>
        <w:ind w:left="10"/>
        <w:spacing w:after="0" w:line="291" w:lineRule="auto"/>
        <w:rPr>
          <w:sz w:val="20"/>
          <w:szCs w:val="20"/>
          <w:color w:val="auto"/>
        </w:rPr>
      </w:pPr>
      <w:r>
        <w:rPr>
          <w:rFonts w:ascii="Arial" w:cs="Arial" w:eastAsia="Arial" w:hAnsi="Arial"/>
          <w:sz w:val="14"/>
          <w:szCs w:val="14"/>
          <w:color w:val="auto"/>
        </w:rPr>
        <w:t>We have aggressively pursued intellectual property since our founding in 1998. We focus our patent filing efforts in the United States, and, when justified by cost and strategic importance, we file corresponding foreign patent applications in strategic jurisdictions such as the European Union, the PRC, Japan, Singapore, South Korea, and Taiwan. Our patent strategy is designed to provide a balance between the need for coverage in our strategic markets and the need to maintain costs at a reasonable level.</w:t>
      </w:r>
    </w:p>
    <w:p>
      <w:pPr>
        <w:spacing w:after="0" w:line="138"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As of December 31, 2021, we had 38 issued patents, and 30 patents pending, in the United States. These patents carry expiration dates from 2022 through 2039. Many of the US patents and applications have also been filed internationally, in one or more of the European Union, Japan, PRC, Singapore, South Korea, and Taiwan. Specifically, we own patents in wafer cleaning, electro-polishing and plating, wafer preparation, and other semiconductor processing technologies. We have been issued more than 411 patents in the United States, the PRC, Japan, Korea, Singapore and Taiwan.</w:t>
      </w:r>
    </w:p>
    <w:p>
      <w:pPr>
        <w:spacing w:after="0" w:line="158"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We manufacture advanced single-wafer cleaning systems equipped with our SAPS, TEBO and Tahoe technologies. Our wafer cleaning technologies are protected by US Patent Numbers 8580042, 8671961, 9070723, 9281177, 9492852, 9595457, 9633833, 10020208, 10910244, 11103898, 11037804, and 11141762 as well as their corresponding international patents. We have 40 patents granted internationally protecting our SAPS technologies. We also have filed 11 international patent applications for key TEBO technologies, and 3 for Tahoe, in accordance with the Patent Cooperation Treaty, in anticipation of filing in the U.S. national phase.</w:t>
      </w:r>
    </w:p>
    <w:p>
      <w:pPr>
        <w:spacing w:after="0" w:line="158" w:lineRule="exact"/>
        <w:rPr>
          <w:sz w:val="20"/>
          <w:szCs w:val="20"/>
          <w:color w:val="auto"/>
        </w:rPr>
      </w:pPr>
    </w:p>
    <w:p>
      <w:pPr>
        <w:jc w:val="both"/>
        <w:ind w:left="10"/>
        <w:spacing w:after="0" w:line="323" w:lineRule="auto"/>
        <w:rPr>
          <w:sz w:val="20"/>
          <w:szCs w:val="20"/>
          <w:color w:val="auto"/>
        </w:rPr>
      </w:pPr>
      <w:r>
        <w:rPr>
          <w:rFonts w:ascii="Arial" w:cs="Arial" w:eastAsia="Arial" w:hAnsi="Arial"/>
          <w:sz w:val="13"/>
          <w:szCs w:val="13"/>
          <w:color w:val="auto"/>
        </w:rPr>
        <w:t>In addition to the above core technologies, we have technologies for SFP and ECP that are used in certain of our tools. SFP is an integral part of the electro polishing process. Our technology was a breakthrough in electro-chemical-copper-planarization technology when it was first introduced, because it can polish, stress-free, copper layers used in copper low-K interconnects. Our innovations in SFP and ECP are reflected in US Patent Numbers 6638863, 8518224, 10227705, and 11008669 and their corresponding international counterparts.</w:t>
      </w:r>
    </w:p>
    <w:p>
      <w:pPr>
        <w:spacing w:after="0" w:line="120"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8598039 titled “Barrier layer removal method and apparatus,” and US Patent Number 10615073 titled “method for removing barrier layer for minimizing sidewall recess.”</w:t>
      </w:r>
    </w:p>
    <w:p>
      <w:pPr>
        <w:spacing w:after="0" w:line="308"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14" w:name="page15"/>
    <w:bookmarkEnd w:id="14"/>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46"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55" w:lineRule="exact"/>
        <w:rPr>
          <w:sz w:val="20"/>
          <w:szCs w:val="20"/>
          <w:color w:val="auto"/>
        </w:rPr>
      </w:pPr>
    </w:p>
    <w:p>
      <w:pPr>
        <w:jc w:val="both"/>
        <w:ind w:left="10" w:right="20"/>
        <w:spacing w:after="0" w:line="264" w:lineRule="auto"/>
        <w:rPr>
          <w:sz w:val="20"/>
          <w:szCs w:val="20"/>
          <w:color w:val="auto"/>
        </w:rPr>
      </w:pPr>
      <w:r>
        <w:rPr>
          <w:rFonts w:ascii="Arial" w:cs="Arial" w:eastAsia="Arial" w:hAnsi="Arial"/>
          <w:sz w:val="15"/>
          <w:szCs w:val="15"/>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55"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color w:val="auto"/>
        </w:rPr>
        <w:t>Additional information about the risks relating to our intellectual property is provided under “Item 1A. Risk Factors—Risks Relating to Our Intellectual Property.”</w:t>
      </w:r>
    </w:p>
    <w:p>
      <w:pPr>
        <w:spacing w:after="0" w:line="18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Competition</w:t>
      </w:r>
    </w:p>
    <w:p>
      <w:pPr>
        <w:spacing w:after="0" w:line="194"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wafer cleaning and electrical plating products to the market, including Lam Research Corporation, NAURA Technology Group Co., Ltd., Mujin Electronics Co., Ltd., SCREEN SPE USA, LLC (a subsidiary of SCREEN Holdings Co., Ltd.), SEMES Co. Ltd., Tokyo Electron Ltd. and Kokusai Semiconductor Equipment Corporation.</w:t>
      </w:r>
    </w:p>
    <w:p>
      <w:pPr>
        <w:spacing w:after="0" w:line="143" w:lineRule="exact"/>
        <w:rPr>
          <w:sz w:val="20"/>
          <w:szCs w:val="20"/>
          <w:color w:val="auto"/>
        </w:rPr>
      </w:pPr>
    </w:p>
    <w:p>
      <w:pPr>
        <w:ind w:left="10"/>
        <w:spacing w:after="0"/>
        <w:rPr>
          <w:sz w:val="20"/>
          <w:szCs w:val="20"/>
          <w:color w:val="auto"/>
        </w:rPr>
      </w:pPr>
      <w:r>
        <w:rPr>
          <w:rFonts w:ascii="Arial" w:cs="Arial" w:eastAsia="Arial" w:hAnsi="Arial"/>
          <w:sz w:val="15"/>
          <w:szCs w:val="15"/>
          <w:color w:val="auto"/>
        </w:rPr>
        <w:t>Compared to our company, our current and potential competitors may have:</w:t>
      </w:r>
    </w:p>
    <w:p>
      <w:pPr>
        <w:spacing w:after="0" w:line="18" w:lineRule="exact"/>
        <w:rPr>
          <w:sz w:val="20"/>
          <w:szCs w:val="20"/>
          <w:color w:val="auto"/>
        </w:rPr>
      </w:pPr>
    </w:p>
    <w:p>
      <w:pPr>
        <w:ind w:left="410" w:hanging="410"/>
        <w:spacing w:after="0"/>
        <w:tabs>
          <w:tab w:leader="none" w:pos="41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better established credibility and market reputations, longer operating histories, and broader product offerings;</w:t>
      </w:r>
    </w:p>
    <w:p>
      <w:pPr>
        <w:spacing w:after="0" w:line="8" w:lineRule="exact"/>
        <w:rPr>
          <w:rFonts w:ascii="Arial" w:cs="Arial" w:eastAsia="Arial" w:hAnsi="Arial"/>
          <w:sz w:val="15"/>
          <w:szCs w:val="15"/>
          <w:color w:val="auto"/>
        </w:rPr>
      </w:pPr>
    </w:p>
    <w:p>
      <w:pPr>
        <w:ind w:left="410" w:right="20" w:hanging="410"/>
        <w:spacing w:after="0" w:line="251" w:lineRule="auto"/>
        <w:tabs>
          <w:tab w:leader="none" w:pos="41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significantly greater financial, technical, marketing and other resources, which may allow them to pursue design, development, manufacturing, sales, marketing, distribution and service support of their products;</w:t>
      </w:r>
    </w:p>
    <w:p>
      <w:pPr>
        <w:spacing w:after="0" w:line="1"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more extensive customer and partner relationships, which may position them to identify and respond more successfully to market developments and changes in customer demands; and</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multiple product offerings, which may enable them to offer bundled discounts for customers purchasing multiple products or other incentives that we cannot match or offer.</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principal competitive factors in our market include:</w:t>
      </w:r>
    </w:p>
    <w:p>
      <w:pPr>
        <w:spacing w:after="0" w:line="18" w:lineRule="exact"/>
        <w:rPr>
          <w:sz w:val="20"/>
          <w:szCs w:val="20"/>
          <w:color w:val="auto"/>
        </w:rPr>
      </w:pPr>
    </w:p>
    <w:p>
      <w:pPr>
        <w:ind w:left="410" w:right="20" w:hanging="410"/>
        <w:spacing w:after="0" w:line="263" w:lineRule="auto"/>
        <w:tabs>
          <w:tab w:leader="none" w:pos="41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performance of products, including particle removal efficiency, rate of damage to wafer structures, high temperature chemistry, throughput, tool uptime and reliability, safety, chemical waste treatment, and environmental impact;</w:t>
      </w:r>
    </w:p>
    <w:p>
      <w:pPr>
        <w:spacing w:after="0" w:line="309"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15" w:name="page16"/>
    <w:bookmarkEnd w:id="15"/>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tabs>
          <w:tab w:leader="none" w:pos="410" w:val="left"/>
        </w:tabs>
        <w:numPr>
          <w:ilvl w:val="0"/>
          <w:numId w:val="16"/>
        </w:numPr>
        <w:rPr>
          <w:rFonts w:ascii="Arial" w:cs="Arial" w:eastAsia="Arial" w:hAnsi="Arial"/>
          <w:sz w:val="15"/>
          <w:szCs w:val="15"/>
          <w:color w:val="auto"/>
        </w:rPr>
      </w:pPr>
      <w:r>
        <w:rPr>
          <w:rFonts w:ascii="Arial" w:cs="Arial" w:eastAsia="Arial" w:hAnsi="Arial"/>
          <w:sz w:val="15"/>
          <w:szCs w:val="15"/>
          <w:color w:val="auto"/>
        </w:rPr>
        <w:t>gap filling capability, the deposited film thickness uniformity within wafer and wafer to wafer, particle generated on the wafer during the processes;</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service support capability and spare parts delivery time; innovation and development of functionality and features that are must-haves for advanced fabrication nodes;</w:t>
      </w:r>
    </w:p>
    <w:p>
      <w:pPr>
        <w:spacing w:after="0" w:line="20" w:lineRule="exact"/>
        <w:rPr>
          <w:rFonts w:ascii="Arial" w:cs="Arial" w:eastAsia="Arial" w:hAnsi="Arial"/>
          <w:sz w:val="14"/>
          <w:szCs w:val="14"/>
          <w:color w:val="auto"/>
        </w:rPr>
      </w:pPr>
    </w:p>
    <w:p>
      <w:pPr>
        <w:ind w:left="410" w:hanging="410"/>
        <w:spacing w:after="0"/>
        <w:tabs>
          <w:tab w:leader="none" w:pos="41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ability to anticipate customer requirements, especially for advanced process nodes of less than 45nm; ability to identify new process applications;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brand recognition and reputation;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skill and capability of personnel, including design engineers, manufacturing engineers and technicians, application engineers, and service engineers.</w:t>
      </w:r>
    </w:p>
    <w:p>
      <w:pPr>
        <w:spacing w:after="0" w:line="180" w:lineRule="exact"/>
        <w:rPr>
          <w:sz w:val="20"/>
          <w:szCs w:val="20"/>
          <w:color w:val="auto"/>
        </w:rPr>
      </w:pPr>
    </w:p>
    <w:p>
      <w:pPr>
        <w:jc w:val="both"/>
        <w:ind w:left="10"/>
        <w:spacing w:after="0" w:line="306" w:lineRule="auto"/>
        <w:rPr>
          <w:sz w:val="20"/>
          <w:szCs w:val="20"/>
          <w:color w:val="auto"/>
        </w:rPr>
      </w:pPr>
      <w:r>
        <w:rPr>
          <w:rFonts w:ascii="Arial" w:cs="Arial" w:eastAsia="Arial" w:hAnsi="Arial"/>
          <w:sz w:val="13"/>
          <w:szCs w:val="13"/>
          <w:color w:val="auto"/>
        </w:rPr>
        <w:t>In addition, semiconductor manufacturers must make a substantial investment to qualify and integrate new equipment into semiconductor production lines. Some manufacturers began fabricating chips for the 5nm node in 2020 and the 3nm node in 2022.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33" w:lineRule="exact"/>
        <w:rPr>
          <w:sz w:val="20"/>
          <w:szCs w:val="20"/>
          <w:color w:val="auto"/>
        </w:rPr>
      </w:pPr>
    </w:p>
    <w:p>
      <w:pPr>
        <w:jc w:val="both"/>
        <w:ind w:left="10"/>
        <w:spacing w:after="0" w:line="276" w:lineRule="auto"/>
        <w:rPr>
          <w:sz w:val="20"/>
          <w:szCs w:val="20"/>
          <w:color w:val="auto"/>
        </w:rPr>
      </w:pPr>
      <w:r>
        <w:rPr>
          <w:rFonts w:ascii="Arial" w:cs="Arial" w:eastAsia="Arial" w:hAnsi="Arial"/>
          <w:sz w:val="14"/>
          <w:szCs w:val="14"/>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TEBO and Tahoe technologies, which we believe offer better performance, much less chemical consumption, and lower cost of consumables, including at advanced process nodes of 22nm or less.</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Human Capital</w:t>
      </w:r>
    </w:p>
    <w:p>
      <w:pPr>
        <w:spacing w:after="0" w:line="194"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As of December 31, 2021, we had 877 full-time equivalent employees, of whom 85 were in administration, 200 were in manufacturing, 371 were in research and development, and 221 were in sales and marketing and customer services. Of these employees, 783 were located in mainland China and the Taiwan region, 84 were located in Korea and 10 were based in the United States. We have never had a work stoppage, and none of our employees are represented by a labor organization or subject to any collective bargaining arrangements. We consider our employee relations to be good.</w:t>
      </w:r>
    </w:p>
    <w:p>
      <w:pPr>
        <w:spacing w:after="0" w:line="158"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We compete in the highly competitive semiconductor equipment industry, with operations principally in the PRC.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our corporate philosophy of talent development and career opportunities, and compensation and benefits.</w:t>
      </w:r>
    </w:p>
    <w:p>
      <w:pPr>
        <w:spacing w:after="0" w:line="158" w:lineRule="exact"/>
        <w:rPr>
          <w:sz w:val="20"/>
          <w:szCs w:val="20"/>
          <w:color w:val="auto"/>
        </w:rPr>
      </w:pPr>
    </w:p>
    <w:p>
      <w:pPr>
        <w:ind w:left="270"/>
        <w:spacing w:after="0"/>
        <w:rPr>
          <w:sz w:val="20"/>
          <w:szCs w:val="20"/>
          <w:color w:val="auto"/>
        </w:rPr>
      </w:pPr>
      <w:r>
        <w:rPr>
          <w:rFonts w:ascii="Arial" w:cs="Arial" w:eastAsia="Arial" w:hAnsi="Arial"/>
          <w:sz w:val="15"/>
          <w:szCs w:val="15"/>
          <w:b w:val="1"/>
          <w:bCs w:val="1"/>
          <w:i w:val="1"/>
          <w:iCs w:val="1"/>
          <w:color w:val="auto"/>
        </w:rPr>
        <w:t>Recruitment, Retention and Benefits</w:t>
      </w:r>
    </w:p>
    <w:p>
      <w:pPr>
        <w:spacing w:after="0" w:line="19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To attract and retain qualified employees and key talent, we offer total compensation packages that are competitive with comparable companies, particularly in the PRC and, specifically, Shanghai.</w:t>
      </w:r>
    </w:p>
    <w:p>
      <w:pPr>
        <w:spacing w:after="0" w:line="300"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16" w:name="page17"/>
    <w:bookmarkEnd w:id="1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provide training and development programs to our employees, and we have trained many of our key engineers and managers for more than a decade. Retention of these key employees is critical to secure our future growth and technology development. To assist in employee retention and recruitment, we intend to offer employee housing in the Lingang region of Shanghai in connection with ACM Shanghai’s acquisition of a land use right in Lingang, where we began construction of a new research and development center and factory in July 2020.</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Health and Safety, Pandemic Response</w:t>
      </w:r>
    </w:p>
    <w:p>
      <w:pPr>
        <w:spacing w:after="0" w:line="190"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When it comes to employee safety, we are committed to providing a safe work environment for our employees that meets or exceeds local environmental, health, and safety laws and regulations. As a result of the COVID-19 pandemic, we have augmented certain of our normal business practices to ensure that we promote health and safety for our employees. We have established safety policies and protocols, and we regularly update our employees with respect to any changes. A majority of our workforce provide services that cannot be performed remotely, and we have prioritized the health of those individuals that continue to work at our facilities. We have provided personal protective equipment and cleaning supplies. We require masks to be worn in our facilities and have prohibited all non-essential domestic and international travel for all employees. We have also provided general information updates and support for our employees to ensure that they have resources and information to protect their health and that of those around them, including their families and co-workers.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 Pandemic</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Following its initial outbreak in December 2019, COVID–19, or the coronavirus, spread across the PRC, the United States and globally. The COVID–19 outbreak has affected our business and operating results since the first quarter of 2020. Since that time, travel between our offices in the United States and our facilities in the PRC has been and will likely continue to be restricted, which has and may continue to impact our ability to effectively operate our company and to oversee our operations. The COVID–19 situation continues to evolve, and it is impossible for us to predict the effect and ultimate impact of the COVID–19 outbreak on our business operations and results. We continue to monitor the impact of the COVID-19 pandemic on all aspects of our business, including our operations, customers, suppliers and projects. While the ongoing regulatory measures instituted or recommended in response to COVID–19 are expected to be temporary, the duration of the business disruptions, and related financial impact, of the outbreak cannot be estimated at this time.</w:t>
      </w:r>
    </w:p>
    <w:p>
      <w:pPr>
        <w:spacing w:after="0" w:line="148" w:lineRule="exact"/>
        <w:rPr>
          <w:sz w:val="20"/>
          <w:szCs w:val="20"/>
          <w:color w:val="auto"/>
        </w:rPr>
      </w:pPr>
    </w:p>
    <w:p>
      <w:pPr>
        <w:jc w:val="both"/>
        <w:spacing w:after="0" w:line="186" w:lineRule="exact"/>
        <w:rPr>
          <w:sz w:val="20"/>
          <w:szCs w:val="20"/>
          <w:color w:val="auto"/>
        </w:rPr>
      </w:pPr>
      <w:r>
        <w:rPr>
          <w:rFonts w:ascii="Arial" w:cs="Arial" w:eastAsia="Arial" w:hAnsi="Arial"/>
          <w:sz w:val="15"/>
          <w:szCs w:val="15"/>
          <w:color w:val="auto"/>
        </w:rPr>
        <w:t>See “Item 7. Management’s Discussion and Analysis of Financial Condition and Results of Operations—COVID</w:t>
      </w:r>
      <w:r>
        <w:rPr>
          <w:rFonts w:ascii="MS PGothic" w:cs="MS PGothic" w:eastAsia="MS PGothic" w:hAnsi="MS PGothic"/>
          <w:sz w:val="15"/>
          <w:szCs w:val="15"/>
          <w:color w:val="auto"/>
        </w:rPr>
        <w:t>‑</w:t>
      </w:r>
      <w:r>
        <w:rPr>
          <w:rFonts w:ascii="Arial" w:cs="Arial" w:eastAsia="Arial" w:hAnsi="Arial"/>
          <w:sz w:val="15"/>
          <w:szCs w:val="15"/>
          <w:color w:val="auto"/>
        </w:rPr>
        <w:t>19 Pandemic” of Part II of this report for additional discussion of our expectations and estimates related to the COVID-19 Pandemic.</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Severe weather events, including earthquakes, fires, floods, heat waves, hurricanes and other environmental disasters, could pose a threat to our manufacturing and research and development activities through physical damage to our operating facilities or equipment or disruption of power supply or telecommunications infrastructure. The frequency and intensity of severe weather events are reportedly increasing throughout the world as part of broader climate changes. Global weather pattern changes may also pose long-term risks of physical impacts to our business. We maintain disaster recovery and business continuity plans that would be implemented to help us recover in the event of severe weather events that interrupt our business. See “Item 1A. Risk Factors—General—Our production facilities could be damaged or disrupted by a natural disaster, war, terrorist attacks or other catastrophic events.”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 w:name="page18"/>
    <w:bookmarkEnd w:id="1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Concerns about climate change have resulted in various laws and regulations that are intended to limit carbon emissions and address other environmental concerns. In recent years, the PRC, where our production facilities are located, has undertaken comprehensive sustainability initiatives that are requiring companies to meet new environmental standards and deal with higher energy and other production costs. Environmental laws and regulations may impose new or unexpected either directly through, for example, higher energy costs or indirectly through increased costs of compliance or of failing to comply with these laws and regulations. These laws and regulations might increase the cost of construction, maintenance and operation of our new research and development center and factory in the Lingang region of Shanghai.</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do not currently expect that existing or pending climate change laws and regulations will be material to our results of operations in the foreseeable future. Climate change could, however, have a direct effect on our customer base of semiconductor fabricators, whose operations typically require copious quantities of power and water and a number of chemicals. Chip fabrication operations often result in significant amounts of wastewater, which can contain a number of harmful contaminants, including antimony, arsenic, hydrofluoric acid and hydrogen peroxide, that historically have resulted in groundwater pollution and related violations of environmental laws. Moreover, water and chemical demands for semiconductor fabrication are expected to increase with the production of more advanced chips at smaller process nodes. As a result, some leading chip fabricators have begun to invest in conservation and treatment technologies for water and chemicals.</w:t>
      </w:r>
    </w:p>
    <w:p>
      <w:pPr>
        <w:spacing w:after="0" w:line="16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designed some of our tools to require significantly reduced levels of environmentally harmful chemicals, which helps customers face increased environmental laws and regulations. SAPS and TEBO technologies use environmentally friendly dilute chemicals, such as dilute hydrofluoric acid, RCA SC-1 solution, ozonated de-ionized water and functional de-ionized water with dissolved hydrogen. In interconnect and barrier metals applications based on SAPS technology, for example, these chemical solutions take the place of chemicals such as piranha solution, a high-temperature mixture of sulfuric acid and hydrogen peroxide used by conventional wet wafer cleaning processes. Similarly, Tahoe technology delivers high cleaning performance using significantly less sulfuric acid and hydrogen peroxide than is typically consumed by conventional high-temperature single-wafer cleaning tools. For additional information, see “—Our Technology and Product Offerings—Wet Cleaning Equipment for Front End Production Processes.”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94"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We are required to file annual, quarterly and current reports, proxy statements and other information with the U.S. Securities and Exchange Commission, or the SEC. The SEC maintains a website at www.sec.gov that contains reports, proxy and information statements, and other information regarding issuers that file electronically with the SEC.</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Annual Reports on Form 10-K, Quarterly Reports on Form 10-Q, Current Reports on Form 8-K, proxy statements and amendments to those documents filed or furnished pursuant to Section 13(a) or 15(d) of the Securities Exchange Act of 1934, or the Exchange Act, are also available free of charge on our website at www.acmrcsh.com as soon as reasonably practicable after such reports are electronically filed with or furnished to the SEC.</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Investors should note that we announce material information to our investors and others using filings with the SEC, press releases, public conference calls, webcasts or our website (www.acmrcsh.com), including news and announcements regarding our financial performance, key personnel, our brands and our business strategy. Information that we post on our corporate website could be deemed material to investors. We encourage investors to review the information we post on these channels. We may from time to time update the list of channels we will use to communicate information that could be deemed material and will post information about any such change on www.acmrcsh.com. The information on our website is not, and shall not be deemed to be, a part hereof or incorporated into this or any of our other filings with the SEC.</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 w:name="page19"/>
    <w:bookmarkEnd w:id="18"/>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Item 1A.  Risk Factors</w:t>
      </w:r>
    </w:p>
    <w:p>
      <w:pPr>
        <w:spacing w:after="0" w:line="194" w:lineRule="exact"/>
        <w:rPr>
          <w:sz w:val="20"/>
          <w:szCs w:val="20"/>
          <w:color w:val="auto"/>
        </w:rPr>
      </w:pPr>
    </w:p>
    <w:p>
      <w:pPr>
        <w:jc w:val="both"/>
        <w:ind w:left="10"/>
        <w:spacing w:after="0" w:line="278" w:lineRule="auto"/>
        <w:rPr>
          <w:sz w:val="20"/>
          <w:szCs w:val="20"/>
          <w:color w:val="auto"/>
        </w:rPr>
      </w:pPr>
      <w:r>
        <w:rPr>
          <w:rFonts w:ascii="Arial" w:cs="Arial" w:eastAsia="Arial" w:hAnsi="Arial"/>
          <w:sz w:val="14"/>
          <w:szCs w:val="14"/>
          <w:i w:val="1"/>
          <w:iCs w:val="1"/>
          <w:color w:val="auto"/>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1. Financial Statements” of Part I above,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4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ISK</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ACTOR</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UMMARY</w:t>
      </w:r>
    </w:p>
    <w:p>
      <w:pPr>
        <w:spacing w:after="0" w:line="194"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i w:val="1"/>
          <w:iCs w:val="1"/>
          <w:color w:val="auto"/>
        </w:rPr>
        <w:t>Our business is subject to a number of risks, including risks that may prevent us from achieving our business objectives or may adversely affect our business, financial condition, results of operations, cash flows and prospects. The risks are discussed more fully below and include, but are not limited to, the risks summarized below.</w:t>
      </w:r>
    </w:p>
    <w:p>
      <w:pPr>
        <w:spacing w:after="0" w:line="14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Risks Related to Our Business and Our Industry</w:t>
      </w:r>
    </w:p>
    <w:p>
      <w:pPr>
        <w:spacing w:after="0" w:line="22" w:lineRule="exact"/>
        <w:rPr>
          <w:sz w:val="20"/>
          <w:szCs w:val="20"/>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potential future needs for additional capital that may not be available at all or on terms acceptable to us;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cyclicality in the semiconductor industry that may lead to substantial variations in demand for our products,</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industry manufacturers of integrated circuits, or chips, adopting our Space Alternated Phase Shift or SAPS, Timely Energized Bubble Oscillation or TEBO, Tahoe and Electro-Chemical Plating or ECP, and furnace and other capital equipment, or tools;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SAPS, TEBO, Tahoe, ECP, furnace and other technologies not achieving widespread market acceptance;</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continue to enhance our existing single-wafer wet cleaning tools and identifying and entering new product markets;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establish and maintain a reputation for credibility and product quality;</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expand our customer base;</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dependence on a small number of customers for a substantial portion of our revenue;</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long and unpredictable sales cycle, including our incurrence of significant expenses long before we can recognize revenue from new products, if at all;</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difficulties in forecasting demand for our tools;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reliance on third parties to manufacture significant portions of our tools and our ability to manage our relationships with these parties;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shortage of components or subassemblies, which could result in delayed delivery of products to us or in increased costs to us;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dependence on a limited number of suppliers, including single source suppliers, for critical components and subassemblies;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dependence on our Chief Executive Officer and President and other senior management and key employees;</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Regulatory Risks</w:t>
      </w:r>
    </w:p>
    <w:p>
      <w:pPr>
        <w:spacing w:after="0" w:line="22" w:lineRule="exact"/>
        <w:rPr>
          <w:sz w:val="20"/>
          <w:szCs w:val="20"/>
          <w:color w:val="auto"/>
        </w:rPr>
      </w:pPr>
    </w:p>
    <w:p>
      <w:pPr>
        <w:ind w:left="410" w:hanging="410"/>
        <w:spacing w:after="0"/>
        <w:tabs>
          <w:tab w:leader="none" w:pos="41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changes in government trade policies that could limit the demand for our tools and increase the cost of our tools;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regulatory action limiting our ability to sell our tools to Chinese customers;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changes in political and economic policies with respect to the People’s Republic of China or PRC;</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PRC’s currency exchange control and government restrictions on investment repatriation may impact our ability to transfer funds outside of the PRC;</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19" w:name="page20"/>
    <w:bookmarkEnd w:id="19"/>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line="276" w:lineRule="auto"/>
        <w:tabs>
          <w:tab w:leader="none" w:pos="41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inability of the U.S. Public Company Accounting Oversight Board, or PCAOB, to inspect our auditor, as a registered public accounting firm operating in the PRC and the adoption of proposed legislation related to companies operating in “restrictive markets”;</w:t>
      </w:r>
    </w:p>
    <w:p>
      <w:pPr>
        <w:spacing w:after="0" w:line="14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Risks Related to Our STAR Market Listing</w:t>
      </w:r>
    </w:p>
    <w:p>
      <w:pPr>
        <w:spacing w:after="0" w:line="22" w:lineRule="exact"/>
        <w:rPr>
          <w:sz w:val="20"/>
          <w:szCs w:val="20"/>
          <w:color w:val="auto"/>
        </w:rPr>
      </w:pPr>
    </w:p>
    <w:p>
      <w:pPr>
        <w:ind w:left="410" w:hanging="410"/>
        <w:spacing w:after="0"/>
        <w:tabs>
          <w:tab w:leader="none" w:pos="41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ability to implement our strategy to expand our PRC operations;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ability to achieve the results contemplated by our business strategy and our strategy for growth in the PRC and expectations related to the STAR Market listing;</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effect of ACM Shanghai’s status as a publicly traded company that is controlled, but less than wholly owned, by ACM Research;</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ability to manage potentially inconsistent accounting and disclosure requirements of ACM Research and ACM Shanghai as a result of the STAR Market Listing;</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Risks Related to Our Intellectual Property and Data Security</w:t>
      </w:r>
    </w:p>
    <w:p>
      <w:pPr>
        <w:spacing w:after="0" w:line="22" w:lineRule="exact"/>
        <w:rPr>
          <w:sz w:val="20"/>
          <w:szCs w:val="20"/>
          <w:color w:val="auto"/>
        </w:rPr>
      </w:pPr>
    </w:p>
    <w:p>
      <w:pPr>
        <w:ind w:left="410" w:hanging="410"/>
        <w:spacing w:after="0"/>
        <w:tabs>
          <w:tab w:leader="none" w:pos="41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protect our intellectual property, including in the PRC;</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breaches of our cybersecurity systems;</w:t>
      </w:r>
    </w:p>
    <w:p>
      <w:pPr>
        <w:spacing w:after="0" w:line="176" w:lineRule="exact"/>
        <w:rPr>
          <w:sz w:val="20"/>
          <w:szCs w:val="20"/>
          <w:color w:val="auto"/>
        </w:rPr>
      </w:pPr>
    </w:p>
    <w:p>
      <w:pPr>
        <w:ind w:left="10"/>
        <w:spacing w:after="0" w:line="173" w:lineRule="exact"/>
        <w:rPr>
          <w:sz w:val="20"/>
          <w:szCs w:val="20"/>
          <w:color w:val="auto"/>
        </w:rPr>
      </w:pPr>
      <w:r>
        <w:rPr>
          <w:rFonts w:ascii="Arial" w:cs="Arial" w:eastAsia="Arial" w:hAnsi="Arial"/>
          <w:sz w:val="15"/>
          <w:szCs w:val="15"/>
          <w:b w:val="1"/>
          <w:bCs w:val="1"/>
          <w:color w:val="auto"/>
        </w:rPr>
        <w:t>Risks Related to the COVID</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19 Pandemic</w:t>
      </w:r>
    </w:p>
    <w:p>
      <w:pPr>
        <w:spacing w:after="0" w:line="22" w:lineRule="exact"/>
        <w:rPr>
          <w:sz w:val="20"/>
          <w:szCs w:val="20"/>
          <w:color w:val="auto"/>
        </w:rPr>
      </w:pPr>
    </w:p>
    <w:p>
      <w:pPr>
        <w:ind w:left="410" w:hanging="410"/>
        <w:spacing w:after="0" w:line="181" w:lineRule="exact"/>
        <w:tabs>
          <w:tab w:leader="none" w:pos="41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impacts on our global supply chain due to the COVID</w:t>
      </w:r>
      <w:r>
        <w:rPr>
          <w:rFonts w:ascii="MS PGothic" w:cs="MS PGothic" w:eastAsia="MS PGothic" w:hAnsi="MS PGothic"/>
          <w:sz w:val="15"/>
          <w:szCs w:val="15"/>
          <w:color w:val="auto"/>
        </w:rPr>
        <w:t>‑</w:t>
      </w:r>
      <w:r>
        <w:rPr>
          <w:rFonts w:ascii="Arial" w:cs="Arial" w:eastAsia="Arial" w:hAnsi="Arial"/>
          <w:sz w:val="15"/>
          <w:szCs w:val="15"/>
          <w:color w:val="auto"/>
        </w:rPr>
        <w:t>19 pandemic, and our ability to successfully manage the demand, supply, and operational challenges associated with the global semiconductor shortage;</w:t>
      </w:r>
    </w:p>
    <w:p>
      <w:pPr>
        <w:spacing w:after="0" w:line="1" w:lineRule="exact"/>
        <w:rPr>
          <w:rFonts w:ascii="Arial" w:cs="Arial" w:eastAsia="Arial" w:hAnsi="Arial"/>
          <w:sz w:val="15"/>
          <w:szCs w:val="15"/>
          <w:color w:val="auto"/>
        </w:rPr>
      </w:pPr>
    </w:p>
    <w:p>
      <w:pPr>
        <w:ind w:left="410" w:hanging="410"/>
        <w:spacing w:after="0" w:line="173" w:lineRule="exact"/>
        <w:tabs>
          <w:tab w:leader="none" w:pos="41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impact of the COVID</w:t>
      </w:r>
      <w:r>
        <w:rPr>
          <w:rFonts w:ascii="MS PGothic" w:cs="MS PGothic" w:eastAsia="MS PGothic" w:hAnsi="MS PGothic"/>
          <w:sz w:val="15"/>
          <w:szCs w:val="15"/>
          <w:color w:val="auto"/>
        </w:rPr>
        <w:t>‑</w:t>
      </w:r>
      <w:r>
        <w:rPr>
          <w:rFonts w:ascii="Arial" w:cs="Arial" w:eastAsia="Arial" w:hAnsi="Arial"/>
          <w:sz w:val="15"/>
          <w:szCs w:val="15"/>
          <w:color w:val="auto"/>
        </w:rPr>
        <w:t>19 pandemic on our currently planned projects and investments in the PRC, including the STAR IPO;</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Risks Related to Ownership of Class A Common Stock</w:t>
      </w:r>
    </w:p>
    <w:p>
      <w:pPr>
        <w:spacing w:after="0" w:line="22" w:lineRule="exact"/>
        <w:rPr>
          <w:sz w:val="20"/>
          <w:szCs w:val="20"/>
          <w:color w:val="auto"/>
        </w:rPr>
      </w:pPr>
    </w:p>
    <w:p>
      <w:pPr>
        <w:ind w:left="410" w:hanging="410"/>
        <w:spacing w:after="0"/>
        <w:tabs>
          <w:tab w:leader="none" w:pos="41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volatility in the market price of Class A common stock;</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manipulative short sellers of our stock, which may drive down the market price of our Class A common stock and could result in litigation;</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difficulty to predict the effect of the STAR Listing and STAR IPO on the Class A common stock;</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dual class structure of Class A common stock, which has the effect of concentrating voting control with our executive officers and directors;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limited experience of our management team managing a public company, including a “large accelerated filer.”</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ISK</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ACTORS</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Risks Related to Our Business and Our Industry</w:t>
      </w:r>
    </w:p>
    <w:p>
      <w:pPr>
        <w:spacing w:after="0" w:line="194" w:lineRule="exact"/>
        <w:rPr>
          <w:sz w:val="20"/>
          <w:szCs w:val="20"/>
          <w:color w:val="auto"/>
        </w:rPr>
      </w:pPr>
    </w:p>
    <w:p>
      <w:pPr>
        <w:ind w:left="10"/>
        <w:spacing w:after="0" w:line="276" w:lineRule="auto"/>
        <w:rPr>
          <w:sz w:val="20"/>
          <w:szCs w:val="20"/>
          <w:color w:val="auto"/>
        </w:rPr>
      </w:pPr>
      <w:r>
        <w:rPr>
          <w:rFonts w:ascii="Arial" w:cs="Arial" w:eastAsia="Arial" w:hAnsi="Arial"/>
          <w:sz w:val="15"/>
          <w:szCs w:val="15"/>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may need to raise funds in the future, depending on many factors, including:</w:t>
      </w:r>
    </w:p>
    <w:p>
      <w:pPr>
        <w:spacing w:after="0" w:line="18" w:lineRule="exact"/>
        <w:rPr>
          <w:sz w:val="20"/>
          <w:szCs w:val="20"/>
          <w:color w:val="auto"/>
        </w:rPr>
      </w:pPr>
    </w:p>
    <w:p>
      <w:pPr>
        <w:ind w:left="410" w:hanging="410"/>
        <w:spacing w:after="0"/>
        <w:tabs>
          <w:tab w:leader="none" w:pos="41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sales growth;</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costs of applying our existing technologies to new or enhanced products;</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20" w:name="page21"/>
    <w:bookmarkEnd w:id="20"/>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tabs>
          <w:tab w:leader="none" w:pos="41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costs of developing new technologies and introducing new products;</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costs associated with protecting our intellectual property;</w:t>
      </w:r>
    </w:p>
    <w:p>
      <w:pPr>
        <w:spacing w:after="0" w:line="8" w:lineRule="exact"/>
        <w:rPr>
          <w:rFonts w:ascii="Arial" w:cs="Arial" w:eastAsia="Arial" w:hAnsi="Arial"/>
          <w:sz w:val="15"/>
          <w:szCs w:val="15"/>
          <w:color w:val="auto"/>
        </w:rPr>
      </w:pPr>
    </w:p>
    <w:p>
      <w:pPr>
        <w:ind w:left="410" w:right="20" w:hanging="410"/>
        <w:spacing w:after="0" w:line="251" w:lineRule="auto"/>
        <w:tabs>
          <w:tab w:leader="none" w:pos="41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costs associated with our expansion, including capital expenditures and Lingang-related land purchases and deposits, and with increasing our sales and marketing and service and support efforts, and with expanding our geographic operations;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ability to continue to obtain governmental subsidies for developmental projects in the future;</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future debt repayment obligations;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number and timing of any future acquisitions.</w:t>
      </w:r>
    </w:p>
    <w:p>
      <w:pPr>
        <w:spacing w:after="0" w:line="180" w:lineRule="exact"/>
        <w:rPr>
          <w:sz w:val="20"/>
          <w:szCs w:val="20"/>
          <w:color w:val="auto"/>
        </w:rPr>
      </w:pPr>
    </w:p>
    <w:p>
      <w:pPr>
        <w:jc w:val="both"/>
        <w:ind w:left="10"/>
        <w:spacing w:after="0" w:line="291" w:lineRule="auto"/>
        <w:rPr>
          <w:sz w:val="20"/>
          <w:szCs w:val="20"/>
          <w:color w:val="auto"/>
        </w:rPr>
      </w:pPr>
      <w:r>
        <w:rPr>
          <w:rFonts w:ascii="Arial" w:cs="Arial" w:eastAsia="Arial" w:hAnsi="Arial"/>
          <w:sz w:val="14"/>
          <w:szCs w:val="14"/>
          <w:color w:val="auto"/>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38" w:lineRule="exact"/>
        <w:rPr>
          <w:sz w:val="20"/>
          <w:szCs w:val="20"/>
          <w:color w:val="auto"/>
        </w:rPr>
      </w:pPr>
    </w:p>
    <w:p>
      <w:pPr>
        <w:jc w:val="both"/>
        <w:ind w:left="10"/>
        <w:spacing w:after="0" w:line="280" w:lineRule="auto"/>
        <w:rPr>
          <w:sz w:val="20"/>
          <w:szCs w:val="20"/>
          <w:color w:val="auto"/>
        </w:rPr>
      </w:pPr>
      <w:r>
        <w:rPr>
          <w:rFonts w:ascii="Arial" w:cs="Arial" w:eastAsia="Arial" w:hAnsi="Arial"/>
          <w:sz w:val="14"/>
          <w:szCs w:val="14"/>
          <w:color w:val="auto"/>
        </w:rPr>
        <w:t>Proceeds received by ACM Shanghai from the initial placements of shares with PRC investors and from STAR IPO, in connection with the STAR Listing, of ACM Shanghai shares on the STAR Market will be used to grow and support our PRC operations. Those proceeds generally are not available for distribution to ACM Research. Under existing PRC laws and regulations, it may be difficult, if not impossible, for ACM Research to be able to receive dividends comprised of funds generated by ACM Shanghai and, even if such dividends can be paid from the PRC to the United States, any such dividends can be paid to ACM Research only if other holders of ACM Shanghai shares receive their pro rata dividends. As a result, it is unlikely that funds raised or generated by ACM Shanghai will be readily distributable to ACM Research.</w:t>
      </w:r>
    </w:p>
    <w:p>
      <w:pPr>
        <w:spacing w:after="0" w:line="147"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43"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Our quarterly operating results can be difficult to predict and can fluctuate substantially, which could result in volatility in the price of Class A common stock.</w:t>
      </w:r>
    </w:p>
    <w:p>
      <w:pPr>
        <w:spacing w:after="0" w:line="190"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ind w:left="410" w:hanging="410"/>
        <w:spacing w:after="0"/>
        <w:tabs>
          <w:tab w:leader="none" w:pos="4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cyclicality of the semiconductor industry and the related impact on the purchase of equipment used in the manufacture of chips;</w:t>
      </w:r>
    </w:p>
    <w:p>
      <w:pPr>
        <w:spacing w:after="0" w:line="8" w:lineRule="exact"/>
        <w:rPr>
          <w:rFonts w:ascii="Arial" w:cs="Arial" w:eastAsia="Arial" w:hAnsi="Arial"/>
          <w:sz w:val="15"/>
          <w:szCs w:val="15"/>
          <w:color w:val="auto"/>
        </w:rPr>
      </w:pPr>
    </w:p>
    <w:p>
      <w:pPr>
        <w:ind w:left="410" w:right="20" w:hanging="410"/>
        <w:spacing w:after="0" w:line="251" w:lineRule="auto"/>
        <w:tabs>
          <w:tab w:leader="none" w:pos="4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timing of purchases of our tools by chip fabricators, which order types of tools based on multi-year capital plans under which the number and dollar amount of tool purchases can vary significantly from year to year;</w:t>
      </w:r>
    </w:p>
    <w:p>
      <w:pPr>
        <w:spacing w:after="0" w:line="1" w:lineRule="exact"/>
        <w:rPr>
          <w:rFonts w:ascii="Arial" w:cs="Arial" w:eastAsia="Arial" w:hAnsi="Arial"/>
          <w:sz w:val="15"/>
          <w:szCs w:val="15"/>
          <w:color w:val="auto"/>
        </w:rPr>
      </w:pPr>
    </w:p>
    <w:p>
      <w:pPr>
        <w:ind w:left="410" w:right="20" w:hanging="410"/>
        <w:spacing w:after="0" w:line="251" w:lineRule="auto"/>
        <w:tabs>
          <w:tab w:leader="none" w:pos="4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significant expenditures required to customize our products often exceed the deposits received from our customers;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lead time required to manufacture our tools;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timing of recognizing revenue due to the timing of shipment and acceptance of our tools;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ability to sell additional tools to existing customers;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changes in customer specifications or requirements;</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21" w:name="page22"/>
    <w:bookmarkEnd w:id="21"/>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length of our product sales cycle;</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our product mix, including the mix of systems, upgrades, spare parts and service;</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timing of our product releases or upgrades or announcements of product releases or upgrades by us or our competitors, including changes in customer orders in anticipation of new products or product enhancements;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ability to enhance our tools with new and better functionality that meet customer requirements and changing industry trends;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constraints on our suppliers’ capacity;</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ability to sell our tools to Chinese customers due to regulatory restrictions, including the addition of our customers to the Entity List;</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ability of other suppliers to provide sufficient quantities of their tools to our Chinese customers which may indirectly the production plans of our customers and result in a reduction of demand for our tools;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timing of investments in research and development related to releasing new applications of our technologies and new products;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delays in the development and manufacture of our new products and upgraded versions of our products and the market acceptance of these products when introduced;</w:t>
      </w:r>
    </w:p>
    <w:p>
      <w:pPr>
        <w:spacing w:after="0" w:line="20" w:lineRule="exact"/>
        <w:rPr>
          <w:rFonts w:ascii="Arial" w:cs="Arial" w:eastAsia="Arial" w:hAnsi="Arial"/>
          <w:sz w:val="14"/>
          <w:szCs w:val="14"/>
          <w:color w:val="auto"/>
        </w:rPr>
      </w:pPr>
    </w:p>
    <w:p>
      <w:pPr>
        <w:ind w:left="410" w:hanging="410"/>
        <w:spacing w:after="0"/>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ability to control costs, including operating expenses and the costs of the components and subassemblies used in our products;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costs related to the acquisition and integration of product lines, technologies or businesses;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costs associated with protecting our intellectual property, including defending our intellectual property against third-party claims or litigation.</w:t>
      </w:r>
    </w:p>
    <w:p>
      <w:pPr>
        <w:spacing w:after="0" w:line="180" w:lineRule="exact"/>
        <w:rPr>
          <w:sz w:val="20"/>
          <w:szCs w:val="20"/>
          <w:color w:val="auto"/>
        </w:rPr>
      </w:pPr>
    </w:p>
    <w:p>
      <w:pPr>
        <w:jc w:val="both"/>
        <w:ind w:left="10"/>
        <w:spacing w:after="0" w:line="312" w:lineRule="auto"/>
        <w:rPr>
          <w:sz w:val="20"/>
          <w:szCs w:val="20"/>
          <w:color w:val="auto"/>
        </w:rPr>
      </w:pPr>
      <w:r>
        <w:rPr>
          <w:rFonts w:ascii="Arial" w:cs="Arial" w:eastAsia="Arial" w:hAnsi="Arial"/>
          <w:sz w:val="13"/>
          <w:szCs w:val="13"/>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or Lunar,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28"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3"/>
          <w:szCs w:val="13"/>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212"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55" w:lineRule="exact"/>
        <w:rPr>
          <w:sz w:val="20"/>
          <w:szCs w:val="20"/>
          <w:color w:val="auto"/>
        </w:rPr>
      </w:pPr>
    </w:p>
    <w:p>
      <w:pPr>
        <w:jc w:val="both"/>
        <w:ind w:left="10"/>
        <w:spacing w:after="0" w:line="312" w:lineRule="auto"/>
        <w:rPr>
          <w:sz w:val="20"/>
          <w:szCs w:val="20"/>
          <w:color w:val="auto"/>
        </w:rPr>
      </w:pPr>
      <w:r>
        <w:rPr>
          <w:rFonts w:ascii="Arial" w:cs="Arial" w:eastAsia="Arial" w:hAnsi="Arial"/>
          <w:sz w:val="13"/>
          <w:szCs w:val="13"/>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28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22" w:name="page23"/>
    <w:bookmarkEnd w:id="22"/>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43"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The PRC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Our success will depend on industry chip manufacturers adopting our SAPS, TEBO, Tahoe, ECP, furnace and other technologies.</w:t>
      </w:r>
    </w:p>
    <w:p>
      <w:pPr>
        <w:spacing w:after="0" w:line="190" w:lineRule="exact"/>
        <w:rPr>
          <w:sz w:val="20"/>
          <w:szCs w:val="20"/>
          <w:color w:val="auto"/>
        </w:rPr>
      </w:pPr>
    </w:p>
    <w:p>
      <w:pPr>
        <w:jc w:val="both"/>
        <w:ind w:left="10"/>
        <w:spacing w:after="0" w:line="276" w:lineRule="auto"/>
        <w:rPr>
          <w:sz w:val="20"/>
          <w:szCs w:val="20"/>
          <w:color w:val="auto"/>
        </w:rPr>
      </w:pPr>
      <w:r>
        <w:rPr>
          <w:rFonts w:ascii="Arial" w:cs="Arial" w:eastAsia="Arial" w:hAnsi="Arial"/>
          <w:sz w:val="14"/>
          <w:szCs w:val="14"/>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TEBO and Tahoe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148"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If our SAPS, TEBO, Tahoe ECP, furnace and other technologies do not achieve widespread market acceptance, we will not be able to compete effectively.</w:t>
      </w:r>
    </w:p>
    <w:p>
      <w:pPr>
        <w:spacing w:after="0" w:line="190"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The commercial success of our tools will depend, in part, on gaining substantial market acceptance by chip manufacturers. Our ability to gain acceptance for our products will depend upon a number of factors, including:</w:t>
      </w:r>
    </w:p>
    <w:p>
      <w:pPr>
        <w:spacing w:after="0" w:line="1" w:lineRule="exact"/>
        <w:rPr>
          <w:sz w:val="20"/>
          <w:szCs w:val="20"/>
          <w:color w:val="auto"/>
        </w:rPr>
      </w:pPr>
    </w:p>
    <w:p>
      <w:pPr>
        <w:ind w:left="410" w:hanging="410"/>
        <w:spacing w:after="0" w:line="251" w:lineRule="auto"/>
        <w:tabs>
          <w:tab w:leader="none" w:pos="41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demonstrate the differentiated, innovative nature of our SAPS, TEBO, Tahoe, ECP, furnace and other technologies and the advantages of our tools over those of our competitors;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compatibility of our tools with existing or potential customers’ manufacturing processes and products;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level of customer service available to support our products;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experiences our customers have with our products.</w:t>
      </w:r>
    </w:p>
    <w:p>
      <w:pPr>
        <w:spacing w:after="0" w:line="180" w:lineRule="exact"/>
        <w:rPr>
          <w:sz w:val="20"/>
          <w:szCs w:val="20"/>
          <w:color w:val="auto"/>
        </w:rPr>
      </w:pPr>
    </w:p>
    <w:p>
      <w:pPr>
        <w:jc w:val="both"/>
        <w:ind w:left="10"/>
        <w:spacing w:after="0" w:line="299" w:lineRule="auto"/>
        <w:rPr>
          <w:sz w:val="20"/>
          <w:szCs w:val="20"/>
          <w:color w:val="auto"/>
        </w:rPr>
      </w:pPr>
      <w:r>
        <w:rPr>
          <w:rFonts w:ascii="Arial" w:cs="Arial" w:eastAsia="Arial" w:hAnsi="Arial"/>
          <w:sz w:val="13"/>
          <w:szCs w:val="13"/>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92"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23" w:name="page24"/>
    <w:bookmarkEnd w:id="23"/>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190" w:lineRule="exact"/>
        <w:rPr>
          <w:sz w:val="20"/>
          <w:szCs w:val="20"/>
          <w:color w:val="auto"/>
        </w:rPr>
      </w:pPr>
    </w:p>
    <w:p>
      <w:pPr>
        <w:jc w:val="both"/>
        <w:ind w:left="10"/>
        <w:spacing w:after="0" w:line="253" w:lineRule="auto"/>
        <w:rPr>
          <w:sz w:val="20"/>
          <w:szCs w:val="20"/>
          <w:color w:val="auto"/>
        </w:rPr>
      </w:pPr>
      <w:r>
        <w:rPr>
          <w:rFonts w:ascii="Arial" w:cs="Arial" w:eastAsia="Arial" w:hAnsi="Arial"/>
          <w:sz w:val="15"/>
          <w:szCs w:val="15"/>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TEBO, Tahoe, ECP, furnace and other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4" w:lineRule="exact"/>
        <w:rPr>
          <w:sz w:val="20"/>
          <w:szCs w:val="20"/>
          <w:color w:val="auto"/>
        </w:rPr>
      </w:pPr>
    </w:p>
    <w:p>
      <w:pPr>
        <w:ind w:left="410" w:hanging="410"/>
        <w:spacing w:after="0"/>
        <w:tabs>
          <w:tab w:leader="none" w:pos="41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accurate anticipation of market requirements, changes in technology and evolving standards;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availability of qualified product designers and technologies needed to solve difficult design challenges in a cost-effective, reliable manner;</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ability to design products that meet chip manufacturers’ cost, size, acceptance and specification criteria, and performance requirements;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ability and availability of suppliers and third-party manufacturers to manufacture and deliver the critical components and subassemblies of our tools in a timely manner;</w:t>
      </w:r>
    </w:p>
    <w:p>
      <w:pPr>
        <w:spacing w:after="0" w:line="20" w:lineRule="exact"/>
        <w:rPr>
          <w:rFonts w:ascii="Arial" w:cs="Arial" w:eastAsia="Arial" w:hAnsi="Arial"/>
          <w:sz w:val="14"/>
          <w:szCs w:val="14"/>
          <w:color w:val="auto"/>
        </w:rPr>
      </w:pPr>
    </w:p>
    <w:p>
      <w:pPr>
        <w:ind w:left="410" w:hanging="410"/>
        <w:spacing w:after="0"/>
        <w:tabs>
          <w:tab w:leader="none" w:pos="41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market acceptance of our customers’ products, and the lifecycle of those products;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ability to deliver products in a timely manner within our customers’ product planning and deployment cycle.</w:t>
      </w:r>
    </w:p>
    <w:p>
      <w:pPr>
        <w:spacing w:after="0" w:line="180"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Our success will depend on our ability to identify and enter new product markets.</w:t>
      </w:r>
    </w:p>
    <w:p>
      <w:pPr>
        <w:spacing w:after="0" w:line="190" w:lineRule="exact"/>
        <w:rPr>
          <w:sz w:val="20"/>
          <w:szCs w:val="20"/>
          <w:color w:val="auto"/>
        </w:rPr>
      </w:pPr>
    </w:p>
    <w:p>
      <w:pPr>
        <w:jc w:val="both"/>
        <w:ind w:left="10"/>
        <w:spacing w:after="0" w:line="277" w:lineRule="auto"/>
        <w:rPr>
          <w:sz w:val="20"/>
          <w:szCs w:val="20"/>
          <w:color w:val="auto"/>
        </w:rPr>
      </w:pPr>
      <w:r>
        <w:rPr>
          <w:rFonts w:ascii="Arial" w:cs="Arial" w:eastAsia="Arial" w:hAnsi="Arial"/>
          <w:sz w:val="14"/>
          <w:szCs w:val="14"/>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30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24" w:name="page25"/>
    <w:bookmarkEnd w:id="24"/>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10"/>
        <w:spacing w:after="0"/>
        <w:rPr>
          <w:sz w:val="20"/>
          <w:szCs w:val="20"/>
          <w:color w:val="auto"/>
        </w:rPr>
      </w:pPr>
      <w:r>
        <w:rPr>
          <w:rFonts w:ascii="Arial" w:cs="Arial" w:eastAsia="Arial" w:hAnsi="Arial"/>
          <w:sz w:val="13"/>
          <w:szCs w:val="13"/>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212" w:lineRule="exact"/>
        <w:rPr>
          <w:sz w:val="20"/>
          <w:szCs w:val="20"/>
          <w:color w:val="auto"/>
        </w:rPr>
      </w:pPr>
    </w:p>
    <w:p>
      <w:pPr>
        <w:jc w:val="both"/>
        <w:ind w:left="10"/>
        <w:spacing w:after="0" w:line="306" w:lineRule="auto"/>
        <w:rPr>
          <w:sz w:val="20"/>
          <w:szCs w:val="20"/>
          <w:color w:val="auto"/>
        </w:rPr>
      </w:pPr>
      <w:r>
        <w:rPr>
          <w:rFonts w:ascii="Arial" w:cs="Arial" w:eastAsia="Arial" w:hAnsi="Arial"/>
          <w:sz w:val="13"/>
          <w:szCs w:val="13"/>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133"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146" w:lineRule="exact"/>
        <w:rPr>
          <w:sz w:val="20"/>
          <w:szCs w:val="20"/>
          <w:color w:val="auto"/>
        </w:rPr>
      </w:pPr>
    </w:p>
    <w:p>
      <w:pPr>
        <w:jc w:val="both"/>
        <w:ind w:left="10" w:right="20"/>
        <w:spacing w:after="0" w:line="258" w:lineRule="auto"/>
        <w:rPr>
          <w:sz w:val="20"/>
          <w:szCs w:val="20"/>
          <w:color w:val="auto"/>
        </w:rPr>
      </w:pPr>
      <w:r>
        <w:rPr>
          <w:rFonts w:ascii="Arial" w:cs="Arial" w:eastAsia="Arial" w:hAnsi="Arial"/>
          <w:sz w:val="15"/>
          <w:szCs w:val="15"/>
          <w:color w:val="auto"/>
        </w:rPr>
        <w:t>The chip equipment industry is highly competitive, and we face substantial competition throughout the world in each of the markets we serve. Many of our current and potential competitors have, among other things:</w:t>
      </w:r>
    </w:p>
    <w:p>
      <w:pPr>
        <w:spacing w:after="0" w:line="1" w:lineRule="exact"/>
        <w:rPr>
          <w:sz w:val="20"/>
          <w:szCs w:val="20"/>
          <w:color w:val="auto"/>
        </w:rPr>
      </w:pPr>
    </w:p>
    <w:p>
      <w:pPr>
        <w:ind w:left="410" w:hanging="410"/>
        <w:spacing w:after="0"/>
        <w:tabs>
          <w:tab w:leader="none" w:pos="410" w:val="left"/>
        </w:tabs>
        <w:numPr>
          <w:ilvl w:val="0"/>
          <w:numId w:val="30"/>
        </w:numPr>
        <w:rPr>
          <w:rFonts w:ascii="Arial" w:cs="Arial" w:eastAsia="Arial" w:hAnsi="Arial"/>
          <w:sz w:val="15"/>
          <w:szCs w:val="15"/>
          <w:color w:val="auto"/>
        </w:rPr>
      </w:pPr>
      <w:r>
        <w:rPr>
          <w:rFonts w:ascii="Arial" w:cs="Arial" w:eastAsia="Arial" w:hAnsi="Arial"/>
          <w:sz w:val="15"/>
          <w:szCs w:val="15"/>
          <w:color w:val="auto"/>
        </w:rPr>
        <w:t>greater financial, technical, sales and marketing, manufacturing, distribution and other resources;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established credibility and market reputations;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longer operating histories;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broader product offerings;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more extensive service offerings, including the ability to have large inventories of spare parts available near, or even at, customer locations;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local sales forces;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more extensive geographic coverage.</w:t>
      </w:r>
    </w:p>
    <w:p>
      <w:pPr>
        <w:spacing w:after="0" w:line="180" w:lineRule="exact"/>
        <w:rPr>
          <w:sz w:val="20"/>
          <w:szCs w:val="20"/>
          <w:color w:val="auto"/>
        </w:rPr>
      </w:pPr>
    </w:p>
    <w:p>
      <w:pPr>
        <w:jc w:val="both"/>
        <w:ind w:left="10"/>
        <w:spacing w:after="0" w:line="280" w:lineRule="auto"/>
        <w:rPr>
          <w:sz w:val="20"/>
          <w:szCs w:val="20"/>
          <w:color w:val="auto"/>
        </w:rPr>
      </w:pPr>
      <w:r>
        <w:rPr>
          <w:rFonts w:ascii="Arial" w:cs="Arial" w:eastAsia="Arial" w:hAnsi="Arial"/>
          <w:sz w:val="14"/>
          <w:szCs w:val="14"/>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47" w:lineRule="exact"/>
        <w:rPr>
          <w:sz w:val="20"/>
          <w:szCs w:val="20"/>
          <w:color w:val="auto"/>
        </w:rPr>
      </w:pPr>
    </w:p>
    <w:p>
      <w:pPr>
        <w:jc w:val="both"/>
        <w:ind w:left="10"/>
        <w:spacing w:after="0" w:line="313" w:lineRule="auto"/>
        <w:rPr>
          <w:sz w:val="20"/>
          <w:szCs w:val="20"/>
          <w:color w:val="auto"/>
        </w:rPr>
      </w:pPr>
      <w:r>
        <w:rPr>
          <w:rFonts w:ascii="Arial" w:cs="Arial" w:eastAsia="Arial" w:hAnsi="Arial"/>
          <w:sz w:val="14"/>
          <w:szCs w:val="14"/>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123"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color w:val="auto"/>
        </w:rPr>
        <w:t>The chip manufacturing industry is highly concentrated, and we derive most of our revenue from a limited number of customers. A total of two customers accounted for 48.9% of our revenue in 2021, three customers accounted for 75.8% of our revenue in 2020, and three customers accounted for 73.8% of our revenue in 2019.</w:t>
      </w:r>
    </w:p>
    <w:p>
      <w:pPr>
        <w:spacing w:after="0" w:line="146" w:lineRule="exact"/>
        <w:rPr>
          <w:sz w:val="20"/>
          <w:szCs w:val="20"/>
          <w:color w:val="auto"/>
        </w:rPr>
      </w:pPr>
    </w:p>
    <w:p>
      <w:pPr>
        <w:ind w:left="10" w:right="80"/>
        <w:spacing w:after="0" w:line="264" w:lineRule="auto"/>
        <w:rPr>
          <w:sz w:val="20"/>
          <w:szCs w:val="20"/>
          <w:color w:val="auto"/>
        </w:rPr>
      </w:pPr>
      <w:r>
        <w:rPr>
          <w:rFonts w:ascii="Arial" w:cs="Arial" w:eastAsia="Arial" w:hAnsi="Arial"/>
          <w:sz w:val="15"/>
          <w:szCs w:val="15"/>
          <w:color w:val="auto"/>
        </w:rPr>
        <w:t>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308"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25" w:name="page26"/>
    <w:bookmarkEnd w:id="2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customers do not enter into long-term purchase commitments, and they may decrease, cancel or delay their projected purchases at any time.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accordance with industry practice, our sales are on a purchase order basis, which we seek to obtain three to four months in advance of the expected product delivery date. Until a purchase order is received, we do not have a binding purchase commitment. Our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often incur significant research and development costs for products that are purchased by our customers only after much, or all, of the cost has been incurred or that may never be purchased. We allow some new customers, or existing customers considering new products, to evaluate products without any payment becoming due unless the product is ultimately accepted, which means we may invest a significant amount in manufacturing a tool that may never be accepted and purchased or may be purchased months or even years after production. In the past we have borrowed money in order to fund first-time purchase order equipment and next-generation evaluation equipment. When we deliver evaluation equipment, or a “first tool,” we may not recognize revenue or receive payment for the tool for 24 months or longer.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6" w:name="page27"/>
    <w:bookmarkEnd w:id="26"/>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10" w:right="660"/>
        <w:spacing w:after="0" w:line="276" w:lineRule="auto"/>
        <w:rPr>
          <w:sz w:val="20"/>
          <w:szCs w:val="20"/>
          <w:color w:val="auto"/>
        </w:rPr>
      </w:pPr>
      <w:r>
        <w:rPr>
          <w:rFonts w:ascii="Arial" w:cs="Arial" w:eastAsia="Arial" w:hAnsi="Arial"/>
          <w:sz w:val="15"/>
          <w:szCs w:val="15"/>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146"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duration or ultimate success of our sales cycle depends on factors such as:</w:t>
      </w:r>
    </w:p>
    <w:p>
      <w:pPr>
        <w:spacing w:after="0" w:line="18" w:lineRule="exact"/>
        <w:rPr>
          <w:sz w:val="20"/>
          <w:szCs w:val="20"/>
          <w:color w:val="auto"/>
        </w:rPr>
      </w:pPr>
    </w:p>
    <w:p>
      <w:pPr>
        <w:ind w:left="410" w:hanging="410"/>
        <w:spacing w:after="0"/>
        <w:tabs>
          <w:tab w:leader="none" w:pos="41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efforts by our sales force;</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complexity of our customers’ manufacturing processes and the compatibility of our tools with those processes;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customers’ internal technical capabilities and sophistication;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customers’ capital spending plans and processes, including budgetary constraints, internal approvals, extended negotiations or administrative delays.</w:t>
      </w:r>
    </w:p>
    <w:p>
      <w:pPr>
        <w:spacing w:after="0" w:line="180"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Difficulties in forecasting demand for our tools may lead to periodic inventory shortages or excess spending on inventory items that may not be used.</w:t>
      </w:r>
    </w:p>
    <w:p>
      <w:pPr>
        <w:spacing w:after="0" w:line="190"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5"/>
          <w:szCs w:val="15"/>
          <w:color w:val="auto"/>
        </w:rPr>
        <w:t>A failure to prevent inventory shortages or accurately predict customers’ needs could result in decreased revenue and gross margins and harm our business.</w:t>
      </w:r>
    </w:p>
    <w:p>
      <w:pPr>
        <w:spacing w:after="0" w:line="190" w:lineRule="exact"/>
        <w:rPr>
          <w:sz w:val="20"/>
          <w:szCs w:val="20"/>
          <w:color w:val="auto"/>
        </w:rPr>
      </w:pPr>
    </w:p>
    <w:p>
      <w:pPr>
        <w:jc w:val="both"/>
        <w:ind w:left="10"/>
        <w:spacing w:after="0" w:line="278" w:lineRule="auto"/>
        <w:rPr>
          <w:sz w:val="20"/>
          <w:szCs w:val="20"/>
          <w:color w:val="auto"/>
        </w:rPr>
      </w:pPr>
      <w:r>
        <w:rPr>
          <w:rFonts w:ascii="Arial" w:cs="Arial" w:eastAsia="Arial" w:hAnsi="Arial"/>
          <w:sz w:val="14"/>
          <w:szCs w:val="14"/>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30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27" w:name="page28"/>
    <w:bookmarkEnd w:id="27"/>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right="20"/>
        <w:spacing w:after="0" w:line="313" w:lineRule="auto"/>
        <w:rPr>
          <w:sz w:val="20"/>
          <w:szCs w:val="20"/>
          <w:color w:val="auto"/>
        </w:rPr>
      </w:pPr>
      <w:r>
        <w:rPr>
          <w:rFonts w:ascii="Arial" w:cs="Arial" w:eastAsia="Arial" w:hAnsi="Arial"/>
          <w:sz w:val="14"/>
          <w:szCs w:val="14"/>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123"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If our tools contain defects or do not meet customer specifications, we could lose customers and revenue.</w:t>
      </w:r>
    </w:p>
    <w:p>
      <w:pPr>
        <w:spacing w:after="0" w:line="190"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158" w:lineRule="exact"/>
        <w:rPr>
          <w:sz w:val="20"/>
          <w:szCs w:val="20"/>
          <w:color w:val="auto"/>
        </w:rPr>
      </w:pPr>
    </w:p>
    <w:p>
      <w:pPr>
        <w:ind w:left="410" w:hanging="410"/>
        <w:spacing w:after="0"/>
        <w:tabs>
          <w:tab w:leader="none" w:pos="4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customers may delay or reject acceptance of our tools that contain defects or fail to meet their specifications;</w:t>
      </w:r>
    </w:p>
    <w:p>
      <w:pPr>
        <w:spacing w:after="0" w:line="17"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may suffer customer dissatisfaction, negative publicity and reputational damage, resulting in reduced orders or otherwise damaging our ability to retain existing customers and attract new customers;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may incur substantial costs as a result of warranty claims or service obligations or in order to enhance the reliability of our tools;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attention of our technical and management resources may be diverted;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may be required to replace defective systems or invest significant capital to resolve these problems;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may be required to write off inventory and other assets related to our tools.</w:t>
      </w:r>
    </w:p>
    <w:p>
      <w:pPr>
        <w:spacing w:after="0" w:line="180"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Warranty claims in excess of our estimates could adversely affect our business.</w:t>
      </w:r>
    </w:p>
    <w:p>
      <w:pPr>
        <w:spacing w:after="0" w:line="190"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We have provided warranties against manufacturing defects of our tools that range from 12 to 36 months in duration. Our product warranty requires us to provide labor and parts necessary to repair defects. As of December 31, 2021, we had accrued $6.8 million in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158"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146" w:lineRule="exact"/>
        <w:rPr>
          <w:sz w:val="20"/>
          <w:szCs w:val="20"/>
          <w:color w:val="auto"/>
        </w:rPr>
      </w:pPr>
    </w:p>
    <w:p>
      <w:pPr>
        <w:jc w:val="both"/>
        <w:ind w:left="10" w:right="20"/>
        <w:spacing w:after="0" w:line="183" w:lineRule="exact"/>
        <w:rPr>
          <w:sz w:val="20"/>
          <w:szCs w:val="20"/>
          <w:color w:val="auto"/>
        </w:rPr>
      </w:pPr>
      <w:r>
        <w:rPr>
          <w:rFonts w:ascii="Arial" w:cs="Arial" w:eastAsia="Arial" w:hAnsi="Arial"/>
          <w:sz w:val="15"/>
          <w:szCs w:val="15"/>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In addition, supply chain constraints have intensified due to COVID-19. See also “Risks Related to the COVID 19 Outbreak—Our global supply chain may be materially adversely impacted due to the COVID</w:t>
      </w:r>
      <w:r>
        <w:rPr>
          <w:rFonts w:ascii="MS PGothic" w:cs="MS PGothic" w:eastAsia="MS PGothic" w:hAnsi="MS PGothic"/>
          <w:sz w:val="15"/>
          <w:szCs w:val="15"/>
          <w:color w:val="auto"/>
        </w:rPr>
        <w:t>‑</w:t>
      </w:r>
      <w:r>
        <w:rPr>
          <w:rFonts w:ascii="Arial" w:cs="Arial" w:eastAsia="Arial" w:hAnsi="Arial"/>
          <w:sz w:val="15"/>
          <w:szCs w:val="15"/>
          <w:color w:val="auto"/>
        </w:rPr>
        <w:t>19 pandemic.” These issues and our ability to manage increased demand could delay shipments of our tools, increase our testing or production costs or lead to costly failure claims.</w:t>
      </w:r>
    </w:p>
    <w:p>
      <w:pPr>
        <w:spacing w:after="0" w:line="327"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28" w:name="page29"/>
    <w:bookmarkEnd w:id="28"/>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19" w:lineRule="exact"/>
        <w:rPr>
          <w:sz w:val="20"/>
          <w:szCs w:val="20"/>
          <w:color w:val="auto"/>
        </w:rPr>
      </w:pPr>
    </w:p>
    <w:p>
      <w:pPr>
        <w:ind w:left="410" w:hanging="410"/>
        <w:spacing w:after="0"/>
        <w:tabs>
          <w:tab w:leader="none" w:pos="4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potential price increases;</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capacity shortages or other inability to meet any increase in demand for our products;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reduced control over manufacturing process for components and subassemblies and delivery schedules;</w:t>
      </w:r>
    </w:p>
    <w:p>
      <w:pPr>
        <w:spacing w:after="0" w:line="8" w:lineRule="exact"/>
        <w:rPr>
          <w:rFonts w:ascii="Arial" w:cs="Arial" w:eastAsia="Arial" w:hAnsi="Arial"/>
          <w:sz w:val="15"/>
          <w:szCs w:val="15"/>
          <w:color w:val="auto"/>
        </w:rPr>
      </w:pPr>
    </w:p>
    <w:p>
      <w:pPr>
        <w:ind w:left="410" w:right="20" w:hanging="410"/>
        <w:spacing w:after="0" w:line="251" w:lineRule="auto"/>
        <w:tabs>
          <w:tab w:leader="none" w:pos="4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increased exposure to potential misappropriation of our intellectual property;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3"/>
        </w:numPr>
        <w:rPr>
          <w:rFonts w:ascii="Arial" w:cs="Arial" w:eastAsia="Arial" w:hAnsi="Arial"/>
          <w:sz w:val="15"/>
          <w:szCs w:val="15"/>
          <w:color w:val="auto"/>
        </w:rPr>
      </w:pPr>
      <w:r>
        <w:rPr>
          <w:rFonts w:ascii="Arial" w:cs="Arial" w:eastAsia="Arial" w:hAnsi="Arial"/>
          <w:sz w:val="15"/>
          <w:szCs w:val="15"/>
          <w:color w:val="auto"/>
        </w:rPr>
        <w:t>limited warranties on subassemblies and components supplied to us.</w:t>
      </w:r>
    </w:p>
    <w:p>
      <w:pPr>
        <w:spacing w:after="0" w:line="180"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190" w:lineRule="exact"/>
        <w:rPr>
          <w:sz w:val="20"/>
          <w:szCs w:val="20"/>
          <w:color w:val="auto"/>
        </w:rPr>
      </w:pPr>
    </w:p>
    <w:p>
      <w:pPr>
        <w:jc w:val="both"/>
        <w:ind w:left="10"/>
        <w:spacing w:after="0" w:line="312" w:lineRule="auto"/>
        <w:rPr>
          <w:sz w:val="20"/>
          <w:szCs w:val="20"/>
          <w:color w:val="auto"/>
        </w:rPr>
      </w:pPr>
      <w:r>
        <w:rPr>
          <w:rFonts w:ascii="Arial" w:cs="Arial" w:eastAsia="Arial" w:hAnsi="Arial"/>
          <w:sz w:val="13"/>
          <w:szCs w:val="13"/>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128" w:lineRule="exact"/>
        <w:rPr>
          <w:sz w:val="20"/>
          <w:szCs w:val="20"/>
          <w:color w:val="auto"/>
        </w:rPr>
      </w:pPr>
    </w:p>
    <w:p>
      <w:pPr>
        <w:ind w:left="10" w:right="120"/>
        <w:spacing w:after="0" w:line="276" w:lineRule="auto"/>
        <w:rPr>
          <w:sz w:val="20"/>
          <w:szCs w:val="20"/>
          <w:color w:val="auto"/>
        </w:rPr>
      </w:pPr>
      <w:r>
        <w:rPr>
          <w:rFonts w:ascii="Arial" w:cs="Arial" w:eastAsia="Arial" w:hAnsi="Arial"/>
          <w:sz w:val="15"/>
          <w:szCs w:val="15"/>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146"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Ninebell Co., Ltd., or Ninebell, as the principal supplier of robotic delivery system subassemblies used in our single-wafer cleaning equipment; and Advanced Electric Co. Inc., as a key supplier of valves used in our single-wafer cleaning equipment. An adverse change to our relationship with any of these suppliers would disrupt our production of single-wafer cleaning equipment and could cause substantial harm to our business.</w:t>
      </w:r>
    </w:p>
    <w:p>
      <w:pPr>
        <w:spacing w:after="0" w:line="163"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31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29" w:name="page30"/>
    <w:bookmarkEnd w:id="29"/>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159" w:lineRule="exact"/>
        <w:rPr>
          <w:sz w:val="20"/>
          <w:szCs w:val="20"/>
          <w:color w:val="auto"/>
        </w:rPr>
      </w:pPr>
    </w:p>
    <w:p>
      <w:pPr>
        <w:jc w:val="both"/>
        <w:ind w:left="10"/>
        <w:spacing w:after="0" w:line="356" w:lineRule="auto"/>
        <w:rPr>
          <w:sz w:val="20"/>
          <w:szCs w:val="20"/>
          <w:color w:val="auto"/>
        </w:rPr>
      </w:pPr>
      <w:r>
        <w:rPr>
          <w:rFonts w:ascii="Arial" w:cs="Arial" w:eastAsia="Arial" w:hAnsi="Arial"/>
          <w:sz w:val="13"/>
          <w:szCs w:val="13"/>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and our operational expenses, either of which could make it difficult for us to expand our product base.</w:t>
      </w:r>
    </w:p>
    <w:p>
      <w:pPr>
        <w:spacing w:after="0" w:line="99"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We received subsidies from local and central governmental authorities in the PRC in 2008, 2009, 2014, 2018, 2019, 2020 and 2021. These grants have provided a significant portion of the funding for our development and commercialization of stress-free polishing and electro copper-plating technologies. If we are unable to obtain similar governmental subsidies for development projects in the future, our operating expenses could increase, or we may need to raise additional funds through public financings, or other arrangements, which could force us to reduce our efforts to develop technologies beyond SAPS, TEBO, Tahoe and ECP.</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The success of our business will depend on our ability to manage any future growth.</w:t>
      </w:r>
    </w:p>
    <w:p>
      <w:pPr>
        <w:spacing w:after="0" w:line="190" w:lineRule="exact"/>
        <w:rPr>
          <w:sz w:val="20"/>
          <w:szCs w:val="20"/>
          <w:color w:val="auto"/>
        </w:rPr>
      </w:pPr>
    </w:p>
    <w:p>
      <w:pPr>
        <w:jc w:val="both"/>
        <w:ind w:left="10"/>
        <w:spacing w:after="0" w:line="303" w:lineRule="auto"/>
        <w:rPr>
          <w:sz w:val="20"/>
          <w:szCs w:val="20"/>
          <w:color w:val="auto"/>
        </w:rPr>
      </w:pPr>
      <w:r>
        <w:rPr>
          <w:rFonts w:ascii="Arial" w:cs="Arial" w:eastAsia="Arial" w:hAnsi="Arial"/>
          <w:sz w:val="13"/>
          <w:szCs w:val="13"/>
          <w:color w:val="auto"/>
        </w:rPr>
        <w:t>We have experienced rapid growth in our business recently due, in part, to an expansion of our product offerings and an increase in the number of customers that we serve. For example, our headcount grew by 62% in 2021, 50% in 2020, and 32% in 2019.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135" w:lineRule="exact"/>
        <w:rPr>
          <w:sz w:val="20"/>
          <w:szCs w:val="20"/>
          <w:color w:val="auto"/>
        </w:rPr>
      </w:pPr>
    </w:p>
    <w:p>
      <w:pPr>
        <w:ind w:left="410" w:hanging="410"/>
        <w:spacing w:after="0" w:line="258" w:lineRule="auto"/>
        <w:tabs>
          <w:tab w:leader="none" w:pos="410" w:val="left"/>
        </w:tabs>
        <w:numPr>
          <w:ilvl w:val="0"/>
          <w:numId w:val="34"/>
        </w:numPr>
        <w:rPr>
          <w:rFonts w:ascii="Arial" w:cs="Arial" w:eastAsia="Arial" w:hAnsi="Arial"/>
          <w:sz w:val="15"/>
          <w:szCs w:val="15"/>
          <w:color w:val="auto"/>
        </w:rPr>
      </w:pPr>
      <w:r>
        <w:rPr>
          <w:rFonts w:ascii="Arial" w:cs="Arial" w:eastAsia="Arial" w:hAnsi="Arial"/>
          <w:sz w:val="15"/>
          <w:szCs w:val="15"/>
          <w:color w:val="auto"/>
        </w:rPr>
        <w:t>hire, train, integrate and manage additional qualified engineers for research and development activities, sales and marketing personnel, service and support personnel and financial and information technology personnel;</w:t>
      </w:r>
    </w:p>
    <w:p>
      <w:pPr>
        <w:ind w:left="410" w:hanging="410"/>
        <w:spacing w:after="0"/>
        <w:tabs>
          <w:tab w:leader="none" w:pos="410" w:val="left"/>
        </w:tabs>
        <w:numPr>
          <w:ilvl w:val="0"/>
          <w:numId w:val="34"/>
        </w:numPr>
        <w:rPr>
          <w:rFonts w:ascii="Arial" w:cs="Arial" w:eastAsia="Arial" w:hAnsi="Arial"/>
          <w:sz w:val="15"/>
          <w:szCs w:val="15"/>
          <w:color w:val="auto"/>
        </w:rPr>
      </w:pPr>
      <w:r>
        <w:rPr>
          <w:rFonts w:ascii="Arial" w:cs="Arial" w:eastAsia="Arial" w:hAnsi="Arial"/>
          <w:sz w:val="15"/>
          <w:szCs w:val="15"/>
          <w:color w:val="auto"/>
        </w:rPr>
        <w:t>manage multiple relationships with our customers, suppliers and other third parties;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continue to enhance our information technology infrastructure, systems and controls.</w:t>
      </w:r>
    </w:p>
    <w:p>
      <w:pPr>
        <w:spacing w:after="0" w:line="180" w:lineRule="exact"/>
        <w:rPr>
          <w:sz w:val="20"/>
          <w:szCs w:val="20"/>
          <w:color w:val="auto"/>
        </w:rPr>
      </w:pPr>
    </w:p>
    <w:p>
      <w:pPr>
        <w:jc w:val="both"/>
        <w:ind w:left="10"/>
        <w:spacing w:after="0" w:line="291" w:lineRule="auto"/>
        <w:rPr>
          <w:sz w:val="20"/>
          <w:szCs w:val="20"/>
          <w:color w:val="auto"/>
        </w:rPr>
      </w:pPr>
      <w:r>
        <w:rPr>
          <w:rFonts w:ascii="Arial" w:cs="Arial" w:eastAsia="Arial" w:hAnsi="Arial"/>
          <w:sz w:val="14"/>
          <w:szCs w:val="14"/>
          <w:color w:val="auto"/>
        </w:rPr>
        <w:t>Our organizational structure has become more complex, including as a result of the STAR Listing and the STAR IPO. We will need to continue to scale and adapt our operational, financial and management controls, as well as our reporting systems and procedures, at both ACM Research and ACM Shanghai. The continued expansion of our infrastructure will require us to commit substantial financial, operational and management resources before our revenue increases and without any assurances that our revenue will increase.</w:t>
      </w:r>
    </w:p>
    <w:p>
      <w:pPr>
        <w:spacing w:after="0" w:line="138"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We are highly dependent on our Chief Executive Officer and President and other senior management and key employees.</w:t>
      </w:r>
    </w:p>
    <w:p>
      <w:pPr>
        <w:spacing w:after="0" w:line="190" w:lineRule="exact"/>
        <w:rPr>
          <w:sz w:val="20"/>
          <w:szCs w:val="20"/>
          <w:color w:val="auto"/>
        </w:rPr>
      </w:pPr>
    </w:p>
    <w:p>
      <w:pPr>
        <w:jc w:val="both"/>
        <w:ind w:left="10"/>
        <w:spacing w:after="0" w:line="255" w:lineRule="auto"/>
        <w:rPr>
          <w:sz w:val="20"/>
          <w:szCs w:val="20"/>
          <w:color w:val="auto"/>
        </w:rPr>
      </w:pPr>
      <w:r>
        <w:rPr>
          <w:rFonts w:ascii="Arial" w:cs="Arial" w:eastAsia="Arial" w:hAnsi="Arial"/>
          <w:sz w:val="15"/>
          <w:szCs w:val="15"/>
          <w:color w:val="auto"/>
        </w:rPr>
        <w:t>Our success largely depends on the skills, experience and continued efforts of our management, technical and sales personnel, including in particular Dr. David H. Wang, the Chair of the Board, Chief Executive Officer and President of ACM Research. All of our senior management are at-will employees, which means either we or the employee may terminate their employment at any time. If one or more of our other senior management were unable or unwilling to continue their employment with us, we may not be able to replace them in a timely manner. Moreover, in connection with the STAR Listing and the STAR IPO, ACM Shanghai is now managed by a group of officers separate from those of ACM Research and those officers owe fiduciary duties to the various stakeholders of ACM Shanghai. We do not have employment or retention agreements with, or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The loss of Dr. Wang or other key management personnel, including our Chief Financial Officer, could significantly delay or prevent the achievement of our business objectives.</w:t>
      </w:r>
    </w:p>
    <w:p>
      <w:pPr>
        <w:spacing w:after="0" w:line="316"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30" w:name="page31"/>
    <w:bookmarkEnd w:id="3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attract and retain qualified personnel could put us at a competitive disadvantage and prevent us from effectively growing our business.</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utilize certain U.S. and state net operating loss carryforwards may be limited under applicable tax laws.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of December 31, 2021, we had net operating loss carryforward amounts, or NOLs, of $56.1 million for U.S. federal income tax purposes and $0.5 million for U.S. state income tax purposes. As of December 31, 2020, we had NOLs of $45.0 million for U.S. federal income tax purposes and $545,000 for U.S. state income tax purposes. The federal and state NOLs will expire at various dates in the future.</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our initial public offering and concurrent private placement in November 2017, our follow on public offering in August 2019, and any future equity issuances.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Acquisitions that we pursue in the future, whether or not consummated, could result in other operating and financial difficulties.</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1" w:name="page32"/>
    <w:bookmarkEnd w:id="31"/>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10" w:right="100"/>
        <w:spacing w:after="0" w:line="298" w:lineRule="auto"/>
        <w:rPr>
          <w:sz w:val="20"/>
          <w:szCs w:val="20"/>
          <w:color w:val="auto"/>
        </w:rPr>
      </w:pPr>
      <w:r>
        <w:rPr>
          <w:rFonts w:ascii="Arial" w:cs="Arial" w:eastAsia="Arial" w:hAnsi="Arial"/>
          <w:sz w:val="13"/>
          <w:szCs w:val="13"/>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acquired product lines, technologies or businesses may not improve our financial and strategic position as planned;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determine we have overpaid for the product lines, technologies or businesses, or that the economic conditions underlying our acquisition have changed;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have difficulty integrating the operations and personnel of the acquired company;</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have difficulty retaining the employees with the technical skills needed to enhance and provide services with respect to the acquired product lines or technologies;</w:t>
      </w:r>
    </w:p>
    <w:p>
      <w:pPr>
        <w:spacing w:after="0" w:line="20" w:lineRule="exact"/>
        <w:rPr>
          <w:rFonts w:ascii="Arial" w:cs="Arial" w:eastAsia="Arial" w:hAnsi="Arial"/>
          <w:sz w:val="14"/>
          <w:szCs w:val="14"/>
          <w:color w:val="auto"/>
        </w:rPr>
      </w:pP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acquisition may be viewed negatively by customers, employees, suppliers, financial markets or investors;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have difficulty incorporating the acquired product lines or technologies with our existing technologies;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encounter a competitive response, including price competition or intellectual property litigation;</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encounter difficulties related to required CFIUS approval (see also “—Regulatory and Litigation Risks—Certain of our investments may be subject to review by and approval from CFIUS, which may prevent us from taking advantage of investment opportunities that would otherwise be advantageous to our stockholders”);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become a party to product liability or intellectual property infringement claims as a result of our sale of the acquired company’s products;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incur one-time write-offs, such as acquired in-process research and development costs, and restructuring charges;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acquire goodwill and other intangible assets that are subject to impairment tests, which could result in future impairment charges;</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ongoing business and management’s attention may be disrupted or diverted by transition or integration issues and the complexity of managing geographically or culturally diverse enterprises; and</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due diligence process may fail to identify significant existing issues with the target business.</w:t>
      </w:r>
    </w:p>
    <w:p>
      <w:pPr>
        <w:spacing w:after="0" w:line="180" w:lineRule="exact"/>
        <w:rPr>
          <w:sz w:val="20"/>
          <w:szCs w:val="20"/>
          <w:color w:val="auto"/>
        </w:rPr>
      </w:pPr>
    </w:p>
    <w:p>
      <w:pPr>
        <w:jc w:val="both"/>
        <w:ind w:left="10"/>
        <w:spacing w:after="0" w:line="313" w:lineRule="auto"/>
        <w:rPr>
          <w:sz w:val="20"/>
          <w:szCs w:val="20"/>
          <w:color w:val="auto"/>
        </w:rPr>
      </w:pPr>
      <w:r>
        <w:rPr>
          <w:rFonts w:ascii="Arial" w:cs="Arial" w:eastAsia="Arial" w:hAnsi="Arial"/>
          <w:sz w:val="14"/>
          <w:szCs w:val="14"/>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123"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146" w:lineRule="exact"/>
        <w:rPr>
          <w:sz w:val="20"/>
          <w:szCs w:val="20"/>
          <w:color w:val="auto"/>
        </w:rPr>
      </w:pPr>
    </w:p>
    <w:p>
      <w:pPr>
        <w:jc w:val="both"/>
        <w:ind w:left="10"/>
        <w:spacing w:after="0" w:line="254" w:lineRule="auto"/>
        <w:rPr>
          <w:sz w:val="20"/>
          <w:szCs w:val="20"/>
          <w:color w:val="auto"/>
        </w:rPr>
      </w:pPr>
      <w:r>
        <w:rPr>
          <w:rFonts w:ascii="Arial" w:cs="Arial" w:eastAsia="Arial" w:hAnsi="Arial"/>
          <w:sz w:val="15"/>
          <w:szCs w:val="15"/>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ind w:left="410" w:hanging="410"/>
        <w:spacing w:after="0"/>
        <w:tabs>
          <w:tab w:leader="none" w:pos="41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decline in demand for our products;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 increase in reserves on accounts receivable due to our customers’ inability to pay us;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 increase in reserves on inventory balances due to excess or obsolete inventory as a result of our inability to sell such inventory;</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6"/>
        </w:numPr>
        <w:rPr>
          <w:rFonts w:ascii="Arial" w:cs="Arial" w:eastAsia="Arial" w:hAnsi="Arial"/>
          <w:sz w:val="15"/>
          <w:szCs w:val="15"/>
          <w:color w:val="auto"/>
        </w:rPr>
      </w:pPr>
      <w:r>
        <w:rPr>
          <w:rFonts w:ascii="Arial" w:cs="Arial" w:eastAsia="Arial" w:hAnsi="Arial"/>
          <w:sz w:val="15"/>
          <w:szCs w:val="15"/>
          <w:color w:val="auto"/>
        </w:rPr>
        <w:t>valuation allowances on deferred tax assets;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restructuring charges;</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32" w:name="page33"/>
    <w:bookmarkEnd w:id="32"/>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tabs>
          <w:tab w:leader="none" w:pos="41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asset impairments including the potential impairment of goodwill and other intangible assets;</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decline in the value of our investments;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exposure to claims from our suppliers for payment on inventory that is ordered in anticipation of customer purchases that do not come to fruition;</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decline in the value of certain facilities we lease to less than our residual value guarantee with the lessor;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challenges maintaining reliable and uninterrupted sources of supply.</w:t>
      </w:r>
    </w:p>
    <w:p>
      <w:pPr>
        <w:spacing w:after="0" w:line="180"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We conduct substantially all of our operations outside the United States and face risks associated with conducting business in foreign markets.</w:t>
      </w:r>
    </w:p>
    <w:p>
      <w:pPr>
        <w:spacing w:after="0" w:line="190"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Substantially all of our sales in 2021, 2020 and 2019 were made to customers outside the United States. Our manufacturing center has been located in Shanghai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ind w:left="410" w:hanging="410"/>
        <w:spacing w:after="0"/>
        <w:tabs>
          <w:tab w:leader="none" w:pos="41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imposition of, or adverse changes in, foreign laws or regulatory requirements, such as work stoppages and travel restrictions imposed in connection with the COVID-19 pandemic;</w:t>
      </w:r>
    </w:p>
    <w:p>
      <w:pPr>
        <w:spacing w:after="0" w:line="31" w:lineRule="exact"/>
        <w:rPr>
          <w:rFonts w:ascii="Arial" w:cs="Arial" w:eastAsia="Arial" w:hAnsi="Arial"/>
          <w:sz w:val="13"/>
          <w:szCs w:val="13"/>
          <w:color w:val="auto"/>
        </w:rPr>
      </w:pPr>
    </w:p>
    <w:p>
      <w:pPr>
        <w:ind w:left="410" w:hanging="410"/>
        <w:spacing w:after="0"/>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need to comply with the import laws and regulations of various foreign jurisdictions, including a range of U.S. import laws;</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potentially adverse tax consequences, including withholding tax rules that may limit the repatriation of our earnings, and higher effective income tax rates in foreign countries where we conduct business;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competition from local suppliers with which potential customers may prefer to do business;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seasonal reduction in business activity, such as during the Lunar New Year in parts of Asia and in other periods in various individual countries;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increased exposure to foreign currency exchange rates;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reduced protection for intellectual property;</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longer sales cycles and reliance on indirect sales in certain regions;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increased length of time for shipping and acceptance of our products;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greater difficulty in responding to customer requests for maintenance and spare parts on a timely basis;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greater difficulty in enforcing contracts and accounts receivable collection and longer collection periods;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difficulties in staffing and managing foreign operations and the increased travel, infrastructure and legal and compliance costs associated with multiple international locations;</w:t>
      </w:r>
    </w:p>
    <w:p>
      <w:pPr>
        <w:spacing w:after="0" w:line="20" w:lineRule="exact"/>
        <w:rPr>
          <w:rFonts w:ascii="Arial" w:cs="Arial" w:eastAsia="Arial" w:hAnsi="Arial"/>
          <w:sz w:val="14"/>
          <w:szCs w:val="14"/>
          <w:color w:val="auto"/>
        </w:rPr>
      </w:pPr>
    </w:p>
    <w:p>
      <w:pPr>
        <w:ind w:left="410" w:hanging="410"/>
        <w:spacing w:after="0" w:line="251" w:lineRule="auto"/>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1" w:lineRule="exact"/>
        <w:rPr>
          <w:rFonts w:ascii="Arial" w:cs="Arial" w:eastAsia="Arial" w:hAnsi="Arial"/>
          <w:sz w:val="15"/>
          <w:szCs w:val="15"/>
          <w:color w:val="auto"/>
        </w:rPr>
      </w:pPr>
    </w:p>
    <w:p>
      <w:pPr>
        <w:ind w:left="410" w:hanging="410"/>
        <w:spacing w:after="0" w:line="263" w:lineRule="auto"/>
        <w:tabs>
          <w:tab w:leader="none" w:pos="410" w:val="left"/>
        </w:tabs>
        <w:numPr>
          <w:ilvl w:val="0"/>
          <w:numId w:val="38"/>
        </w:numPr>
        <w:rPr>
          <w:rFonts w:ascii="Arial" w:cs="Arial" w:eastAsia="Arial" w:hAnsi="Arial"/>
          <w:sz w:val="15"/>
          <w:szCs w:val="15"/>
          <w:color w:val="auto"/>
        </w:rPr>
      </w:pPr>
      <w:r>
        <w:rPr>
          <w:rFonts w:ascii="Arial" w:cs="Arial" w:eastAsia="Arial" w:hAnsi="Arial"/>
          <w:sz w:val="15"/>
          <w:szCs w:val="15"/>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3"/>
          <w:szCs w:val="13"/>
          <w:color w:val="auto"/>
        </w:rPr>
        <w:t>In particular, the Asian market is extremely competitive, and chip manufacturers may be aggressive in seeking price concessions from suppliers, including chip equipment manufacturers.</w:t>
      </w:r>
    </w:p>
    <w:p>
      <w:pPr>
        <w:spacing w:after="0" w:line="212"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300"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33" w:name="page34"/>
    <w:bookmarkEnd w:id="3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 in foreign currency exchange rates may adversely affect our results of operations and financial position.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results of operations and financial position could be adversely affected as a result of fluctuations in foreign currency exchange rates. Although our financial statements are denominated in U.S. dollars, a sizable portion of our costs are denominated in other currencies, principally the Chinese Renminbi and, to a lesser extent, the South Korean Won.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Regulatory Risks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government trade policies could limit the demand for our tools and increase the cost of our tools.</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General trade tensions between the United States and the PRC escalated beginning in 2018. In each of July, August and September 2018, June and September 2019, and February 2020, the U.S. government imposed a round of new or higher tariffs on specified imported products originating from the PRC in response to what the U.S. government characterizes as unfair trade practices. The PRC government responded to each of these rounds of U.S. tariff changes by imposing new or higher tariffs on specified products imported from the United States. Higher duties on existing tariffs and further rounds of tariffs have been announced or threatened by U.S. and PRC leaders.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imposition of tariffs by the U.S. and PRC governments and the surrounding economic uncertainty may negatively impact the semiconductor industry, including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or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sell our tools to Chinese customers may be restricted by regulatory actions.</w:t>
      </w:r>
    </w:p>
    <w:p>
      <w:pPr>
        <w:spacing w:after="0" w:line="190" w:lineRule="exact"/>
        <w:rPr>
          <w:sz w:val="20"/>
          <w:szCs w:val="20"/>
          <w:color w:val="auto"/>
        </w:rPr>
      </w:pPr>
    </w:p>
    <w:p>
      <w:pPr>
        <w:jc w:val="both"/>
        <w:spacing w:after="0" w:line="182" w:lineRule="exact"/>
        <w:rPr>
          <w:sz w:val="20"/>
          <w:szCs w:val="20"/>
          <w:color w:val="auto"/>
        </w:rPr>
      </w:pPr>
      <w:r>
        <w:rPr>
          <w:rFonts w:ascii="Arial" w:cs="Arial" w:eastAsia="Arial" w:hAnsi="Arial"/>
          <w:sz w:val="15"/>
          <w:szCs w:val="15"/>
          <w:color w:val="auto"/>
        </w:rPr>
        <w:t>The Bureau of Industry and Security of the U.S. Department of Commerce, or BIS, recently has imposed and may continue to impose additional restrictions, including licensing requirements, under the Export Administration Regulations, or EAR, with respect to certain PRC companies that impact the supply of U.S. products and certain non</w:t>
      </w:r>
      <w:r>
        <w:rPr>
          <w:rFonts w:ascii="MS PGothic" w:cs="MS PGothic" w:eastAsia="MS PGothic" w:hAnsi="MS PGothic"/>
          <w:sz w:val="15"/>
          <w:szCs w:val="15"/>
          <w:color w:val="auto"/>
        </w:rPr>
        <w:t>‑</w:t>
      </w:r>
      <w:r>
        <w:rPr>
          <w:rFonts w:ascii="Arial" w:cs="Arial" w:eastAsia="Arial" w:hAnsi="Arial"/>
          <w:sz w:val="15"/>
          <w:szCs w:val="15"/>
          <w:color w:val="auto"/>
        </w:rPr>
        <w:t>U.S. products incorporating U.S. content, or that are manufactured using certain U.S. technology or software, to such companies and the sourcing of U.S. items by non-U.S. companies for use in manufacturing products for such companies. For example, BIS has recently added a number of PRC entities to the Entity List under the EAR which means that any items subject to the EAR, including certain non-U.S. produced products with U.S. content, require a BIS license for supply to the listed entities. Among other companies, in December 2020, SMIC, one of the largest chip manufacturers in the PRC, was added to the Entity List. Challenges faced by SMIC and its key suppliers as a result of the listing could indirectly impact SMIC’s demand for, or our ability to supply, our products.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4" w:name="page35"/>
    <w:bookmarkEnd w:id="3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cannot be certain what additional actions the U.S. government may take with respect to PRC entities, and whether such actions will impact our relationships with our PRC-based customers, including changes to the Entity List restrictions, other export regulations, tariffs or other trade restrictions, or whether the PRC government may take any actions in response to U.S. government action that may adversely affect our ability to do business with our PRC-based customers. Even in the absence of new restrictions, tariffs or trade actions imposed by the U.S. or PRC government, our PRC-based customers may take actions to reduce dependence on the supply of products subject to potential U.S. trade regulations, including our tools, which could have a material adverse effect on our operating results. We are unable to predict the duration of the restrictions imposed by the U.S. government or of any additional governmental actions that may impact our relationships with our PRC-based customers, any of which could have a long-term adverse effect on our business, operating results and financial condition.</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14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14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63" w:lineRule="exact"/>
        <w:rPr>
          <w:sz w:val="20"/>
          <w:szCs w:val="20"/>
          <w:color w:val="auto"/>
        </w:rPr>
      </w:pPr>
    </w:p>
    <w:p>
      <w:pPr>
        <w:jc w:val="both"/>
        <w:ind w:right="20"/>
        <w:spacing w:after="0" w:line="284" w:lineRule="auto"/>
        <w:rPr>
          <w:sz w:val="20"/>
          <w:szCs w:val="20"/>
          <w:color w:val="auto"/>
        </w:rPr>
      </w:pPr>
      <w:r>
        <w:rPr>
          <w:rFonts w:ascii="Arial" w:cs="Arial" w:eastAsia="Arial" w:hAnsi="Arial"/>
          <w:sz w:val="14"/>
          <w:szCs w:val="14"/>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5" w:name="page36"/>
    <w:bookmarkEnd w:id="3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political and economic policies with respect to the PRC may make it difficult for us to release the benefit of our investments.</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On November 12, 2020, then-President Trump issued an executive order, or the Order, establishing a new sanctions program designed to prohibit U.S. persons from entering into transactions in certain publicly traded securities, as well as derivatives and securities designed to provide investment exposure to such securities, of any “Communist Chinese military company,” or CCMC, as designated by the U.S. Department of Defense, or DOD, or the U.S. Secretary of the Treasury. Continued ownership of such securities by U.S. persons would be prohibited after a one-year divestment period from the time of designation of the issuer. A number of PRC issuers have been designated under this program and more could be added.</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On December 3, 2020, SMIC was designated as a CCMC by the DOD, which was subsequently removed as of June 3, 2021. If SMIC had remained on the list at December 3, 2021, ACM Shanghai’s continued possession of SMIC securities could have subjected ACM Shanghai and ACM Research to penalties. Certain implementation matters related to the scope of, and compliance with, the Order have not yet been resolved, and the ultimate application and enforcement of the Order may change due to, among other things, the change in the U.S. Presidential administration.</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addition, SMIC may be designated as a CCMC in the future, or we may seek to conduct business transactions with entities on the CCMC list in the future. Although the Order does not prohibit commercial relations with CCMC companies other than the securities transactions noted above, certain other export restrictions have been imposed under the Export Administration Regulations on some CCMC companies. These and any similar future U.S. government restrictions on our suppliers or customers may adversely affect our business operations in the PRC, overall company results or our financial condition.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i w:val="1"/>
          <w:iCs w:val="1"/>
          <w:color w:val="auto"/>
        </w:rPr>
        <w:t>The PRC’s currency exchange control and government restrictions on investment repatriation may impact our ability to transfer funds outside of the PRC, which could materially and adversely affect our ability to grow, make investments or acquisitions that could benefit our business, otherwise fund and conduct our business, or pay dividends on our common stock.</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generate substantially all of our revenue through ACM Shanghai, our PRC subsidiary. PRC statutory laws and regulations permit payments of dividends by ACM Shanghai only out of its retained earnings, which are determined in accordance with PRC accounting standards and regulations that differ from U.S. generally accepted accounting principles. The PRC regulations and ACM Shanghai’s articles of association require annual appropriations of 10% of net after-tax profits to be set aside, prior to payment of dividends, as a reserve or surplus fund, which restricts ACM Shanghai’s ability to transfer a portion of its net assets to us. Such reserved funds can only be used for specific purposes and are not transferable to ACM in the form of loans, advances or cash dividends.</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As a result of these and other restrictions under PRC laws and regulations as well as restrictions under ACM Shanghai’s bank loan agreements, we may be significantly restricted in our ability to transfer a portion of ACM Shanghai’s net assets to ACM or other subsidiaries of ACM. We have no assurance that PRC governmental authorities in the future will not limit further or eliminate the ability of ACM Shanghai to purchase foreign currencies and transfer such funds to ACM to meet its liquidity or other business needs. Any inability to access funds in the PRC, if and when needed for use outside of the PRC, could have a material and adverse effect on our liquidity and our business.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i w:val="1"/>
          <w:iCs w:val="1"/>
          <w:color w:val="auto"/>
        </w:rPr>
        <w:t>Certain of our investments may be subject to review by and approval from CFIUS, which may prevent us from taking advantage of investment opportunities that would otherwise be advantageous to our stockholders.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Certain of our investments may be subject to review by and approval from the U.S. Committee on Foreign Investment in the U.S., or CFIUS. In the event that CFIUS reviews one or more of the our investments, there can be no assurances that we will be able to maintain or proceed with such investments on terms acceptable to us. Additionally, CFIUS may seek to impose limitations on one or more such investments that may prevent us from maintaining or pursuing investment opportunities that we otherwise would have maintained or pursued, which could adversely affect the performance of our investments and thus our overall performance. Certain of our stockholders may be non-U.S. investors, and in the aggregate, may comprise a substantial portion of our net asset value, which may increase the risks of such limitations being imposed in connection with investments pursued or made by us. Legislative and regulatory changes, including changes to agency practice, in the future may negatively impact our ability to realize value from certain existing and future investments, including by limiting exit opportunities or causing us to favor buyers that we believe are less likely to require CFIUS review, even in circumstances where other buyers may offer better terms or more consideration.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6" w:name="page37"/>
    <w:bookmarkEnd w:id="3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146"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BDO China Shu Lun Pan Certified Public Accountants LLP, or BDO China, is the independent registered public accounting firm that issued the audit report included in this report in connection with our consolidated financial statements as of, and for the years ended, December 31, 2021, 2020 and 2019. BDO China, as an auditor of companies that are traded publicly in the United States and a firm registered with the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of auditors in the PRC without the approval of PRC authorities, and therefore BDO China, like other independent registered public accounting firms operating in the PRC, is currently not inspected by the PCAOB.</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May 2013 the PCAOB announced that it had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7" w:name="page38"/>
    <w:bookmarkEnd w:id="37"/>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158"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b w:val="1"/>
          <w:bCs w:val="1"/>
          <w:i w:val="1"/>
          <w:iCs w:val="1"/>
          <w:color w:val="auto"/>
        </w:rPr>
        <w:t>We could be adversely affected if proposed legislation is adopted regarding improved access to audit and other information and audit inspections of accounting firms, including registered public accounting firms operating in the PRC such as our auditor, or if Nasdaq’s proposals requiring additional criteria to companies operating in “restrictive markets” become effective.</w:t>
      </w:r>
    </w:p>
    <w:p>
      <w:pPr>
        <w:spacing w:after="0" w:line="155" w:lineRule="exact"/>
        <w:rPr>
          <w:sz w:val="20"/>
          <w:szCs w:val="20"/>
          <w:color w:val="auto"/>
        </w:rPr>
      </w:pPr>
    </w:p>
    <w:p>
      <w:pPr>
        <w:jc w:val="both"/>
        <w:ind w:left="10"/>
        <w:spacing w:after="0" w:line="313" w:lineRule="auto"/>
        <w:rPr>
          <w:sz w:val="20"/>
          <w:szCs w:val="20"/>
          <w:color w:val="auto"/>
        </w:rPr>
      </w:pPr>
      <w:r>
        <w:rPr>
          <w:rFonts w:ascii="Arial" w:cs="Arial" w:eastAsia="Arial" w:hAnsi="Arial"/>
          <w:sz w:val="14"/>
          <w:szCs w:val="14"/>
          <w:color w:val="auto"/>
        </w:rPr>
        <w:t>BDO China, our independent registered public accounting firm, is not inspected by the PCAOB, as described in the preceding risk factor. We are one of 283 companies named in PCAOB’s list of “Public Companies that are Audit Clients of PCAOB-Registered Firms from Non-U.S. Jurisdictions where the PCAOB is Denied Access to Conduct Inspections.”</w:t>
      </w:r>
    </w:p>
    <w:p>
      <w:pPr>
        <w:spacing w:after="0" w:line="123" w:lineRule="exact"/>
        <w:rPr>
          <w:sz w:val="20"/>
          <w:szCs w:val="20"/>
          <w:color w:val="auto"/>
        </w:rPr>
      </w:pPr>
    </w:p>
    <w:p>
      <w:pPr>
        <w:jc w:val="both"/>
        <w:ind w:left="10"/>
        <w:spacing w:after="0" w:line="255" w:lineRule="auto"/>
        <w:rPr>
          <w:sz w:val="20"/>
          <w:szCs w:val="20"/>
          <w:color w:val="auto"/>
        </w:rPr>
      </w:pPr>
      <w:r>
        <w:rPr>
          <w:rFonts w:ascii="Arial" w:cs="Arial" w:eastAsia="Arial" w:hAnsi="Arial"/>
          <w:sz w:val="15"/>
          <w:szCs w:val="15"/>
          <w:color w:val="auto"/>
        </w:rPr>
        <w:t>On March 24, 2021, the SEC adopted interim final amendments to implement congressionally mandated submission and disclosure required of the Holding Foreign Companies Accountable Act, and on December 2, 2021, the SEC adopted final amendments to finalize rules implementing the submission and disclosures in the Holding Foreign Companies Accountable Act. These final amendments apply to registrants that the SEC identifies as having filed an annual report on Form 10-K and other forms with an audit report issued by a registered public accounting firm that is located in a foreign jurisdiction and that the PCAOB has determined it is unable to inspect or investigate completely because of a position taken by an authority in that jurisdiction.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 These actions are the latest in a series of recent proposed actions:</w:t>
      </w:r>
    </w:p>
    <w:p>
      <w:pPr>
        <w:spacing w:after="0" w:line="165" w:lineRule="exact"/>
        <w:rPr>
          <w:sz w:val="20"/>
          <w:szCs w:val="20"/>
          <w:color w:val="auto"/>
        </w:rPr>
      </w:pPr>
    </w:p>
    <w:p>
      <w:pPr>
        <w:ind w:left="410" w:hanging="410"/>
        <w:spacing w:after="0" w:line="276" w:lineRule="auto"/>
        <w:tabs>
          <w:tab w:leader="none" w:pos="41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December 2018 the SEC and the PCAOB issued a joint statement highlighting continued challenges faced by U.S. regulators in their oversight of financial statement audits of U.S.-listed reporting companies with significant operations in the PRC.</w:t>
      </w:r>
    </w:p>
    <w:p>
      <w:pPr>
        <w:spacing w:after="0" w:line="146" w:lineRule="exact"/>
        <w:rPr>
          <w:rFonts w:ascii="Arial" w:cs="Arial" w:eastAsia="Arial" w:hAnsi="Arial"/>
          <w:sz w:val="15"/>
          <w:szCs w:val="15"/>
          <w:color w:val="auto"/>
        </w:rPr>
      </w:pPr>
    </w:p>
    <w:p>
      <w:pPr>
        <w:jc w:val="both"/>
        <w:ind w:left="410" w:hanging="410"/>
        <w:spacing w:after="0" w:line="258" w:lineRule="auto"/>
        <w:tabs>
          <w:tab w:leader="none" w:pos="41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June 2019 a bipartisan group of lawmakers introduced bills in both houses of the U.S. Congress that, if passed, would have required the SEC to maintain a list of foreign reporting companies for which the PCAOB is not able to inspect or investigate an auditor report issued by a foreign public accounting firm. The proposed Ensuring Quality Information and Transparency for Abroad-Based Listings on our Exchanges Act, also referred to as the EQUITABLE Act, would have prescribed increased disclosure requirements for these reporting companies and, beginning in 2025, provided for the delisting from U.S. stock exchanges of reporting companies included on the SEC’s list for three consecutive years.</w:t>
      </w:r>
    </w:p>
    <w:p>
      <w:pPr>
        <w:spacing w:after="0" w:line="158" w:lineRule="exact"/>
        <w:rPr>
          <w:rFonts w:ascii="Arial" w:cs="Arial" w:eastAsia="Arial" w:hAnsi="Arial"/>
          <w:sz w:val="15"/>
          <w:szCs w:val="15"/>
          <w:color w:val="auto"/>
        </w:rPr>
      </w:pPr>
    </w:p>
    <w:p>
      <w:pPr>
        <w:jc w:val="both"/>
        <w:ind w:left="410" w:hanging="410"/>
        <w:spacing w:after="0" w:line="255" w:lineRule="auto"/>
        <w:tabs>
          <w:tab w:leader="none" w:pos="41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May 2020 Nasdaq requested approval by the SEC of proposals that would impact companies with businesses principally administered in jurisdictions defined as “restrictive markets,” which likely would encompass the PRC. These proposals contemplate, among other things, the application of more stringent listing criteria if a listed company’s auditor does not demonstrate a PCAOB inspection record (as is the case with our auditor), employee expertise and training, or geographic or other resources sufficient to perform the company’s audit satisfactorily. Examples of more stringent criteria that Nasdaq could apply include requiring: (a) higher levels of equity, assets, earnings or liquidity than are otherwise needed; (b) that any public offering to be underwritten on a firm commitment basis (involving more due diligence by the underwriter); and (c) the imposition of lock-up restrictions on directors and officers to allow market mechanisms to determine an appropriate price for shares before the insiders could sell. Alternatively, Nasdaq could deny continued listing to a company.</w:t>
      </w:r>
    </w:p>
    <w:p>
      <w:pPr>
        <w:spacing w:after="0" w:line="318"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38" w:name="page39"/>
    <w:bookmarkEnd w:id="38"/>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right="20" w:hanging="410"/>
        <w:spacing w:after="0" w:line="276" w:lineRule="auto"/>
        <w:tabs>
          <w:tab w:leader="none" w:pos="41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 April 2020 the SEC and the PCAOB issued a joint statement highlighting the significant disclosure, financial reporting and other risks associated with emerging market investments, including the PCAOB’s continued inability to inspect audit work papers of auditors in the PRC.</w:t>
      </w:r>
    </w:p>
    <w:p>
      <w:pPr>
        <w:spacing w:after="0" w:line="146" w:lineRule="exact"/>
        <w:rPr>
          <w:rFonts w:ascii="Arial" w:cs="Arial" w:eastAsia="Arial" w:hAnsi="Arial"/>
          <w:sz w:val="15"/>
          <w:szCs w:val="15"/>
          <w:color w:val="auto"/>
        </w:rPr>
      </w:pPr>
    </w:p>
    <w:p>
      <w:pPr>
        <w:ind w:left="410" w:right="20" w:hanging="410"/>
        <w:spacing w:after="0" w:line="273" w:lineRule="auto"/>
        <w:tabs>
          <w:tab w:leader="none" w:pos="41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Holding Foreign Companies Accountable Act, which became law in December 2020, includes requirements for the SEC to identify issuers whose audit work is performed by auditors that the PCAOB is unable to inspect or investigate completely because of a restriction imposed by a non-U.S. authority in the auditor’s local jurisdiction. The Holding Foreign Companies Accountable Act also requires that, to the extent that the PCAOB has been unable to inspect an issuer’s auditor for three consecutive years since 2021, the SEC shall prohibit its securities registered in the United States from being traded on any national securities exchange or over-the-counter market in the United States. Furthermore, on June 22, 2021, the U.S. Senate passed the Accelerating Holding Foreign Companies Accountable Act, which, if enacted, would amend the Holding Foreign Companies Accountable Act to require the SEC to prohibit an issuer’s securities from trading on any national securities exchange or over-the-counter market in the United States if the PCAOB has been unable to inspect an issuer’s auditor for two consecutive years instead of three. On September 22, 2021, the PCAOB adopted a final rule implementing the Holding Foreign Companies Accountable Act, which provides a framework for the PCAOB to use when determining, as contemplated under the Holding Foreign Companies Accountable Act, whether the PCAOB is unable to inspect or investigate completely registered public accounting firms located in a foreign jurisdiction because of a position taken by one or more authorities in that jurisdiction. On December 16, 2021, the PCAOB designated China and Hong Kong as jurisdictions where the PCAOB is not allowed to conduct full and complete audit inspections and has identified firms registered in such jurisdictions, including BDO China Shu Lun Pan Certified Public Accountants LLP, our independent registered public accounting firm. Pursuant to each annual determination by the PCAOB, the SEC will, on an annual basis, identify issuers that have used non-inspected audit firms.</w:t>
      </w:r>
    </w:p>
    <w:p>
      <w:pPr>
        <w:spacing w:after="0" w:line="153"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It remains unclear what further actions the SEC, the PCAOB or Nasdaq may take to address these issues and what impact those actions will have on U.S. companies that have significant operations in the PRC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Risks Related to Our STAR Market Listing</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3"/>
          <w:szCs w:val="13"/>
          <w:b w:val="1"/>
          <w:bCs w:val="1"/>
          <w:i w:val="1"/>
          <w:iCs w:val="1"/>
          <w:color w:val="auto"/>
        </w:rPr>
        <w:t>We may not achieve the results contemplated by our business strategy and our strategy for growth in the PRC may not result in increases in the price of Class A common stock.</w:t>
      </w:r>
    </w:p>
    <w:p>
      <w:pPr>
        <w:spacing w:after="0" w:line="212" w:lineRule="exact"/>
        <w:rPr>
          <w:sz w:val="20"/>
          <w:szCs w:val="20"/>
          <w:color w:val="auto"/>
        </w:rPr>
      </w:pPr>
    </w:p>
    <w:p>
      <w:pPr>
        <w:jc w:val="both"/>
        <w:ind w:left="10"/>
        <w:spacing w:after="0" w:line="280" w:lineRule="auto"/>
        <w:rPr>
          <w:sz w:val="20"/>
          <w:szCs w:val="20"/>
          <w:color w:val="auto"/>
        </w:rPr>
      </w:pPr>
      <w:r>
        <w:rPr>
          <w:rFonts w:ascii="Arial" w:cs="Arial" w:eastAsia="Arial" w:hAnsi="Arial"/>
          <w:sz w:val="14"/>
          <w:szCs w:val="14"/>
          <w:color w:val="auto"/>
        </w:rPr>
        <w:t>We cannot assure you that we will realize any or all of our anticipated benefits of the STAR Listing and the STAR IPO, which may not have the anticipated effects of including the strengthening of our market position and operations in the PRC. ACM Shanghai continues to have broad discretion in the use of the proceeds from the initial sales of shares to investors and the proceeds from the STAR IPO, and it may not spend or invest those proceeds in a manner that results in our operating success or with which ACM Research stockholders agree. Our failure to successfully leverage the completion of the STAR Listing and the STAR IPO to expand our PRC business could result in a decrease in the price of the Class A common stock, and we cannot assure you that the success of ACM Shanghai will have a an attendant positive effect on the price of the Class A common stock.</w:t>
      </w:r>
    </w:p>
    <w:p>
      <w:pPr>
        <w:spacing w:after="0" w:line="147"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PRC companies are critical to the global semiconductor industry, and our current business is substantially concentrated in the PRC market. Our inability to build, or any delay in growing, our PRC-based operations would materially and adversely limit our operations and operating results, including our revenue growth.</w:t>
      </w:r>
    </w:p>
    <w:p>
      <w:pPr>
        <w:spacing w:after="0" w:line="300"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39" w:name="page40"/>
    <w:bookmarkEnd w:id="3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ACM Shanghai’s status as a publicly traded company that is controlled, but less than wholly owned, by ACM Research could have an adverse effect on us.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In November 2021, we completed the STAR Listing and STAR IPO with respect to shares of ACM Shanghai. ACM Shanghai is our principal operating company and, prior to the STAR Listing process, was a wholly owned subsidiary of ACM Research. As the result of actions taken in connection with the STAR Listing and the STAR IPO, ACM Shanghai is no longer a wholly owned subsidiary of ACM Research, and the interests of ACM Shanghai may diverge from the interests of ACM Research and its other subsidiaries in the future. We may face conflicts of interest in managing, financing or engaging in transactions with ACM Shanghai, or allocating business opportunities between our subsidiaries, including future arrangements for operating subsidiaries other than ACM Shanghai to license and use our intellectual property. Substantially all of our intellectual property has been developed in the PRC and is owned by ACM Shanghai. As we expand our global operations through operating subsidiaries outside of the PRC, those operating subsidiaries may need to license intellectual property from ACM Shanghai in order to operate, and there can be no assurance that conflicts of interest will not preclude those operating subsidiaries from licensing the required intellectual property from ACM Shanghai on reasonable terms or at all.</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ACM Research retains majority ownership of ACM Shanghai since the STAR IPO, but ACM Shanghai is managed by a separate board of directors and officers and those directors and officers will owe fiduciary duties to the various stakeholders of ACM Shanghai, including shareholders other than ACM Research. In the operation of ACM Shanghai’s business, there may be situations that arise whereby the directors and officers of ACM Shanghai, in the exercise of their fiduciary duties, take actions that may be contrary to the best interests of ACM Research.</w:t>
      </w:r>
    </w:p>
    <w:p>
      <w:pPr>
        <w:spacing w:after="0" w:line="158"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In the future, ACM Shanghai may issue options, restricted shares and other forms of share-based compensation to its directors, officers and employees, which could dilute ACM Research’s ownership in ACM Shanghai. In addition, ACM Shanghai may engage in capital raising activities in the future that could further dilute ACM Research’s ownership interest.</w:t>
      </w:r>
    </w:p>
    <w:p>
      <w:pPr>
        <w:spacing w:after="0" w:line="123" w:lineRule="exact"/>
        <w:rPr>
          <w:sz w:val="20"/>
          <w:szCs w:val="20"/>
          <w:color w:val="auto"/>
        </w:rPr>
      </w:pPr>
    </w:p>
    <w:p>
      <w:pPr>
        <w:jc w:val="both"/>
        <w:spacing w:after="0" w:line="356" w:lineRule="auto"/>
        <w:rPr>
          <w:sz w:val="20"/>
          <w:szCs w:val="20"/>
          <w:color w:val="auto"/>
        </w:rPr>
      </w:pPr>
      <w:r>
        <w:rPr>
          <w:rFonts w:ascii="Arial" w:cs="Arial" w:eastAsia="Arial" w:hAnsi="Arial"/>
          <w:sz w:val="13"/>
          <w:szCs w:val="13"/>
          <w:b w:val="1"/>
          <w:bCs w:val="1"/>
          <w:i w:val="1"/>
          <w:iCs w:val="1"/>
          <w:color w:val="auto"/>
        </w:rPr>
        <w:t>ACM Research and ACM Shanghai both are public reporting companies but each is subject to separate, and potentially inconsistent, accounting and disclosure requirements, which may lead to investor confusion or uncertainty that could cause decreased demand for, or fluctuations in the price of, one or both of the companies’ publicly traded shares.</w:t>
      </w:r>
    </w:p>
    <w:p>
      <w:pPr>
        <w:spacing w:after="0" w:line="99"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Since ACM Shanghai completed the STAR Listing and the STAR IPO in November 2021, it has been subject to accounting, disclosure and other regulatory requirements of the STAR Market. At the same time, ACM Research remains subject to accounting, disclosure and other regulatory requirements of the SEC and the Nasdaq Global Market, or Nasdaq. As a result, ACM Research and ACM Shanghai periodically will disclose information simultaneously pursuant to differing laws and regulations. Even though substantially all of the operations of ACM Research are currently conducted through ACM Shanghai, the information disclosed by the two companies will differ, and may differ materially from time to time, due to the distinct, and potentially inconsistent, accounting standards applicable to the two companies and disclosure requirements imposed by securities regulatory authorities, as well as differences in language, culture and expression habit, in composition of investors in the United States and PRC, and in the capital markets of the United States and the PRC.</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Differing disclosures could lead to confusion or uncertainty among investors in the publicly traded shares of one or both companies. Differences between the price of ACM Shanghai shares on the STAR Market and the price of ACM Research Class A common stock on Nasdaq could lead to increased volatility, as some investors seek to arbitrage price differences. Moreover, such volatility could be exacerbated by the fact that ACM Shanghai shares currently represent substantially all of the assets of ACM Research.</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0" w:name="page41"/>
    <w:bookmarkEnd w:id="40"/>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Risks Related to Our Intellectual Property and Data Security</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Our success depends on our ability to protect our intellectual property, including our SAPS, TEBO, Tahoe, ECP, furnace and other technologies.</w:t>
      </w:r>
    </w:p>
    <w:p>
      <w:pPr>
        <w:spacing w:after="0" w:line="190" w:lineRule="exact"/>
        <w:rPr>
          <w:sz w:val="20"/>
          <w:szCs w:val="20"/>
          <w:color w:val="auto"/>
        </w:rPr>
      </w:pPr>
    </w:p>
    <w:p>
      <w:pPr>
        <w:jc w:val="both"/>
        <w:ind w:left="10"/>
        <w:spacing w:after="0" w:line="277" w:lineRule="auto"/>
        <w:rPr>
          <w:sz w:val="20"/>
          <w:szCs w:val="20"/>
          <w:color w:val="auto"/>
        </w:rPr>
      </w:pPr>
      <w:r>
        <w:rPr>
          <w:rFonts w:ascii="Arial" w:cs="Arial" w:eastAsia="Arial" w:hAnsi="Arial"/>
          <w:sz w:val="14"/>
          <w:szCs w:val="14"/>
          <w:color w:val="auto"/>
        </w:rPr>
        <w:t>Our commercial success depends in part on our ability to obtain and maintain patent and trade secret protection for our intellectual property, including our SAPS, TEBO, Tahoe, ECP, furnace and other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47"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1" w:lineRule="exact"/>
        <w:rPr>
          <w:sz w:val="20"/>
          <w:szCs w:val="20"/>
          <w:color w:val="auto"/>
        </w:rPr>
      </w:pPr>
    </w:p>
    <w:p>
      <w:pPr>
        <w:jc w:val="both"/>
        <w:ind w:left="410" w:hanging="410"/>
        <w:spacing w:after="0" w:line="269" w:lineRule="auto"/>
        <w:tabs>
          <w:tab w:leader="none" w:pos="41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 w:lineRule="exact"/>
        <w:rPr>
          <w:rFonts w:ascii="Arial" w:cs="Arial" w:eastAsia="Arial" w:hAnsi="Arial"/>
          <w:sz w:val="14"/>
          <w:szCs w:val="14"/>
          <w:color w:val="auto"/>
        </w:rPr>
      </w:pPr>
    </w:p>
    <w:p>
      <w:pPr>
        <w:ind w:left="410" w:hanging="410"/>
        <w:spacing w:after="0"/>
        <w:tabs>
          <w:tab w:leader="none" w:pos="41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Patent applications may not result in any patents being issued.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Patents that may be issued may be challenged, invalidated, modified, revoked, circumvented, found to be unenforceable or otherwise may not provide any competitive advantage.</w:t>
      </w:r>
    </w:p>
    <w:p>
      <w:pPr>
        <w:spacing w:after="0" w:line="31" w:lineRule="exact"/>
        <w:rPr>
          <w:rFonts w:ascii="Arial" w:cs="Arial" w:eastAsia="Arial" w:hAnsi="Arial"/>
          <w:sz w:val="13"/>
          <w:szCs w:val="13"/>
          <w:color w:val="auto"/>
        </w:rPr>
      </w:pPr>
    </w:p>
    <w:p>
      <w:pPr>
        <w:ind w:left="410" w:hanging="410"/>
        <w:spacing w:after="0"/>
        <w:tabs>
          <w:tab w:leader="none" w:pos="41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competitors may seek or may have already obtained patents that will limit, interfere with, or eliminate our ability to make, use and sell our potential product candidates.</w:t>
      </w:r>
    </w:p>
    <w:p>
      <w:pPr>
        <w:spacing w:after="0" w:line="20" w:lineRule="exact"/>
        <w:rPr>
          <w:rFonts w:ascii="Arial" w:cs="Arial" w:eastAsia="Arial" w:hAnsi="Arial"/>
          <w:sz w:val="14"/>
          <w:szCs w:val="14"/>
          <w:color w:val="auto"/>
        </w:rPr>
      </w:pPr>
    </w:p>
    <w:p>
      <w:pPr>
        <w:ind w:left="410" w:hanging="410"/>
        <w:spacing w:after="0" w:line="263" w:lineRule="auto"/>
        <w:tabs>
          <w:tab w:leader="none" w:pos="41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56"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which could be expensive, time consuming and unsuccessful.</w:t>
      </w:r>
    </w:p>
    <w:p>
      <w:pPr>
        <w:spacing w:after="0" w:line="190" w:lineRule="exact"/>
        <w:rPr>
          <w:sz w:val="20"/>
          <w:szCs w:val="20"/>
          <w:color w:val="auto"/>
        </w:rPr>
      </w:pPr>
    </w:p>
    <w:p>
      <w:pPr>
        <w:jc w:val="both"/>
        <w:ind w:left="10"/>
        <w:spacing w:after="0" w:line="277" w:lineRule="auto"/>
        <w:rPr>
          <w:sz w:val="20"/>
          <w:szCs w:val="20"/>
          <w:color w:val="auto"/>
        </w:rPr>
      </w:pPr>
      <w:r>
        <w:rPr>
          <w:rFonts w:ascii="Arial" w:cs="Arial" w:eastAsia="Arial" w:hAnsi="Arial"/>
          <w:sz w:val="14"/>
          <w:szCs w:val="14"/>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30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41" w:name="page42"/>
    <w:bookmarkEnd w:id="41"/>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rights throughout the world, including the PRC, which could materially, negatively affect our business.</w:t>
      </w:r>
    </w:p>
    <w:p>
      <w:pPr>
        <w:spacing w:after="0" w:line="190"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3"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The significant majority of our intellectual property has been developed in the PRC and is owned by ACM Shanghai. Implementation and enforcement of intellectual property-related laws in the PRC has historically been lacking due primarily to ambiguities in PRC intellectual property law. Accordingly, protection of intellectual property and proprietary rights in the PRC may not be as effective as in the United States or other countries. As a result, third parties could illegally use the technologies and proprietary processes that we have developed and compete with us, which could negatively affect any competitive advantage we enjoy, dilute our brand and harm our operating results. Litigation may be necessary to enforce our intellectual property rights, and given the relative unpredictability of the PRC’s legal system and potential difficulties enforcing a court judgment in the PRC, there is no guarantee litigation would result in an outcome favorable to us.</w:t>
      </w:r>
    </w:p>
    <w:p>
      <w:pPr>
        <w:spacing w:after="0" w:line="163" w:lineRule="exact"/>
        <w:rPr>
          <w:sz w:val="20"/>
          <w:szCs w:val="20"/>
          <w:color w:val="auto"/>
        </w:rPr>
      </w:pPr>
    </w:p>
    <w:p>
      <w:pPr>
        <w:jc w:val="both"/>
        <w:ind w:left="10"/>
        <w:spacing w:after="0" w:line="277"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147"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146" w:lineRule="exact"/>
        <w:rPr>
          <w:sz w:val="20"/>
          <w:szCs w:val="20"/>
          <w:color w:val="auto"/>
        </w:rPr>
      </w:pPr>
    </w:p>
    <w:p>
      <w:pPr>
        <w:jc w:val="both"/>
        <w:ind w:left="10"/>
        <w:spacing w:after="0" w:line="280" w:lineRule="auto"/>
        <w:rPr>
          <w:sz w:val="20"/>
          <w:szCs w:val="20"/>
          <w:color w:val="auto"/>
        </w:rPr>
      </w:pPr>
      <w:r>
        <w:rPr>
          <w:rFonts w:ascii="Arial" w:cs="Arial" w:eastAsia="Arial" w:hAnsi="Arial"/>
          <w:sz w:val="14"/>
          <w:szCs w:val="14"/>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spacing w:after="0" w:line="147" w:lineRule="exact"/>
        <w:rPr>
          <w:sz w:val="20"/>
          <w:szCs w:val="20"/>
          <w:color w:val="auto"/>
        </w:rPr>
      </w:pPr>
    </w:p>
    <w:p>
      <w:pPr>
        <w:ind w:left="10"/>
        <w:spacing w:after="0"/>
        <w:rPr>
          <w:sz w:val="20"/>
          <w:szCs w:val="20"/>
          <w:color w:val="auto"/>
        </w:rPr>
      </w:pPr>
      <w:r>
        <w:rPr>
          <w:rFonts w:ascii="Arial" w:cs="Arial" w:eastAsia="Arial" w:hAnsi="Arial"/>
          <w:sz w:val="15"/>
          <w:szCs w:val="15"/>
          <w:color w:val="auto"/>
        </w:rPr>
        <w:t>Any potential intellectual property claims or litigation commenced against us could:</w:t>
      </w:r>
    </w:p>
    <w:p>
      <w:pPr>
        <w:spacing w:after="0" w:line="18" w:lineRule="exact"/>
        <w:rPr>
          <w:sz w:val="20"/>
          <w:szCs w:val="20"/>
          <w:color w:val="auto"/>
        </w:rPr>
      </w:pPr>
    </w:p>
    <w:p>
      <w:pPr>
        <w:ind w:left="410" w:hanging="410"/>
        <w:spacing w:after="0"/>
        <w:tabs>
          <w:tab w:leader="none" w:pos="41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be time consuming and expensive to defend, whether or not meritorious;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2"/>
        </w:numPr>
        <w:rPr>
          <w:rFonts w:ascii="Arial" w:cs="Arial" w:eastAsia="Arial" w:hAnsi="Arial"/>
          <w:sz w:val="15"/>
          <w:szCs w:val="15"/>
          <w:color w:val="auto"/>
        </w:rPr>
      </w:pPr>
      <w:r>
        <w:rPr>
          <w:rFonts w:ascii="Arial" w:cs="Arial" w:eastAsia="Arial" w:hAnsi="Arial"/>
          <w:sz w:val="15"/>
          <w:szCs w:val="15"/>
          <w:color w:val="auto"/>
        </w:rPr>
        <w:t>force us to stop selling products or using technology that allegedly infringes the third party’s intellectual property rights;</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42" w:name="page43"/>
    <w:bookmarkEnd w:id="42"/>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tabs>
          <w:tab w:leader="none" w:pos="41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delay shipments of our products;</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require us to pay damages or settlement fees to the party claiming infringement;</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require us to attempt to obtain a license to the relevant intellectual property, which may not be available on reasonable terms or at all;</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force us to attempt to redesign products that contain the allegedly infringing technology, which could be expensive or which we may be unable to do;</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require us to indemnify our customers, suppliers or other third parties for any loss caused by their use of our technology that allegedly infringes the third party’s intellectual property rights; or</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divert the attention of our technical and managerial resources.</w:t>
      </w:r>
    </w:p>
    <w:p>
      <w:pPr>
        <w:spacing w:after="0" w:line="18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146" w:lineRule="exact"/>
        <w:rPr>
          <w:sz w:val="20"/>
          <w:szCs w:val="20"/>
          <w:color w:val="auto"/>
        </w:rPr>
      </w:pPr>
    </w:p>
    <w:p>
      <w:pPr>
        <w:jc w:val="both"/>
        <w:ind w:left="10"/>
        <w:spacing w:after="0" w:line="313" w:lineRule="auto"/>
        <w:rPr>
          <w:sz w:val="20"/>
          <w:szCs w:val="20"/>
          <w:color w:val="auto"/>
        </w:rPr>
      </w:pPr>
      <w:r>
        <w:rPr>
          <w:rFonts w:ascii="Arial" w:cs="Arial" w:eastAsia="Arial" w:hAnsi="Arial"/>
          <w:sz w:val="14"/>
          <w:szCs w:val="14"/>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123" w:lineRule="exact"/>
        <w:rPr>
          <w:sz w:val="20"/>
          <w:szCs w:val="20"/>
          <w:color w:val="auto"/>
        </w:rPr>
      </w:pPr>
    </w:p>
    <w:p>
      <w:pPr>
        <w:jc w:val="both"/>
        <w:ind w:left="10"/>
        <w:spacing w:after="0" w:line="182" w:lineRule="exact"/>
        <w:rPr>
          <w:sz w:val="20"/>
          <w:szCs w:val="20"/>
          <w:color w:val="auto"/>
        </w:rPr>
      </w:pPr>
      <w:r>
        <w:rPr>
          <w:rFonts w:ascii="Arial" w:cs="Arial" w:eastAsia="Arial" w:hAnsi="Arial"/>
          <w:sz w:val="14"/>
          <w:szCs w:val="14"/>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Additionally, we face potential heightened cybersecurity risks during the COVID-19 pandemic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4"/>
          <w:szCs w:val="14"/>
          <w:color w:val="auto"/>
        </w:rPr>
        <w:t>‑</w:t>
      </w:r>
      <w:r>
        <w:rPr>
          <w:rFonts w:ascii="Arial" w:cs="Arial" w:eastAsia="Arial" w:hAnsi="Arial"/>
          <w:sz w:val="14"/>
          <w:szCs w:val="14"/>
          <w:color w:val="auto"/>
        </w:rPr>
        <w:t>19 pandemic increases. These heightened cybersecurity risks may increase our vulnerability to cyber-attacks and cause disruptions to our internal control procedures.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175" w:lineRule="exact"/>
        <w:rPr>
          <w:sz w:val="20"/>
          <w:szCs w:val="20"/>
          <w:color w:val="auto"/>
        </w:rPr>
      </w:pPr>
    </w:p>
    <w:p>
      <w:pPr>
        <w:ind w:left="10"/>
        <w:spacing w:after="0" w:line="173" w:lineRule="exact"/>
        <w:rPr>
          <w:sz w:val="20"/>
          <w:szCs w:val="20"/>
          <w:color w:val="auto"/>
        </w:rPr>
      </w:pPr>
      <w:r>
        <w:rPr>
          <w:rFonts w:ascii="Arial" w:cs="Arial" w:eastAsia="Arial" w:hAnsi="Arial"/>
          <w:sz w:val="15"/>
          <w:szCs w:val="15"/>
          <w:b w:val="1"/>
          <w:bCs w:val="1"/>
          <w:color w:val="auto"/>
        </w:rPr>
        <w:t>Risks Related to the COVID</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19 Pandemic</w:t>
      </w:r>
    </w:p>
    <w:p>
      <w:pPr>
        <w:spacing w:after="0" w:line="194" w:lineRule="exact"/>
        <w:rPr>
          <w:sz w:val="20"/>
          <w:szCs w:val="20"/>
          <w:color w:val="auto"/>
        </w:rPr>
      </w:pPr>
    </w:p>
    <w:p>
      <w:pPr>
        <w:jc w:val="both"/>
        <w:ind w:left="10"/>
        <w:spacing w:after="0" w:line="186" w:lineRule="exact"/>
        <w:rPr>
          <w:sz w:val="20"/>
          <w:szCs w:val="20"/>
          <w:color w:val="auto"/>
        </w:rPr>
      </w:pPr>
      <w:r>
        <w:rPr>
          <w:rFonts w:ascii="Arial" w:cs="Arial" w:eastAsia="Arial" w:hAnsi="Arial"/>
          <w:sz w:val="15"/>
          <w:szCs w:val="15"/>
          <w:i w:val="1"/>
          <w:iCs w:val="1"/>
          <w:color w:val="auto"/>
        </w:rPr>
        <w:t>The outbreak of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the coronavirus, continues both in the United States and globally, and related government and private sector responsive actions are adversely affecting our business operations.</w:t>
      </w:r>
    </w:p>
    <w:p>
      <w:pPr>
        <w:spacing w:after="0" w:line="172" w:lineRule="exact"/>
        <w:rPr>
          <w:sz w:val="20"/>
          <w:szCs w:val="20"/>
          <w:color w:val="auto"/>
        </w:rPr>
      </w:pPr>
    </w:p>
    <w:p>
      <w:pPr>
        <w:jc w:val="both"/>
        <w:ind w:left="10"/>
        <w:spacing w:after="0" w:line="183" w:lineRule="exact"/>
        <w:rPr>
          <w:sz w:val="20"/>
          <w:szCs w:val="20"/>
          <w:color w:val="auto"/>
        </w:rPr>
      </w:pPr>
      <w:r>
        <w:rPr>
          <w:rFonts w:ascii="Arial" w:cs="Arial" w:eastAsia="Arial" w:hAnsi="Arial"/>
          <w:sz w:val="15"/>
          <w:szCs w:val="15"/>
          <w:i w:val="1"/>
          <w:iCs w:val="1"/>
          <w:color w:val="auto"/>
        </w:rPr>
        <w:t>We have set forth below key risks from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pandemic that we have identified or experienced to date. The situation continues to evolve, however, and it is impossible to predict the effect and ongoing impact of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pandemic on our business operations and results. While the quarantine, social distancing and other regulatory measures instituted or recommended in response to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were expected to be temporary, such measures have remained in effect, and have changed, over the last year, and the duration of the business disruptions, and related financial impact, cannot be estimated at this time. The COVID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19 pandemic could ultimately reduce demand for our products and our customers’ chips and have a material adverse impact on our business, operating results and financial condition.</w:t>
      </w:r>
    </w:p>
    <w:p>
      <w:pPr>
        <w:spacing w:after="0" w:line="327"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43" w:name="page44"/>
    <w:bookmarkEnd w:id="4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right="20"/>
        <w:spacing w:after="0" w:line="186" w:lineRule="exact"/>
        <w:rPr>
          <w:sz w:val="20"/>
          <w:szCs w:val="20"/>
          <w:color w:val="auto"/>
        </w:rPr>
      </w:pPr>
      <w:r>
        <w:rPr>
          <w:rFonts w:ascii="Arial" w:cs="Arial" w:eastAsia="Arial" w:hAnsi="Arial"/>
          <w:sz w:val="15"/>
          <w:szCs w:val="15"/>
          <w:b w:val="1"/>
          <w:bCs w:val="1"/>
          <w:i w:val="1"/>
          <w:iCs w:val="1"/>
          <w:color w:val="auto"/>
        </w:rPr>
        <w:t>Substantially all of our operations are located in areas impacted by the COVID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19 pandemic, and those operations have been, and may continue to be, adversely affected by the COVID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19 pandemic.</w:t>
      </w:r>
    </w:p>
    <w:p>
      <w:pPr>
        <w:spacing w:after="0" w:line="172" w:lineRule="exact"/>
        <w:rPr>
          <w:sz w:val="20"/>
          <w:szCs w:val="20"/>
          <w:color w:val="auto"/>
        </w:rPr>
      </w:pPr>
    </w:p>
    <w:p>
      <w:pPr>
        <w:jc w:val="both"/>
        <w:spacing w:after="0" w:line="184" w:lineRule="exact"/>
        <w:rPr>
          <w:sz w:val="20"/>
          <w:szCs w:val="20"/>
          <w:color w:val="auto"/>
        </w:rPr>
      </w:pPr>
      <w:r>
        <w:rPr>
          <w:rFonts w:ascii="Arial" w:cs="Arial" w:eastAsia="Arial" w:hAnsi="Arial"/>
          <w:sz w:val="15"/>
          <w:szCs w:val="15"/>
          <w:color w:val="auto"/>
        </w:rPr>
        <w:t>We conduct substantially all of our product development, manufacturing, support and services in the PRC, and those activities have been directly impacted by the COVID</w:t>
      </w:r>
      <w:r>
        <w:rPr>
          <w:rFonts w:ascii="MS PGothic" w:cs="MS PGothic" w:eastAsia="MS PGothic" w:hAnsi="MS PGothic"/>
          <w:sz w:val="15"/>
          <w:szCs w:val="15"/>
          <w:color w:val="auto"/>
        </w:rPr>
        <w:t>‑</w:t>
      </w:r>
      <w:r>
        <w:rPr>
          <w:rFonts w:ascii="Arial" w:cs="Arial" w:eastAsia="Arial" w:hAnsi="Arial"/>
          <w:sz w:val="15"/>
          <w:szCs w:val="15"/>
          <w:color w:val="auto"/>
        </w:rPr>
        <w:t>19 pandemic and related restrictions on transportation and public appearances. We cannot assure you that closures or reductions of our PRC operations or production may not be necessary in upcoming months as the result of business interruptions arising from protective measures being taken by the PRC and other governmental agencies or of other consequences of the COVID</w:t>
      </w:r>
      <w:r>
        <w:rPr>
          <w:rFonts w:ascii="MS PGothic" w:cs="MS PGothic" w:eastAsia="MS PGothic" w:hAnsi="MS PGothic"/>
          <w:sz w:val="15"/>
          <w:szCs w:val="15"/>
          <w:color w:val="auto"/>
        </w:rPr>
        <w:t>‑</w:t>
      </w:r>
      <w:r>
        <w:rPr>
          <w:rFonts w:ascii="Arial" w:cs="Arial" w:eastAsia="Arial" w:hAnsi="Arial"/>
          <w:sz w:val="15"/>
          <w:szCs w:val="15"/>
          <w:color w:val="auto"/>
        </w:rPr>
        <w:t>19 pandemic.</w:t>
      </w:r>
    </w:p>
    <w:p>
      <w:pPr>
        <w:spacing w:after="0" w:line="172"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Our corporate headquarters are located in San Mateo County in the San Francisco Bay area. The effects of actions taken by local governmental or other agencies may in the future may negatively impact productivity, disrupt our business and delay timelines, the magnitude of which will depend, in part, on the length and severity of the restrictions and other limitations on our ability to conduct our business in the ordinary course.</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prolonged and broad-based shift to a remote working environment continues to create inherent productivity, connectivity, and oversight challenges and could affect our ability to enhance, develop and support existing products and services, detect and prevent spam and problematic content, hold product sales and marketing events, and generate new sales leads, among others. In addition, the changed environment under which we are operating could have an effect on our internal controls over financial reporting as well as our ability to meet a number of our compliance requirements in a timely or quality manner. Additional and/or extended, governmental lockdowns, restrictions or new regulations could significantly impact the ability of our employees and vendors to work productively. Governmental restrictions have been globally inconsistent and it remains unclear when a return to worksite locations or travel will be permitted or what restrictions will be in place in those environments. We may experience increased costs as we continue to maintain our facilities for a safe work environment, in addition to potential effects on our ability to compete effectively and maintain our corporate culture.</w:t>
      </w:r>
    </w:p>
    <w:p>
      <w:pPr>
        <w:spacing w:after="0" w:line="147" w:lineRule="exact"/>
        <w:rPr>
          <w:sz w:val="20"/>
          <w:szCs w:val="20"/>
          <w:color w:val="auto"/>
        </w:rPr>
      </w:pPr>
    </w:p>
    <w:p>
      <w:pPr>
        <w:jc w:val="both"/>
        <w:spacing w:after="0" w:line="184" w:lineRule="exact"/>
        <w:rPr>
          <w:sz w:val="20"/>
          <w:szCs w:val="20"/>
          <w:color w:val="auto"/>
        </w:rPr>
      </w:pPr>
      <w:r>
        <w:rPr>
          <w:rFonts w:ascii="Arial" w:cs="Arial" w:eastAsia="Arial" w:hAnsi="Arial"/>
          <w:sz w:val="15"/>
          <w:szCs w:val="15"/>
          <w:color w:val="auto"/>
        </w:rPr>
        <w:t>Extended periods of interruption to our corporate, development or manufacturing facilities due to the COVID</w:t>
      </w:r>
      <w:r>
        <w:rPr>
          <w:rFonts w:ascii="MS PGothic" w:cs="MS PGothic" w:eastAsia="MS PGothic" w:hAnsi="MS PGothic"/>
          <w:sz w:val="15"/>
          <w:szCs w:val="15"/>
          <w:color w:val="auto"/>
        </w:rPr>
        <w:t>‑</w:t>
      </w:r>
      <w:r>
        <w:rPr>
          <w:rFonts w:ascii="Arial" w:cs="Arial" w:eastAsia="Arial" w:hAnsi="Arial"/>
          <w:sz w:val="15"/>
          <w:szCs w:val="15"/>
          <w:color w:val="auto"/>
        </w:rPr>
        <w:t>19 pandemic could cause us to lose revenue and market share, which would depress our financial performance and could be difficult to recapture. Our business may also be harmed if travel to or from the PRC or the United States continues to be restricted or inadvisable or if members of management and other employees are absent because they contract the coronavirus, they elect not to come to work due to the illness affecting others in our office or laboratory facilities, or they are subject to quarantines or other governmentally imposed restrictions.</w:t>
      </w:r>
    </w:p>
    <w:p>
      <w:pPr>
        <w:spacing w:after="0" w:line="172"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Our global supply chain may be materially adversely impacted due to the COVID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19 pandemic.</w:t>
      </w:r>
    </w:p>
    <w:p>
      <w:pPr>
        <w:spacing w:after="0" w:line="190"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We rely upon the facilities of our global suppliers with operations in the PRC, Japan, Taiwan and the United States to support our business. We source the substantial majority of our components from Asia. The pandemic has resulted in significant governmental measures in many countries being implemented to control the spread of COVID</w:t>
      </w:r>
      <w:r>
        <w:rPr>
          <w:rFonts w:ascii="MS PGothic" w:cs="MS PGothic" w:eastAsia="MS PGothic" w:hAnsi="MS PGothic"/>
          <w:sz w:val="14"/>
          <w:szCs w:val="14"/>
          <w:color w:val="auto"/>
        </w:rPr>
        <w:t>‑</w:t>
      </w:r>
      <w:r>
        <w:rPr>
          <w:rFonts w:ascii="Arial" w:cs="Arial" w:eastAsia="Arial" w:hAnsi="Arial"/>
          <w:sz w:val="14"/>
          <w:szCs w:val="14"/>
          <w:color w:val="auto"/>
        </w:rPr>
        <w:t>19, including restrictions on manufacturing and the movement of employees both in and out of China and within many regions of the PRC. As a result of COVID</w:t>
      </w:r>
      <w:r>
        <w:rPr>
          <w:rFonts w:ascii="MS PGothic" w:cs="MS PGothic" w:eastAsia="MS PGothic" w:hAnsi="MS PGothic"/>
          <w:sz w:val="14"/>
          <w:szCs w:val="14"/>
          <w:color w:val="auto"/>
        </w:rPr>
        <w:t>‑</w:t>
      </w:r>
      <w:r>
        <w:rPr>
          <w:rFonts w:ascii="Arial" w:cs="Arial" w:eastAsia="Arial" w:hAnsi="Arial"/>
          <w:sz w:val="14"/>
          <w:szCs w:val="14"/>
          <w:color w:val="auto"/>
        </w:rPr>
        <w:t>19 and the measures designed to contain its spread, our suppliers may not have the materials, capacity, or capability to supply our components according to our schedule and specifications. Further, there may be logistics issues, including our ability and our supply chain’s ability to quickly ramp up production, and transportation demands that may cause further delays. Supply chain constraints have intensified due to COVID-19, which has contributed to global shortages coupled with increased demand in the supply of semiconductors.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While the disruptions and restrictions on the ability to travel, quarantines and temporary closures of the facilities of our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could have a material adverse effect on our results of operations and cash flows. Business disruptions could also negatively affect the sources and availability of components and materials that are essential to the operation of our business. Moreover, our customers source a range of production equipment, supplies and services from other suppliers with operations around the world, and any reduction in supply capacity at those customers’ factories due to the COVID</w:t>
      </w:r>
      <w:r>
        <w:rPr>
          <w:rFonts w:ascii="MS PGothic" w:cs="MS PGothic" w:eastAsia="MS PGothic" w:hAnsi="MS PGothic"/>
          <w:sz w:val="14"/>
          <w:szCs w:val="14"/>
          <w:color w:val="auto"/>
        </w:rPr>
        <w:t>‑</w:t>
      </w:r>
      <w:r>
        <w:rPr>
          <w:rFonts w:ascii="Arial" w:cs="Arial" w:eastAsia="Arial" w:hAnsi="Arial"/>
          <w:sz w:val="14"/>
          <w:szCs w:val="14"/>
          <w:color w:val="auto"/>
        </w:rPr>
        <w:t>19 pandemic may reduce or even halt those customers’ production and result in a decrease in the demand for our products.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4" w:name="page45"/>
    <w:bookmarkEnd w:id="44"/>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10"/>
        <w:spacing w:after="0" w:line="173" w:lineRule="exact"/>
        <w:rPr>
          <w:sz w:val="20"/>
          <w:szCs w:val="20"/>
          <w:color w:val="auto"/>
        </w:rPr>
      </w:pPr>
      <w:r>
        <w:rPr>
          <w:rFonts w:ascii="Arial" w:cs="Arial" w:eastAsia="Arial" w:hAnsi="Arial"/>
          <w:sz w:val="15"/>
          <w:szCs w:val="15"/>
          <w:b w:val="1"/>
          <w:bCs w:val="1"/>
          <w:i w:val="1"/>
          <w:iCs w:val="1"/>
          <w:color w:val="auto"/>
        </w:rPr>
        <w:t>The COVID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19 pandemic could negatively impact our currently planned projects and investments in the PRC..</w:t>
      </w:r>
    </w:p>
    <w:p>
      <w:pPr>
        <w:spacing w:after="0" w:line="190" w:lineRule="exact"/>
        <w:rPr>
          <w:sz w:val="20"/>
          <w:szCs w:val="20"/>
          <w:color w:val="auto"/>
        </w:rPr>
      </w:pPr>
    </w:p>
    <w:p>
      <w:pPr>
        <w:jc w:val="both"/>
        <w:ind w:left="10"/>
        <w:spacing w:after="0" w:line="182" w:lineRule="exact"/>
        <w:rPr>
          <w:sz w:val="20"/>
          <w:szCs w:val="20"/>
          <w:color w:val="auto"/>
        </w:rPr>
      </w:pPr>
      <w:r>
        <w:rPr>
          <w:rFonts w:ascii="Arial" w:cs="Arial" w:eastAsia="Arial" w:hAnsi="Arial"/>
          <w:sz w:val="15"/>
          <w:szCs w:val="15"/>
          <w:color w:val="auto"/>
        </w:rPr>
        <w:t>Our strategy includes a number of plans to support the growth of our core business. In November 2021 we completed the STAR Listing and STAR IPO with respect to shares of ACM Shanghai, in May 2020 ACM Shanghai, through its wholly owned subsidiary Shengwei Research (Shanghai), Inc., entered into an agreement for a land use right in the Lingang region of Shanghai, and in July 2020 Shengwei Research (Shanghai), Inc. began a multi-year construction project for a new 1,000,000 square foot development and production center that will incorporate state-of-the-art manufacturing systems and automation technologies, and will provide floor space to support significantly increase production capacity and related research and development activities.. The extent to which COVID-19 impacts these projects will depend on future developments that are highly uncertain and cannot be predicted. If the disruptions posed by COVID</w:t>
      </w:r>
      <w:r>
        <w:rPr>
          <w:rFonts w:ascii="MS PGothic" w:cs="MS PGothic" w:eastAsia="MS PGothic" w:hAnsi="MS PGothic"/>
          <w:sz w:val="15"/>
          <w:szCs w:val="15"/>
          <w:color w:val="auto"/>
        </w:rPr>
        <w:t>‑</w:t>
      </w:r>
      <w:r>
        <w:rPr>
          <w:rFonts w:ascii="Arial" w:cs="Arial" w:eastAsia="Arial" w:hAnsi="Arial"/>
          <w:sz w:val="15"/>
          <w:szCs w:val="15"/>
          <w:color w:val="auto"/>
        </w:rPr>
        <w:t>19 and related government measures, or other matters of global concern, continue for an extensive period of time, our ability to consummate one or both of these planned projects could be materially adversely affected.</w:t>
      </w:r>
    </w:p>
    <w:p>
      <w:pPr>
        <w:spacing w:after="0" w:line="175" w:lineRule="exact"/>
        <w:rPr>
          <w:sz w:val="20"/>
          <w:szCs w:val="20"/>
          <w:color w:val="auto"/>
        </w:rPr>
      </w:pPr>
    </w:p>
    <w:p>
      <w:pPr>
        <w:jc w:val="both"/>
        <w:ind w:left="10"/>
        <w:spacing w:after="0" w:line="184" w:lineRule="exact"/>
        <w:rPr>
          <w:sz w:val="20"/>
          <w:szCs w:val="20"/>
          <w:color w:val="auto"/>
        </w:rPr>
      </w:pPr>
      <w:r>
        <w:rPr>
          <w:rFonts w:ascii="Arial" w:cs="Arial" w:eastAsia="Arial" w:hAnsi="Arial"/>
          <w:sz w:val="15"/>
          <w:szCs w:val="15"/>
          <w:color w:val="auto"/>
        </w:rPr>
        <w:t>In September 2019 ACM Shanghai entered into a partnership agreement for the purposes of engaging in equity venture capital investments in strategic emerging and high-tech industries with a focus on the semiconductor industry. We cannot predict the ongoing effect that the COVID</w:t>
      </w:r>
      <w:r>
        <w:rPr>
          <w:rFonts w:ascii="MS PGothic" w:cs="MS PGothic" w:eastAsia="MS PGothic" w:hAnsi="MS PGothic"/>
          <w:sz w:val="15"/>
          <w:szCs w:val="15"/>
          <w:color w:val="auto"/>
        </w:rPr>
        <w:t>‑</w:t>
      </w:r>
      <w:r>
        <w:rPr>
          <w:rFonts w:ascii="Arial" w:cs="Arial" w:eastAsia="Arial" w:hAnsi="Arial"/>
          <w:sz w:val="15"/>
          <w:szCs w:val="15"/>
          <w:color w:val="auto"/>
        </w:rPr>
        <w:t>19 outbreak in the PRC will have on companies that would otherwise be desirable investments for the partnership, and the outbreak or related governmental actions could significantly impair the ability of the partnership to identify desirable investments or our ability to realize the anticipated benefits of the partnership.</w:t>
      </w:r>
    </w:p>
    <w:p>
      <w:pPr>
        <w:spacing w:after="0" w:line="16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Risks Related to Ownership of Class A Common Stock</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4"/>
          <w:szCs w:val="14"/>
          <w:b w:val="1"/>
          <w:bCs w:val="1"/>
          <w:i w:val="1"/>
          <w:iCs w:val="1"/>
          <w:color w:val="auto"/>
        </w:rPr>
        <w:t>The market price of Class A common stock has been and may continue to be volatile, which could result in substantial losses for investors purchasing our shares</w:t>
      </w:r>
    </w:p>
    <w:p>
      <w:pPr>
        <w:spacing w:after="0" w:line="201"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Class A common stock only commenced trading on the Nasdaq Global Market, or Nasdaq, on November 3, 2017, and the market price of Class A common stock has been, and could continue to be, subject to significant fluctuations. The market price of Class A common stock may fluctuate significantly in response to numerous factors, many of which are beyond our control, including:</w:t>
      </w:r>
    </w:p>
    <w:p>
      <w:pPr>
        <w:ind w:left="410" w:hanging="410"/>
        <w:spacing w:after="0"/>
        <w:tabs>
          <w:tab w:leader="none" w:pos="4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actual or anticipated fluctuations in our revenue and other operating results;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these projections or our failure to meet these projections;</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changes in operating results;</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any changes in the financial projections we may provide to the public, our failure to meet these projections, or changes in recommendations by any securities analysts that elect to follow Class A common stock;</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additional shares of Class A common stock being sold into the market by us or our existing stockholders or the anticipation of such sales;</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45" w:name="page46"/>
    <w:bookmarkEnd w:id="45"/>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tabs>
          <w:tab w:leader="none" w:pos="410" w:val="left"/>
        </w:tabs>
        <w:numPr>
          <w:ilvl w:val="0"/>
          <w:numId w:val="45"/>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including as a result of trends in the economy as a whole;</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45"/>
        </w:numPr>
        <w:rPr>
          <w:rFonts w:ascii="Arial" w:cs="Arial" w:eastAsia="Arial" w:hAnsi="Arial"/>
          <w:sz w:val="15"/>
          <w:szCs w:val="15"/>
          <w:color w:val="auto"/>
        </w:rPr>
      </w:pPr>
      <w:r>
        <w:rPr>
          <w:rFonts w:ascii="Arial" w:cs="Arial" w:eastAsia="Arial" w:hAnsi="Arial"/>
          <w:sz w:val="15"/>
          <w:szCs w:val="15"/>
          <w:color w:val="auto"/>
        </w:rPr>
        <w:t>lawsuits threatened or filed against us;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5"/>
        </w:numPr>
        <w:rPr>
          <w:rFonts w:ascii="Arial" w:cs="Arial" w:eastAsia="Arial" w:hAnsi="Arial"/>
          <w:sz w:val="15"/>
          <w:szCs w:val="15"/>
          <w:color w:val="auto"/>
        </w:rPr>
      </w:pPr>
      <w:r>
        <w:rPr>
          <w:rFonts w:ascii="Arial" w:cs="Arial" w:eastAsia="Arial" w:hAnsi="Arial"/>
          <w:sz w:val="15"/>
          <w:szCs w:val="15"/>
          <w:color w:val="auto"/>
        </w:rPr>
        <w:t>litigation and other developments relating to our patents or other proprietary rights or those of our competitors;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developments in new legislation and pending lawsuits or regulatory actions, including interim or final rulings by judicial or regulatory bodies; and</w:t>
      </w:r>
    </w:p>
    <w:p>
      <w:pPr>
        <w:spacing w:after="0" w:line="8" w:lineRule="exact"/>
        <w:rPr>
          <w:rFonts w:ascii="Arial" w:cs="Arial" w:eastAsia="Arial" w:hAnsi="Arial"/>
          <w:sz w:val="15"/>
          <w:szCs w:val="15"/>
          <w:color w:val="auto"/>
        </w:rPr>
      </w:pPr>
    </w:p>
    <w:p>
      <w:pPr>
        <w:ind w:left="410" w:hanging="410"/>
        <w:spacing w:after="0" w:line="263" w:lineRule="auto"/>
        <w:tabs>
          <w:tab w:leader="none" w:pos="410" w:val="left"/>
        </w:tabs>
        <w:numPr>
          <w:ilvl w:val="0"/>
          <w:numId w:val="45"/>
        </w:numPr>
        <w:rPr>
          <w:rFonts w:ascii="Arial" w:cs="Arial" w:eastAsia="Arial" w:hAnsi="Arial"/>
          <w:sz w:val="15"/>
          <w:szCs w:val="15"/>
          <w:color w:val="auto"/>
        </w:rPr>
      </w:pPr>
      <w:r>
        <w:rPr>
          <w:rFonts w:ascii="Arial" w:cs="Arial" w:eastAsia="Arial" w:hAnsi="Arial"/>
          <w:sz w:val="15"/>
          <w:szCs w:val="15"/>
          <w:color w:val="auto"/>
        </w:rPr>
        <w:t>general economic trends, including changes in the demand for electronics or information technology or geopolitical events such as war or acts of terrorism, or any responses to such events.</w:t>
      </w:r>
    </w:p>
    <w:p>
      <w:pPr>
        <w:spacing w:after="0" w:line="156"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w:t>
      </w:r>
    </w:p>
    <w:p>
      <w:pPr>
        <w:spacing w:after="0" w:line="146"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b w:val="1"/>
          <w:bCs w:val="1"/>
          <w:i w:val="1"/>
          <w:iCs w:val="1"/>
          <w:color w:val="auto"/>
        </w:rPr>
        <w:t>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46"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In the past, following periods of volatility in the overall market and the market price of a particular company’s securities, securities class action litigation has often been instituted against these companies. For example, during the quarter ended December 31, 2020, such a suit was filed against our company and certain members of our management team as described in “Item 3. Legal Proceedings.” Although the suit was dismissed with prejudice on January 10, 2022, similar litigation in the future could result in substantial costs and a diversion of our management’s attention and resources.</w:t>
      </w:r>
    </w:p>
    <w:p>
      <w:pPr>
        <w:spacing w:after="0" w:line="158"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b w:val="1"/>
          <w:bCs w:val="1"/>
          <w:i w:val="1"/>
          <w:iCs w:val="1"/>
          <w:color w:val="auto"/>
        </w:rPr>
        <w:t>Few if any companies with stock publicly traded in the United States has effected a STAR Market listing of stock of a PRC-based subsidiary, and it is therefore difficult to predict the effect of the STAR Listing and STAR IPO on the Class A common stock.</w:t>
      </w:r>
    </w:p>
    <w:p>
      <w:pPr>
        <w:spacing w:after="0" w:line="146"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The China Securities Regulatory Commission initially launched the STAR Market in June 2019 and trading on the Market began in July 2019. In November 2021 ACM Shanghai completed the STAR Listing and the STAR IPO. We believe we are one of the first publicly traded U.S. companies to complete an initial public offering of shares of a PRC subsidiary on the STAR Market. As a result, no assurance can be given regarding the effect of the STAR Listing and the STAR IPO on the market price of the Class A common stock. The market price of Class A common stock may be volatile or may decline, for reasons other than the risk and uncertainties described above, as the result of investor negativity or uncertainty with respect to the impact of the STAR Listing and STAR IPO.</w:t>
      </w:r>
    </w:p>
    <w:p>
      <w:pPr>
        <w:spacing w:after="0" w:line="159" w:lineRule="exact"/>
        <w:rPr>
          <w:sz w:val="20"/>
          <w:szCs w:val="20"/>
          <w:color w:val="auto"/>
        </w:rPr>
      </w:pPr>
    </w:p>
    <w:p>
      <w:pPr>
        <w:jc w:val="both"/>
        <w:ind w:left="10"/>
        <w:spacing w:after="0" w:line="323" w:lineRule="auto"/>
        <w:rPr>
          <w:sz w:val="20"/>
          <w:szCs w:val="20"/>
          <w:color w:val="auto"/>
        </w:rPr>
      </w:pPr>
      <w:r>
        <w:rPr>
          <w:rFonts w:ascii="Arial" w:cs="Arial" w:eastAsia="Arial" w:hAnsi="Arial"/>
          <w:sz w:val="13"/>
          <w:szCs w:val="13"/>
          <w:color w:val="auto"/>
        </w:rPr>
        <w:t>ACM Research stockholders were not entitled to purchase ACM Shanghai shares in the pre-STAR Listing placement, and they may have limited opportunities to purchase ACM Shanghai shares now that the STAR Listing and the STAR IPO have been completed. Investors may elect to invest in our business and operations by purchasing ACM Shanghai shares on the STAR Market rather than purchasing ACM Research Class A common stock, and that reduction in demand could lead to a decrease in the market price for the Class A common stock.</w:t>
      </w:r>
    </w:p>
    <w:p>
      <w:pPr>
        <w:spacing w:after="0" w:line="120"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An active trading market for Class A common stock may not be sustained.</w:t>
      </w:r>
    </w:p>
    <w:p>
      <w:pPr>
        <w:spacing w:after="0" w:line="190" w:lineRule="exact"/>
        <w:rPr>
          <w:sz w:val="20"/>
          <w:szCs w:val="20"/>
          <w:color w:val="auto"/>
        </w:rPr>
      </w:pPr>
    </w:p>
    <w:p>
      <w:pPr>
        <w:jc w:val="both"/>
        <w:ind w:left="10" w:right="20"/>
        <w:spacing w:after="0" w:line="260" w:lineRule="auto"/>
        <w:rPr>
          <w:sz w:val="20"/>
          <w:szCs w:val="20"/>
          <w:color w:val="auto"/>
        </w:rPr>
      </w:pPr>
      <w:r>
        <w:rPr>
          <w:rFonts w:ascii="Arial" w:cs="Arial" w:eastAsia="Arial" w:hAnsi="Arial"/>
          <w:sz w:val="15"/>
          <w:szCs w:val="15"/>
          <w:color w:val="auto"/>
        </w:rPr>
        <w:t>Class A common stock has been listed on Nasdaq only since November 3, 2017, and we cannot assure you that an active trading market for Class A common stock will be sustained or maintained.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or maintain a liquid market for Class A common stock.</w:t>
      </w:r>
    </w:p>
    <w:p>
      <w:pPr>
        <w:spacing w:after="0" w:line="31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46" w:name="page47"/>
    <w:bookmarkEnd w:id="4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Requirements associated with being a public reporting company involve significant ongoing costs and can divert significant company resources and management attention.</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are subject to the reporting requirements of the Securities Exchange Act, the Sarbanes-Oxley Act, the Dodd-Frank Wall Street Reform and Consumer Protection Act, the listing requirements of Nasdaq, and other rules and regulations of the SEC.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never declared or paid cash dividends on our capital stock. We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7" w:name="page48"/>
    <w:bookmarkEnd w:id="47"/>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146" w:lineRule="exact"/>
        <w:rPr>
          <w:sz w:val="20"/>
          <w:szCs w:val="20"/>
          <w:color w:val="auto"/>
        </w:rPr>
      </w:pPr>
    </w:p>
    <w:p>
      <w:pPr>
        <w:jc w:val="both"/>
        <w:ind w:left="10"/>
        <w:spacing w:after="0" w:line="277" w:lineRule="auto"/>
        <w:rPr>
          <w:sz w:val="20"/>
          <w:szCs w:val="20"/>
          <w:color w:val="auto"/>
        </w:rPr>
      </w:pPr>
      <w:r>
        <w:rPr>
          <w:rFonts w:ascii="Arial" w:cs="Arial" w:eastAsia="Arial" w:hAnsi="Arial"/>
          <w:sz w:val="14"/>
          <w:szCs w:val="14"/>
          <w:color w:val="auto"/>
        </w:rPr>
        <w:t>Class B common stock has twenty votes per share and Class A common stock has one vote per share. As of February 23, 2022, stockholders who hold shares of Class B common stock, who consist principally of our executive officers, employees, directors and their respective affiliates, collectively held 65.5% of the voting power of our outstanding capital stock.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47"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Because of the market capitalization achieved by Class A common stock during October 2020, our charter no longer contemplates circumstances in which all of the shares of Class B common stock will mandatorily convert into Class A common stock. Instead, all of the Class B common stock generally will convert into Class A common stock only upon the election of the holders of a majority of the then-outstanding shares of Class B common stock, and specific shares of Class B common stock will convert into Class A common stock upon future transfers by the holders of those shares. The potential conversion of Class B common stock to Class A common stock will have the effect, over time, of increasing the relative voting power of those holders of Class B common stock who retain their shares in the long term.</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3"/>
          <w:szCs w:val="13"/>
          <w:b w:val="1"/>
          <w:bCs w:val="1"/>
          <w:i w:val="1"/>
          <w:iCs w:val="1"/>
          <w:color w:val="auto"/>
        </w:rPr>
        <w:t>Delaware law and provisions in our charter and bylaws could make a merger, tender offer or proxy contest difficult, thereby depressing the trading price of Class A common stock.</w:t>
      </w:r>
    </w:p>
    <w:p>
      <w:pPr>
        <w:spacing w:after="0" w:line="212" w:lineRule="exact"/>
        <w:rPr>
          <w:sz w:val="20"/>
          <w:szCs w:val="20"/>
          <w:color w:val="auto"/>
        </w:rPr>
      </w:pPr>
    </w:p>
    <w:p>
      <w:pPr>
        <w:jc w:val="both"/>
        <w:ind w:left="10"/>
        <w:spacing w:after="0" w:line="274" w:lineRule="auto"/>
        <w:rPr>
          <w:sz w:val="20"/>
          <w:szCs w:val="20"/>
          <w:color w:val="auto"/>
        </w:rPr>
      </w:pPr>
      <w:r>
        <w:rPr>
          <w:rFonts w:ascii="Arial" w:cs="Arial" w:eastAsia="Arial" w:hAnsi="Arial"/>
          <w:sz w:val="14"/>
          <w:szCs w:val="14"/>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charter and bylaws contain provisions that may make the acquisition of our company more difficult, including the following:</w:t>
      </w:r>
    </w:p>
    <w:p>
      <w:pPr>
        <w:spacing w:after="0" w:line="1" w:lineRule="exact"/>
        <w:rPr>
          <w:sz w:val="20"/>
          <w:szCs w:val="20"/>
          <w:color w:val="auto"/>
        </w:rPr>
      </w:pPr>
    </w:p>
    <w:p>
      <w:pPr>
        <w:ind w:left="410" w:hanging="410"/>
        <w:spacing w:after="0" w:line="251" w:lineRule="auto"/>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when the outstanding shares of Class B common stock represent less than a majority of the combined voting power of common stock;</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amendments to our charter or bylaws will require the approval of two-thirds of the combined vote of our then-outstanding shares of Class A and Class B common stock;</w:t>
      </w:r>
    </w:p>
    <w:p>
      <w:pPr>
        <w:spacing w:after="0" w:line="20" w:lineRule="exact"/>
        <w:rPr>
          <w:rFonts w:ascii="Arial" w:cs="Arial" w:eastAsia="Arial" w:hAnsi="Arial"/>
          <w:sz w:val="14"/>
          <w:szCs w:val="14"/>
          <w:color w:val="auto"/>
        </w:rPr>
      </w:pPr>
    </w:p>
    <w:p>
      <w:pPr>
        <w:ind w:left="410" w:hanging="410"/>
        <w:spacing w:after="0"/>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vacancies on the board of directors will be able to be filled only by the board and not by stockholders;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board, which currently is not staggered, will be automatically separated into three classes with staggered three-year terms;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directors will only be able to be removed from office for cause;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stockholders will only be able to take action at a meeting and not by written consent;</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only our chair, our chief executive officer or a majority of our directors is authorized to call a special meeting of stockholders;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advance notice procedures apply for stockholders to nominate candidates for election as directors or to bring matters before an annual meeting of stockholders;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charter authorizes undesignated preferred stock, the terms of which may be established, and shares of which may be issued, without stockholder approval;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cumulative voting in the election of directors is prohibited.</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48" w:name="page49"/>
    <w:bookmarkEnd w:id="48"/>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158"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b w:val="1"/>
          <w:bCs w:val="1"/>
          <w:i w:val="1"/>
          <w:iCs w:val="1"/>
          <w:color w:val="auto"/>
        </w:rPr>
        <w:t>Our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Our charter provides that the Court of Chancery of the State of Delaware will, to the fullest extent permitted by law, be the sole and exclusive forum for:</w:t>
      </w:r>
    </w:p>
    <w:p>
      <w:pPr>
        <w:spacing w:after="0" w:line="18" w:lineRule="exact"/>
        <w:rPr>
          <w:sz w:val="20"/>
          <w:szCs w:val="20"/>
          <w:color w:val="auto"/>
        </w:rPr>
      </w:pPr>
    </w:p>
    <w:p>
      <w:pPr>
        <w:ind w:left="410" w:hanging="410"/>
        <w:spacing w:after="0"/>
        <w:tabs>
          <w:tab w:leader="none" w:pos="41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8"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owed to us, our stockholders, creditors or other constituents by any of our directors, officers, other employees, agents or stockholders;</w:t>
      </w:r>
    </w:p>
    <w:p>
      <w:pPr>
        <w:spacing w:after="0" w:line="1"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action asserting a claim that is governed by the internal affairs doctrine.</w:t>
      </w:r>
    </w:p>
    <w:p>
      <w:pPr>
        <w:spacing w:after="0" w:line="180"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By becoming a stockholder in our company, you will be deemed to have notice of and have consented to the provisions of our charter related to choice of forum. The choice of forum provision in our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Our management team has limited experience managing a public company , including a “large accelerated filer.”</w:t>
      </w:r>
    </w:p>
    <w:p>
      <w:pPr>
        <w:spacing w:after="0" w:line="190"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The experience of the current members of our management team in managing a publicly traded company, in particular a company that is a “large accelerated filer,” interacting with public company investors and complying with the increasingly complex laws pertaining to public companies is limited to their experience with our company since our initial public offering in November 2017. Our management team may not successfully or efficiently manage our transition to being a large accelerated filer subject to significant regulatory oversight and reporting obligations under the federal securities laws and the scrutiny of securities analysts and investors. These obligations and constituents require significant attention from our management team and could divert their attention away from the day-to-day management of our business, which could materially adversely affect our business, financial condition and operating results.</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We have been a large accelerated filer since December 31, 2020, which has increased our costs and demands on management.</w:t>
      </w:r>
    </w:p>
    <w:p>
      <w:pPr>
        <w:spacing w:after="0" w:line="190"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We have been a large accelerated filer since December 31, 2020 and therefore no longer qualify as an “emerging growth company,” as defined in the JOBS Act. As a large accelerated filer, we are subject to certain disclosure and compliance requirements that apply to other public companies but did not apply to us prior to December 31, 2020 due to our status as an emerging growth company. These requirements include, but are not limited to:</w:t>
      </w:r>
    </w:p>
    <w:p>
      <w:pPr>
        <w:ind w:left="410" w:hanging="410"/>
        <w:spacing w:after="0" w:line="263" w:lineRule="auto"/>
        <w:tabs>
          <w:tab w:leader="none" w:pos="41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requirement that our independent registered public accounting firm attest to the effectiveness of our internal control over financial reporting under Section 404(b) of the Sarbanes-Oxley Act of 2002;</w:t>
      </w:r>
    </w:p>
    <w:p>
      <w:pPr>
        <w:spacing w:after="0" w:line="309"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49" w:name="page50"/>
    <w:bookmarkEnd w:id="49"/>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line="258" w:lineRule="auto"/>
        <w:tabs>
          <w:tab w:leader="none" w:pos="41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compliance with any requirement that may be adopted by the PCAOB regarding mandatory audit firm rotation or a supplement to the auditor’s report providing additional information about the audit and the financial statements;</w:t>
      </w:r>
    </w:p>
    <w:p>
      <w:pPr>
        <w:ind w:left="410" w:hanging="410"/>
        <w:spacing w:after="0"/>
        <w:tabs>
          <w:tab w:leader="none" w:pos="41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requirement that we provide full and more detailed disclosures regarding executive compensation;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requirement that we hold a non-binding advisory vote on executive compensation and obtain stockholder approval of any golden parachute payments not previously approved.</w:t>
      </w:r>
    </w:p>
    <w:p>
      <w:pPr>
        <w:spacing w:after="0" w:line="203"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Class A common stock could decline and we could be subject to sanctions or investigations by the stock exchange on which Class A common stock is listed, the SEC, or other regulatory authorities, which would require additional financial and management resources.</w:t>
      </w:r>
    </w:p>
    <w:p>
      <w:pPr>
        <w:spacing w:after="0" w:line="143"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as we are no longer an “emerging growth company,” which could adversely affect our business, operating results and financial condition.</w:t>
      </w:r>
    </w:p>
    <w:p>
      <w:pPr>
        <w:spacing w:after="0" w:line="146" w:lineRule="exact"/>
        <w:rPr>
          <w:sz w:val="20"/>
          <w:szCs w:val="20"/>
          <w:color w:val="auto"/>
        </w:rPr>
      </w:pPr>
    </w:p>
    <w:p>
      <w:pPr>
        <w:jc w:val="both"/>
        <w:ind w:left="10"/>
        <w:spacing w:after="0" w:line="255" w:lineRule="auto"/>
        <w:rPr>
          <w:sz w:val="20"/>
          <w:szCs w:val="20"/>
          <w:color w:val="auto"/>
        </w:rPr>
      </w:pPr>
      <w:r>
        <w:rPr>
          <w:rFonts w:ascii="Arial" w:cs="Arial" w:eastAsia="Arial" w:hAnsi="Arial"/>
          <w:sz w:val="15"/>
          <w:szCs w:val="15"/>
          <w:color w:val="auto"/>
        </w:rPr>
        <w:t>As a public company, and particularly as we are no longer an “emerging growth company,” effective as of December 31, 2020,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65" w:lineRule="exact"/>
        <w:rPr>
          <w:sz w:val="20"/>
          <w:szCs w:val="20"/>
          <w:color w:val="auto"/>
        </w:rPr>
      </w:pPr>
    </w:p>
    <w:p>
      <w:pPr>
        <w:jc w:val="both"/>
        <w:ind w:left="10"/>
        <w:spacing w:after="0" w:line="291" w:lineRule="auto"/>
        <w:rPr>
          <w:sz w:val="20"/>
          <w:szCs w:val="20"/>
          <w:color w:val="auto"/>
        </w:rPr>
      </w:pPr>
      <w:r>
        <w:rPr>
          <w:rFonts w:ascii="Arial" w:cs="Arial" w:eastAsia="Arial" w:hAnsi="Arial"/>
          <w:sz w:val="14"/>
          <w:szCs w:val="14"/>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required our management to perform system and process evaluation and testing to allow it to report on the effectiveness of our internal control over financial reporting.</w:t>
      </w:r>
    </w:p>
    <w:p>
      <w:pPr>
        <w:spacing w:after="0" w:line="138"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58" w:lineRule="exact"/>
        <w:rPr>
          <w:sz w:val="20"/>
          <w:szCs w:val="20"/>
          <w:color w:val="auto"/>
        </w:rPr>
      </w:pPr>
    </w:p>
    <w:p>
      <w:pPr>
        <w:jc w:val="both"/>
        <w:ind w:left="10"/>
        <w:spacing w:after="0" w:line="277"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30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50" w:name="page51"/>
    <w:bookmarkEnd w:id="5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Short sellers of our stock may be manipulative and may drive down the market price of our Class A common stock.</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Short selling is the practice of selling securities that a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stock to decline, some short sellers publish, or arrange for the publication of, opinions or characterizations regarding the relevant issuer, its business prospects and similar matters calculated to or which may create negative market momentum, which may permit them to obtain profits for themselves as a result of selling the securities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Issuers with limited trading volumes or substantial retail stockholder bases can be particularly susceptible to higher volatility levels, and can be particularly vulnerable to such short attacks.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Short seller publications are not regulated by any governmental or self-regulatory organization or any other official authority in the United States and are not subject to the certification requirements imposed by the SEC in Regulation Analyst Certification.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 Short-seller publications may create the appearance or perception of wrongdoing, even when they are not substantiated, and may therefore affect the reputation or perception of our company and management.</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While we intend to strongly defend our public filings against any such short seller attacks, in many situations we could be constrained, for example, by principles of freedom of speech, applicable state law or issues of commercial confidentiality, in the manner in which we are able to proceed against the relevant short seller.</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Such short-seller attacks have caused, and may cause in the future, temporary or possibly long term, declines in the market price of Class A common stock and possible litigation initiated against us. During the quarter ended December 31, 2020, such a short-seller publication was issued with respect to our company and certain members of the management team, and was referenced by the plaintiffs in the litigation described in “Item 3. Legal Proceedings.”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production facilities could be damaged or disrupted by a natural disaster, war, terrorist attacks or other catastrophic events.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The frequency and intensity of severe weather events are reportedly increasing throughout the world as part of broader climate changes. Global weather pattern changes may pose long-term risks of physical impacts to our business.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1" w:name="page52"/>
    <w:bookmarkEnd w:id="5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occupied our current corporate headquarters in Fremont, California, since February 2008, under a lease that, after an amendment in February 2021, now extends through March 2023.</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conduct research and development, service support operations, and a portion of our manufacturing at ACM Shanghai’s headquarters. This facility consists of 60,000 square feet, of which 36,000 square feet are allocated for manufacturing, and is located in the Zhangjiang Hi Tech Park in Shanghai. We have leased this facility since 2007 and our lease currently extends until December 31, 2022.</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January 2018, ACM Shanghai entered into an operating lease for a second manufacturing space located in Shanghai, ten miles from its headquarters. The lease covers a total of 103,318 square feet, of which 100,000 square feet are allocated for production. The lease term expires on January 15, 2023.</w:t>
      </w:r>
    </w:p>
    <w:p>
      <w:pPr>
        <w:spacing w:after="0" w:line="146"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color w:val="auto"/>
        </w:rPr>
        <w:t>In February 2021, ACM Shanghai entered into an operating lease for a second building located adjacent to the above-mentioned second manufacturing space to provide additional manufacturing space. The lease covers approximately 106,076 square feet of which 100,000 square feet are allocated for production. The lease term expires on January 15, 2023.</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provide sales support and customer service operations from leased office space in Jiangyin and Wuxi in the PRC and Icheon in South Korea.</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 May 2020 ACM Shanghai, through its wholly owned subsidiary Shengwei Research (Shanghai), Inc. or Shengwei, entered into an agreement for a 50-year land use right in the Lingang region of Shanghai. In July 2020 Shengwei began a multi-year construction project for a new development and production center, with the objective of commencing production at the new facility in 2023. The planned 1,000,000 square foot facility will incorporate state-of-the-art manufacturing systems and automation technologies, and will provide the floor space to support significantly more production capacity and related research and development activities when fully-staffed and supplied.</w:t>
      </w:r>
    </w:p>
    <w:p>
      <w:pPr>
        <w:spacing w:after="0" w:line="14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connection with the Lingang facility project, on October 28, 2020, a wholly owned subsidiary of Shengwei entered into Shanghai Public Rental Housing Overall Pre-Sale Contracts with Shanghai Lingang Industrial Zone Public Rental Housing Construction and Operation Management Co., Ltd. for an aggregate price to us of approximately $40 million. Shengwei’s subsidiary received ownership of the apartment units and corresponding land use rights in January 2022 as part of a pilot project of public rental housing in the “rent before sale” park in the Lingang Industrial Zone. The contracts stipulate that, for a ten-year term, Shengwei’s subsidiary is obligated to manage the apartment units for public rental use in accordance with public rental housing standards and must rent the apartment units to employees of ACM Shanghai and its subsidiaries who work in the Lingang Industrial Zone. After that ten-year period expires, Shengwei’s subsidiary may use the apartment units as stock of commercial housing and may sell them separately in sets.</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Securities Class Action Lawsuit</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On December 21, 2020, a putative class action lawsuit against our company and three of our executive officers was filed in the U.S. District Court for the Northern District of California under the caption </w:t>
      </w:r>
      <w:r>
        <w:rPr>
          <w:rFonts w:ascii="Arial" w:cs="Arial" w:eastAsia="Arial" w:hAnsi="Arial"/>
          <w:sz w:val="14"/>
          <w:szCs w:val="14"/>
          <w:i w:val="1"/>
          <w:iCs w:val="1"/>
          <w:color w:val="auto"/>
        </w:rPr>
        <w:t>Kain v. ACM Research, Inc., et al.</w:t>
      </w:r>
      <w:r>
        <w:rPr>
          <w:rFonts w:ascii="Arial" w:cs="Arial" w:eastAsia="Arial" w:hAnsi="Arial"/>
          <w:sz w:val="14"/>
          <w:szCs w:val="14"/>
          <w:color w:val="auto"/>
        </w:rPr>
        <w:t>, No. 3:20-cv-09241, which we refer to as the Securities Class Action. The complaint alleged claims under Sections 10(b) and 20(a) of the Securities Exchange Act of 1934 and Rule 10b-5 promulgated thereunder, and sought monetary damages in an unspecified amount as well as costs and expenses incurred in the litigation. On April 15, 2021, the court appointed Mr. Kain as lead plaintiff, finding that no better suited candidates emerged during the statutory sixty-day period following public notice of the lawsuit. On May 27, 2021, defendants filed a motion to dismiss Mr. Kain’s complaint. On September 9, 2021, the court granted defendants’ motion to dismiss with leave to amend. On October 7, 2021, Mr. Kain filed a second amended complaint. On October 21, 2021, defendants filed a motion to dismiss Mr. Kain’s second amended complaint. On December 20, 2021, the court issued an order granting defendants’ motion to dismiss with leave to amend. On January 10, 2022, Mr. Kain filed a stipulation of voluntary dismissal. That same day, the court granted the stipulation and dismissed the case with prejudice.</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From time to time we may become involved in other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2" w:name="page53"/>
    <w:bookmarkEnd w:id="5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Regarding the Trading of Common Stock</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Class A common stock has traded on NASDAQ Global Market under the symbol “ACMR” since November 3, 2017. The Class B common stock is not listed or traded on any stock exchange.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 of Common Stock</w:t>
      </w:r>
    </w:p>
    <w:p>
      <w:pPr>
        <w:spacing w:after="0" w:line="194"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As of February 23, 2022, there were 17,833,192 shares of Class A common stock outstanding held of record by 46 stockholders. The actual number of holders of Class A common stock is substantially greater and includes stockholders who are beneficial owners and whose shares are held of record by banks, brokers, and other financial institutions.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As of February 23, 2022, there were 1,695,604 shares of Class B common stock held of record by 18 stockholders.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information required by this item will be set forth in the definitive proxy statement we will file in connection with our 2021 Annual Meeting of Stockholders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of Unregistered Securities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2021, we issued, pursuant to the exercise of stock options at per share exercise prices ranging from $0.75 to $1.50 per share, an aggregate of 170,850 shares of Class A common stock that were not registered under the Securities Act of 1933.</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2021, we issued, pursuant to the exercise of a warrant at a per share exercise price of $7.50, an aggregate of 242,681 shares of Class A common stock that were not registered under the Securities Act of 1933.</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3" w:name="page54"/>
    <w:bookmarkEnd w:id="5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Performance Graph</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following graph compares the total return of an investment of $100 in cash at the closing price of November 3, 2017 through December 31, 2021 for (1) our common stock, (2) the Russell 1000 index, and (3) the Nasdaq Composite Index. All values assume reinvestment of all dividends. Stockholder returns over the indicated period are based on historical data and are not necessarily indicative of future stockholder returns.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COMPARISON OF 5 YEAR CUMULATIVE TOTAL RETURN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Among ACM Research, Inc., the Nasdaq Index, and the Russell 1000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121285</wp:posOffset>
            </wp:positionV>
            <wp:extent cx="4539615" cy="20040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39615" cy="200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3"/>
              </w:rPr>
              <w:t>Base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Period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1"/>
              </w:rPr>
              <w:t>Years Ending</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3260" w:type="dxa"/>
            <w:vAlign w:val="bottom"/>
            <w:gridSpan w:val="2"/>
          </w:tcPr>
          <w:p>
            <w:pPr>
              <w:spacing w:after="0"/>
              <w:rPr>
                <w:sz w:val="20"/>
                <w:szCs w:val="20"/>
                <w:color w:val="auto"/>
              </w:rPr>
            </w:pPr>
            <w:r>
              <w:rPr>
                <w:rFonts w:ascii="Arial" w:cs="Arial" w:eastAsia="Arial" w:hAnsi="Arial"/>
                <w:sz w:val="15"/>
                <w:szCs w:val="15"/>
                <w:b w:val="1"/>
                <w:bCs w:val="1"/>
                <w:color w:val="auto"/>
              </w:rPr>
              <w:t>Company Name/Index</w:t>
            </w: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ind w:right="125"/>
              <w:spacing w:after="0"/>
              <w:rPr>
                <w:sz w:val="20"/>
                <w:szCs w:val="20"/>
                <w:color w:val="auto"/>
              </w:rPr>
            </w:pPr>
            <w:r>
              <w:rPr>
                <w:rFonts w:ascii="Arial" w:cs="Arial" w:eastAsia="Arial" w:hAnsi="Arial"/>
                <w:sz w:val="15"/>
                <w:szCs w:val="15"/>
                <w:b w:val="1"/>
                <w:bCs w:val="1"/>
                <w:color w:val="auto"/>
                <w:w w:val="91"/>
              </w:rPr>
              <w:t>11/3/17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5"/>
                <w:szCs w:val="15"/>
                <w:b w:val="1"/>
                <w:bCs w:val="1"/>
                <w:color w:val="auto"/>
              </w:rPr>
              <w:t>12/29/17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12/31/18</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12/31/19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12/31/20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12/31/21</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ACM Research, Inc.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1,409</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240" w:type="dxa"/>
            <w:vAlign w:val="bottom"/>
          </w:tcPr>
          <w:p>
            <w:pPr>
              <w:spacing w:after="0"/>
              <w:rPr>
                <w:sz w:val="20"/>
                <w:szCs w:val="20"/>
                <w:color w:val="auto"/>
              </w:rPr>
            </w:pPr>
            <w:r>
              <w:rPr>
                <w:rFonts w:ascii="Arial" w:cs="Arial" w:eastAsia="Arial" w:hAnsi="Arial"/>
                <w:sz w:val="15"/>
                <w:szCs w:val="15"/>
                <w:color w:val="auto"/>
              </w:rPr>
              <w:t>Russell 1000 Index</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100</w:t>
            </w:r>
          </w:p>
        </w:tc>
        <w:tc>
          <w:tcPr>
            <w:tcW w:w="30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103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97</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124</w:t>
            </w:r>
          </w:p>
        </w:tc>
        <w:tc>
          <w:tcPr>
            <w:tcW w:w="30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148</w:t>
            </w:r>
          </w:p>
        </w:tc>
        <w:tc>
          <w:tcPr>
            <w:tcW w:w="28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157</w:t>
            </w:r>
          </w:p>
        </w:tc>
      </w:tr>
      <w:tr>
        <w:trPr>
          <w:trHeight w:val="181"/>
        </w:trPr>
        <w:tc>
          <w:tcPr>
            <w:tcW w:w="20" w:type="dxa"/>
            <w:vAlign w:val="bottom"/>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Nasdaq Composite Index</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98</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133</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191</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231</w:t>
            </w:r>
          </w:p>
        </w:tc>
      </w:tr>
      <w:tr>
        <w:trPr>
          <w:trHeight w:val="477"/>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20" w:type="dxa"/>
            <w:vAlign w:val="bottom"/>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54" w:name="page55"/>
    <w:bookmarkEnd w:id="54"/>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ind w:left="10"/>
        <w:spacing w:after="0"/>
        <w:tabs>
          <w:tab w:leader="none" w:pos="649"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94" w:lineRule="exact"/>
        <w:rPr>
          <w:sz w:val="20"/>
          <w:szCs w:val="20"/>
          <w:color w:val="auto"/>
        </w:rPr>
      </w:pPr>
    </w:p>
    <w:p>
      <w:pPr>
        <w:jc w:val="both"/>
        <w:ind w:left="10"/>
        <w:spacing w:after="0" w:line="291" w:lineRule="auto"/>
        <w:rPr>
          <w:sz w:val="20"/>
          <w:szCs w:val="20"/>
          <w:color w:val="auto"/>
        </w:rPr>
      </w:pPr>
      <w:r>
        <w:rPr>
          <w:rFonts w:ascii="Arial" w:cs="Arial" w:eastAsia="Arial" w:hAnsi="Arial"/>
          <w:sz w:val="14"/>
          <w:szCs w:val="14"/>
          <w:i w:val="1"/>
          <w:iCs w:val="1"/>
          <w:color w:val="auto"/>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3 of this report. Please read “Item 1A. Risk Factors” for a discussion of factors that could cause our actual results to differ materially from our expectations</w:t>
      </w:r>
    </w:p>
    <w:p>
      <w:pPr>
        <w:spacing w:after="0" w:line="13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Overview</w:t>
      </w:r>
    </w:p>
    <w:p>
      <w:pPr>
        <w:spacing w:after="0" w:line="194"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3D NAND-flash memory chips, and compound semiconductor chips. We also develop, manufacture and sell a range of advanced packaging tools to wafer assembly and packaging customers.</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3"/>
          <w:szCs w:val="13"/>
          <w:color w:val="auto"/>
        </w:rPr>
        <w:t>We are focused on building a strategic portfolio of intellectual property to support and protect our key innovations. Our tools have been developed using our key proprietary technologies:</w:t>
      </w:r>
    </w:p>
    <w:p>
      <w:pPr>
        <w:spacing w:after="0" w:line="41" w:lineRule="exact"/>
        <w:rPr>
          <w:sz w:val="20"/>
          <w:szCs w:val="20"/>
          <w:color w:val="auto"/>
        </w:rPr>
      </w:pPr>
    </w:p>
    <w:p>
      <w:pPr>
        <w:ind w:left="410" w:hanging="410"/>
        <w:spacing w:after="0" w:line="251" w:lineRule="auto"/>
        <w:tabs>
          <w:tab w:leader="none" w:pos="41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Space Alternated Phase Shift, or SAPS, technology for flat and patterned wafer surfaces</w:t>
      </w:r>
      <w:r>
        <w:rPr>
          <w:rFonts w:ascii="Arial" w:cs="Arial" w:eastAsia="Arial" w:hAnsi="Arial"/>
          <w:sz w:val="15"/>
          <w:szCs w:val="15"/>
          <w:color w:val="auto"/>
        </w:rPr>
        <w:t>, which employs alternating phases of megasonic waves to deliver megasonic energy in a</w:t>
      </w:r>
      <w:r>
        <w:rPr>
          <w:rFonts w:ascii="Arial" w:cs="Arial" w:eastAsia="Arial" w:hAnsi="Arial"/>
          <w:sz w:val="15"/>
          <w:szCs w:val="15"/>
          <w:i w:val="1"/>
          <w:iCs w:val="1"/>
          <w:color w:val="auto"/>
        </w:rPr>
        <w:t xml:space="preserve"> </w:t>
      </w:r>
      <w:r>
        <w:rPr>
          <w:rFonts w:ascii="Arial" w:cs="Arial" w:eastAsia="Arial" w:hAnsi="Arial"/>
          <w:sz w:val="15"/>
          <w:szCs w:val="15"/>
          <w:color w:val="auto"/>
        </w:rPr>
        <w:t>highly uniform manner on a microscopic level;</w:t>
      </w:r>
    </w:p>
    <w:p>
      <w:pPr>
        <w:spacing w:after="0" w:line="1"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Timely Energized Bubble Oscillation, or TEBO, technology for patterned wafer surfaces at advanced process nodes</w:t>
      </w:r>
      <w:r>
        <w:rPr>
          <w:rFonts w:ascii="Arial" w:cs="Arial" w:eastAsia="Arial" w:hAnsi="Arial"/>
          <w:sz w:val="15"/>
          <w:szCs w:val="15"/>
          <w:color w:val="auto"/>
        </w:rPr>
        <w:t>, which provides effective, damage-free cleaning for 2D and 3D</w:t>
      </w:r>
      <w:r>
        <w:rPr>
          <w:rFonts w:ascii="Arial" w:cs="Arial" w:eastAsia="Arial" w:hAnsi="Arial"/>
          <w:sz w:val="15"/>
          <w:szCs w:val="15"/>
          <w:i w:val="1"/>
          <w:iCs w:val="1"/>
          <w:color w:val="auto"/>
        </w:rPr>
        <w:t xml:space="preserve"> </w:t>
      </w:r>
      <w:r>
        <w:rPr>
          <w:rFonts w:ascii="Arial" w:cs="Arial" w:eastAsia="Arial" w:hAnsi="Arial"/>
          <w:sz w:val="15"/>
          <w:szCs w:val="15"/>
          <w:color w:val="auto"/>
        </w:rPr>
        <w:t>patterned wafers with fine feature sizes;</w:t>
      </w:r>
    </w:p>
    <w:p>
      <w:pPr>
        <w:spacing w:after="0" w:line="1"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Tahoe technology for cost and environmental savings</w:t>
      </w:r>
      <w:r>
        <w:rPr>
          <w:rFonts w:ascii="Arial" w:cs="Arial" w:eastAsia="Arial" w:hAnsi="Arial"/>
          <w:sz w:val="15"/>
          <w:szCs w:val="15"/>
          <w:color w:val="auto"/>
        </w:rPr>
        <w:t>, which delivers high cleaning performance using significantly less sulfuric acid and hydrogen peroxide than is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consumed by conventional high-temperature single-wafer cleaning tools; and</w:t>
      </w:r>
    </w:p>
    <w:p>
      <w:pPr>
        <w:spacing w:after="0" w:line="1" w:lineRule="exact"/>
        <w:rPr>
          <w:rFonts w:ascii="Arial" w:cs="Arial" w:eastAsia="Arial" w:hAnsi="Arial"/>
          <w:sz w:val="15"/>
          <w:szCs w:val="15"/>
          <w:color w:val="auto"/>
        </w:rPr>
      </w:pPr>
    </w:p>
    <w:p>
      <w:pPr>
        <w:ind w:left="410" w:hanging="410"/>
        <w:spacing w:after="0" w:line="263" w:lineRule="auto"/>
        <w:tabs>
          <w:tab w:leader="none" w:pos="41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Electro-Chemical Plating, or ECP, technology for advanced metal plating</w:t>
      </w:r>
      <w:r>
        <w:rPr>
          <w:rFonts w:ascii="Arial" w:cs="Arial" w:eastAsia="Arial" w:hAnsi="Arial"/>
          <w:sz w:val="15"/>
          <w:szCs w:val="15"/>
          <w:color w:val="auto"/>
        </w:rPr>
        <w:t>, which includes Ultra ECP ap, or Advanced Packaging, technology for back-end assembly processes,</w:t>
      </w:r>
      <w:r>
        <w:rPr>
          <w:rFonts w:ascii="Arial" w:cs="Arial" w:eastAsia="Arial" w:hAnsi="Arial"/>
          <w:sz w:val="15"/>
          <w:szCs w:val="15"/>
          <w:i w:val="1"/>
          <w:iCs w:val="1"/>
          <w:color w:val="auto"/>
        </w:rPr>
        <w:t xml:space="preserve"> </w:t>
      </w:r>
      <w:r>
        <w:rPr>
          <w:rFonts w:ascii="Arial" w:cs="Arial" w:eastAsia="Arial" w:hAnsi="Arial"/>
          <w:sz w:val="15"/>
          <w:szCs w:val="15"/>
          <w:color w:val="auto"/>
        </w:rPr>
        <w:t>Ultra ECP 3d for through-silicon-via, or tsv, and Ultra ECP map, or Multi-Anode Partial Plating, technology for front-end wafer fabrication processes.</w:t>
      </w:r>
    </w:p>
    <w:p>
      <w:pPr>
        <w:spacing w:after="0" w:line="156" w:lineRule="exact"/>
        <w:rPr>
          <w:sz w:val="20"/>
          <w:szCs w:val="20"/>
          <w:color w:val="auto"/>
        </w:rPr>
      </w:pPr>
    </w:p>
    <w:p>
      <w:pPr>
        <w:jc w:val="both"/>
        <w:ind w:left="10"/>
        <w:spacing w:after="0" w:line="278" w:lineRule="auto"/>
        <w:rPr>
          <w:sz w:val="20"/>
          <w:szCs w:val="20"/>
          <w:color w:val="auto"/>
        </w:rPr>
      </w:pPr>
      <w:r>
        <w:rPr>
          <w:rFonts w:ascii="Arial" w:cs="Arial" w:eastAsia="Arial" w:hAnsi="Arial"/>
          <w:sz w:val="14"/>
          <w:szCs w:val="14"/>
          <w:color w:val="auto"/>
        </w:rPr>
        <w:t>We conduct a substantial majority of our product development, manufacturing, support and services in the PRC, with additional product development and subsystem production in South Korea. Substantially all of our tools are built to order at our manufacturing facilities in the Pudong region of Shanghai, which facilities now encompass a total of 236,000 square feet of floor space for production capacity, with 100,000 square feet having been added in 2021. In May 2020 ACM Shanghai, through its wholly owned subsidiary Shengwei Research (Shanghai), Inc., entered into an agreement for a land use right in the Lingang region of Shanghai. In July 2020 Shengwei Research (Shanghai), Inc. began a multi-year construction project for a new 1,000,000 square foot development and production center. that will incorporate state-of-the-art manufacturing systems and automation technologies, and will provide the floor space to support significantly increased production capacity and related research and development activities. See “Item 2. Properties” of Part I of this report.</w:t>
      </w:r>
    </w:p>
    <w:p>
      <w:pPr>
        <w:spacing w:after="0" w:line="148"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ECP, furnace and other technologies, and enable us to design innovative products and solutions to address their needs.</w:t>
      </w:r>
    </w:p>
    <w:p>
      <w:pPr>
        <w:spacing w:after="0" w:line="31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55" w:name="page56"/>
    <w:bookmarkEnd w:id="55"/>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STAR Market Listing and IPO</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5"/>
          <w:szCs w:val="15"/>
          <w:color w:val="auto"/>
        </w:rPr>
        <w:t>On November 18, 2021, ACM’s operating subsidiary ACM Shanghai completed:</w:t>
      </w:r>
    </w:p>
    <w:p>
      <w:pPr>
        <w:spacing w:after="0" w:line="190" w:lineRule="exact"/>
        <w:rPr>
          <w:sz w:val="20"/>
          <w:szCs w:val="20"/>
          <w:color w:val="auto"/>
        </w:rPr>
      </w:pPr>
    </w:p>
    <w:p>
      <w:pPr>
        <w:ind w:left="410" w:hanging="410"/>
        <w:spacing w:after="0"/>
        <w:tabs>
          <w:tab w:leader="none" w:pos="41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 listing, which we refer to as the STAR Listing, of shares of ACM Shanghai on the Shanghai Stock Exchange’s Sci-Tech innovAtion boaRd, known as the STAR Market; and</w:t>
      </w:r>
    </w:p>
    <w:p>
      <w:pPr>
        <w:spacing w:after="0" w:line="29" w:lineRule="exact"/>
        <w:rPr>
          <w:rFonts w:ascii="Arial" w:cs="Arial" w:eastAsia="Arial" w:hAnsi="Arial"/>
          <w:sz w:val="14"/>
          <w:szCs w:val="14"/>
          <w:color w:val="auto"/>
        </w:rPr>
      </w:pPr>
    </w:p>
    <w:p>
      <w:pPr>
        <w:ind w:left="410" w:right="20" w:hanging="410"/>
        <w:spacing w:after="0" w:line="263" w:lineRule="auto"/>
        <w:tabs>
          <w:tab w:leader="none" w:pos="41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concurrent initial public offering, which we refer to as the STAR IPO, of ACM Shanghai shares in the PRC, at a pre-offering valuation of not less than RMB 5.15 billion ($747.1 million).</w:t>
      </w:r>
    </w:p>
    <w:p>
      <w:pPr>
        <w:spacing w:after="0" w:line="156" w:lineRule="exact"/>
        <w:rPr>
          <w:sz w:val="20"/>
          <w:szCs w:val="20"/>
          <w:color w:val="auto"/>
        </w:rPr>
      </w:pPr>
    </w:p>
    <w:p>
      <w:pPr>
        <w:ind w:left="10" w:right="320"/>
        <w:spacing w:after="0" w:line="260" w:lineRule="auto"/>
        <w:rPr>
          <w:sz w:val="20"/>
          <w:szCs w:val="20"/>
          <w:color w:val="auto"/>
        </w:rPr>
      </w:pPr>
      <w:r>
        <w:rPr>
          <w:rFonts w:ascii="Arial" w:cs="Arial" w:eastAsia="Arial" w:hAnsi="Arial"/>
          <w:sz w:val="15"/>
          <w:szCs w:val="15"/>
          <w:color w:val="auto"/>
        </w:rPr>
        <w:t>Following the completion of the STAR IPO, ACM Shanghai’s began trading on the STAR Market under the stock code 688082. In the STAR IPO, ACM Shanghai issued 43,355,753 shares, representing ten percent of the total 433,557,100 shares outstanding after the STAR IPO. The shares were issued at a public offering price of RMB 85.00 per share, and the proceeds of the STAR IPO totaled approximately $545.5 million, net of fees and expenses. Upon completion of the STAR IPO, ACM owned approximately 82.5% of the outstanding ACM Shanghai shares. The net proceeds of the STAR IPO are expected to be used to fund:</w:t>
      </w:r>
    </w:p>
    <w:p>
      <w:pPr>
        <w:spacing w:after="0" w:line="158" w:lineRule="exact"/>
        <w:rPr>
          <w:sz w:val="20"/>
          <w:szCs w:val="20"/>
          <w:color w:val="auto"/>
        </w:rPr>
      </w:pPr>
    </w:p>
    <w:p>
      <w:pPr>
        <w:ind w:left="410" w:hanging="410"/>
        <w:spacing w:after="0"/>
        <w:tabs>
          <w:tab w:leader="none" w:pos="41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land lease for, and construction of, ACM Shanghai’s proposed development and production center in the Lingang region of Shanghai;</w:t>
      </w:r>
    </w:p>
    <w:p>
      <w:pPr>
        <w:spacing w:after="0" w:line="17" w:lineRule="exact"/>
        <w:rPr>
          <w:rFonts w:ascii="Arial" w:cs="Arial" w:eastAsia="Arial" w:hAnsi="Arial"/>
          <w:sz w:val="15"/>
          <w:szCs w:val="15"/>
          <w:color w:val="auto"/>
        </w:rPr>
      </w:pPr>
    </w:p>
    <w:p>
      <w:pPr>
        <w:jc w:val="both"/>
        <w:ind w:left="410" w:hanging="410"/>
        <w:spacing w:after="0" w:line="269" w:lineRule="auto"/>
        <w:tabs>
          <w:tab w:leader="none" w:pos="41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product development to upgrade and expand our process equipment targeted at more advanced process nodes, including technical improvement and development of TEBO megasonic cleaning equipment, Tahoe single wafer wet bench combined cleaning equipment, front-end brush scrubbing equipment, auto bench and backside cleaning equipment, electroplating equipment, stress free polish equipment, vertical furnace equipment, and additional new products to expand our product portfolio; and</w:t>
      </w:r>
    </w:p>
    <w:p>
      <w:pPr>
        <w:spacing w:after="0" w:line="1" w:lineRule="exact"/>
        <w:rPr>
          <w:rFonts w:ascii="Arial" w:cs="Arial" w:eastAsia="Arial" w:hAnsi="Arial"/>
          <w:sz w:val="14"/>
          <w:szCs w:val="14"/>
          <w:color w:val="auto"/>
        </w:rPr>
      </w:pPr>
    </w:p>
    <w:p>
      <w:pPr>
        <w:ind w:left="410" w:hanging="410"/>
        <w:spacing w:after="0"/>
        <w:tabs>
          <w:tab w:leader="none" w:pos="410" w:val="left"/>
        </w:tabs>
        <w:numPr>
          <w:ilvl w:val="0"/>
          <w:numId w:val="52"/>
        </w:numPr>
        <w:rPr>
          <w:rFonts w:ascii="Arial" w:cs="Arial" w:eastAsia="Arial" w:hAnsi="Arial"/>
          <w:sz w:val="15"/>
          <w:szCs w:val="15"/>
          <w:color w:val="auto"/>
        </w:rPr>
      </w:pPr>
      <w:r>
        <w:rPr>
          <w:rFonts w:ascii="Arial" w:cs="Arial" w:eastAsia="Arial" w:hAnsi="Arial"/>
          <w:sz w:val="15"/>
          <w:szCs w:val="15"/>
          <w:color w:val="auto"/>
        </w:rPr>
        <w:t>working capital.</w:t>
      </w:r>
    </w:p>
    <w:p>
      <w:pPr>
        <w:spacing w:after="0" w:line="180"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We believe the STAR Listing will help us scale our business in mainland PRC, as we continue to seek to broaden our markets in Europe, Japan, South Korea, Taiwan and the United States. Our global headquarters will continue to be located in Fremont, California, and we are committed to maintaining the listing of Class A common stock on the Nasdaq Global Market.</w:t>
      </w:r>
    </w:p>
    <w:p>
      <w:pPr>
        <w:spacing w:after="0" w:line="15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COVID–19 Pandemic</w:t>
      </w:r>
    </w:p>
    <w:p>
      <w:pPr>
        <w:spacing w:after="0" w:line="194" w:lineRule="exact"/>
        <w:rPr>
          <w:sz w:val="20"/>
          <w:szCs w:val="20"/>
          <w:color w:val="auto"/>
        </w:rPr>
      </w:pPr>
    </w:p>
    <w:p>
      <w:pPr>
        <w:jc w:val="both"/>
        <w:ind w:left="10"/>
        <w:spacing w:after="0" w:line="255" w:lineRule="auto"/>
        <w:rPr>
          <w:sz w:val="20"/>
          <w:szCs w:val="20"/>
          <w:color w:val="auto"/>
        </w:rPr>
      </w:pPr>
      <w:r>
        <w:rPr>
          <w:rFonts w:ascii="Arial" w:cs="Arial" w:eastAsia="Arial" w:hAnsi="Arial"/>
          <w:sz w:val="15"/>
          <w:szCs w:val="15"/>
          <w:color w:val="auto"/>
        </w:rPr>
        <w:t>Following its initial outbreak in December 2019, COVID–19, or the coronavirus, spread across the PRC, the United States and globally. The COVID–19 pandemic has affected our business and operating results since the first quarter of 2020. Since that time, our personnel have been largely unable to travel between our offices in the United States and our facilities in the PRC has been and will likely continue to be restricted, which has and may continue to impact our ability to effectively operate our company and to oversee our operations. The COVID–19 situation continues to evolve, and it is impossible for us to predict the effect and ultimate impact of the COVID–19 pandemic on our business operations and results. We continue to monitor the impact of the COVID-19 pandemic on all aspects of our business, including our operations, customers, suppliers and projects. While the ongoing regulatory measures instituted or recommended in response to COVID–19 are expected to be temporary, the duration of the business disruptions, and related financial impact, of the pandemic cannot be estimated at this time. For an explanation of some of the risks we potentially face, please read carefully the information provided under “Item 1A. Risk Factors—Risks Related to the COVID–19 Pandemic,” of part I of this report.</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following summary reflects our expectations and estimates based on information known to us as of the date of this filing:</w:t>
      </w:r>
    </w:p>
    <w:p>
      <w:pPr>
        <w:spacing w:after="0" w:line="34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56" w:name="page57"/>
    <w:bookmarkEnd w:id="56"/>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410" w:hanging="410"/>
        <w:spacing w:after="0" w:line="254" w:lineRule="auto"/>
        <w:tabs>
          <w:tab w:leader="none" w:pos="41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Operations</w:t>
      </w:r>
      <w:r>
        <w:rPr>
          <w:rFonts w:ascii="Arial" w:cs="Arial" w:eastAsia="Arial" w:hAnsi="Arial"/>
          <w:sz w:val="15"/>
          <w:szCs w:val="15"/>
          <w:color w:val="auto"/>
        </w:rPr>
        <w:t>: We conduct substantially all of our product development, manufacturing, support and services in the PRC, and those activities have been directly impacted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COVID–19 pandemic and related restrictions on transportation and public appearances. Currently substantially all of our staff have returned to work at both of our Shanghai facilities. To date we have not experienced absenteeism of management or other key employees, other than certain of our executive officers being delayed in traveling back to the PRC when working from our California office. Our corporate headquarters are located in Alameda County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w:t>
      </w:r>
    </w:p>
    <w:p>
      <w:pPr>
        <w:jc w:val="both"/>
        <w:ind w:left="410" w:hanging="410"/>
        <w:spacing w:after="0" w:line="269" w:lineRule="auto"/>
        <w:tabs>
          <w:tab w:leader="none" w:pos="41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 xml:space="preserve">Customers: </w:t>
      </w:r>
      <w:r>
        <w:rPr>
          <w:rFonts w:ascii="Arial" w:cs="Arial" w:eastAsia="Arial" w:hAnsi="Arial"/>
          <w:sz w:val="14"/>
          <w:szCs w:val="14"/>
          <w:color w:val="auto"/>
        </w:rPr>
        <w:t>Our customers’ business operations have been, and are continuing to be, subject to business interruptions arising from the COVID–19 pandemic. Historically a</w:t>
      </w:r>
      <w:r>
        <w:rPr>
          <w:rFonts w:ascii="Arial" w:cs="Arial" w:eastAsia="Arial" w:hAnsi="Arial"/>
          <w:sz w:val="14"/>
          <w:szCs w:val="14"/>
          <w:i w:val="1"/>
          <w:iCs w:val="1"/>
          <w:color w:val="auto"/>
        </w:rPr>
        <w:t xml:space="preserve"> </w:t>
      </w:r>
      <w:r>
        <w:rPr>
          <w:rFonts w:ascii="Arial" w:cs="Arial" w:eastAsia="Arial" w:hAnsi="Arial"/>
          <w:sz w:val="14"/>
          <w:szCs w:val="14"/>
          <w:color w:val="auto"/>
        </w:rPr>
        <w:t>majority of our revenue has been derived from customers located in the PRC and surrounding areas that have been impacted by COVID–19. Two customers that accounted for 48.9% of our revenue in 2021 are based in the PRC, and three customers that accounted for 75.8% of our revenue in 2020, and 73.8% of our revenue in 2019 are based in the PRC and South Korea. One of those customers, Yangtze Memory Technologies Co., Ltd. — which accounted for 20.2% of our 2021 revenue, 26.8% of our 2020 revenue, and 27.5% of our 2019 revenue — is based in Wuhan. While Yangtze Memory Technologies Co., Ltd. and other key customers continued to operate their fabrication facilities without interruption during and after the first quarter of 2020, have been forced to restrict access of service personnel and deliveries to and from their facilities. We have experienced longer and in some cases more costly shipping expenses in the delivery of tools to certain customers.</w:t>
      </w:r>
    </w:p>
    <w:p>
      <w:pPr>
        <w:spacing w:after="0" w:line="3" w:lineRule="exact"/>
        <w:rPr>
          <w:rFonts w:ascii="Arial" w:cs="Arial" w:eastAsia="Arial" w:hAnsi="Arial"/>
          <w:sz w:val="14"/>
          <w:szCs w:val="14"/>
          <w:color w:val="auto"/>
        </w:rPr>
      </w:pPr>
    </w:p>
    <w:p>
      <w:pPr>
        <w:jc w:val="both"/>
        <w:ind w:left="410" w:hanging="410"/>
        <w:spacing w:after="0" w:line="251" w:lineRule="auto"/>
        <w:tabs>
          <w:tab w:leader="none" w:pos="41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Suppliers</w:t>
      </w:r>
      <w:r>
        <w:rPr>
          <w:rFonts w:ascii="Arial" w:cs="Arial" w:eastAsia="Arial" w:hAnsi="Arial"/>
          <w:sz w:val="15"/>
          <w:szCs w:val="15"/>
          <w:color w:val="auto"/>
        </w:rPr>
        <w:t>: Our global supply chain includes components sourced from the PRC, Japan, Taiwan, the United States and Europe. While, to date, we have not experienced material</w:t>
      </w:r>
      <w:r>
        <w:rPr>
          <w:rFonts w:ascii="Arial" w:cs="Arial" w:eastAsia="Arial" w:hAnsi="Arial"/>
          <w:sz w:val="15"/>
          <w:szCs w:val="15"/>
          <w:i w:val="1"/>
          <w:iCs w:val="1"/>
          <w:color w:val="auto"/>
        </w:rPr>
        <w:t xml:space="preserve"> </w:t>
      </w:r>
      <w:r>
        <w:rPr>
          <w:rFonts w:ascii="Arial" w:cs="Arial" w:eastAsia="Arial" w:hAnsi="Arial"/>
          <w:sz w:val="15"/>
          <w:szCs w:val="15"/>
          <w:color w:val="auto"/>
        </w:rPr>
        <w:t>issues with our supply chain, supply chain constraints have intensified due to COVID-19, contributing to global shortages in the supply of semiconductors and other materials used in the production of our own tools. As with our customers, we continue to be in close contact with our key suppliers to help ensure we are able to identify any potential supply issues that may arise.</w:t>
      </w:r>
    </w:p>
    <w:p>
      <w:pPr>
        <w:spacing w:after="0" w:line="2" w:lineRule="exact"/>
        <w:rPr>
          <w:rFonts w:ascii="Arial" w:cs="Arial" w:eastAsia="Arial" w:hAnsi="Arial"/>
          <w:sz w:val="15"/>
          <w:szCs w:val="15"/>
          <w:color w:val="auto"/>
        </w:rPr>
      </w:pPr>
    </w:p>
    <w:p>
      <w:pPr>
        <w:jc w:val="both"/>
        <w:ind w:left="410" w:hanging="410"/>
        <w:spacing w:after="0" w:line="255" w:lineRule="auto"/>
        <w:tabs>
          <w:tab w:leader="none" w:pos="41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Projects</w:t>
      </w:r>
      <w:r>
        <w:rPr>
          <w:rFonts w:ascii="Arial" w:cs="Arial" w:eastAsia="Arial" w:hAnsi="Arial"/>
          <w:sz w:val="15"/>
          <w:szCs w:val="15"/>
          <w:color w:val="auto"/>
        </w:rPr>
        <w:t>: Our strategy includes a number of plans to support the growth of our core business, including ACM Shanghai’s acquisition of a land use right in the Lingang area of</w:t>
      </w:r>
      <w:r>
        <w:rPr>
          <w:rFonts w:ascii="Arial" w:cs="Arial" w:eastAsia="Arial" w:hAnsi="Arial"/>
          <w:sz w:val="15"/>
          <w:szCs w:val="15"/>
          <w:i w:val="1"/>
          <w:iCs w:val="1"/>
          <w:color w:val="auto"/>
        </w:rPr>
        <w:t xml:space="preserve"> </w:t>
      </w:r>
      <w:r>
        <w:rPr>
          <w:rFonts w:ascii="Arial" w:cs="Arial" w:eastAsia="Arial" w:hAnsi="Arial"/>
          <w:sz w:val="15"/>
          <w:szCs w:val="15"/>
          <w:color w:val="auto"/>
        </w:rPr>
        <w:t>Shanghai where we began construction of a new research and development center and factory in July 2020. The extent to which COVID–19 impacts these projects will depend on future developments that are highly uncertain, but to date, the timing of these ongoing projects has not been delayed or significantly disrupted by COVID–19 or related government measures.</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Key Components of Results of Operations</w:t>
      </w:r>
    </w:p>
    <w:p>
      <w:pPr>
        <w:spacing w:after="0" w:line="194"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Revenue</w:t>
      </w:r>
    </w:p>
    <w:p>
      <w:pPr>
        <w:spacing w:after="0" w:line="190" w:lineRule="exact"/>
        <w:rPr>
          <w:sz w:val="20"/>
          <w:szCs w:val="20"/>
          <w:color w:val="auto"/>
        </w:rPr>
      </w:pPr>
    </w:p>
    <w:p>
      <w:pPr>
        <w:ind w:left="10" w:right="20"/>
        <w:spacing w:after="0" w:line="276" w:lineRule="auto"/>
        <w:rPr>
          <w:sz w:val="20"/>
          <w:szCs w:val="20"/>
          <w:color w:val="auto"/>
        </w:rPr>
      </w:pPr>
      <w:r>
        <w:rPr>
          <w:rFonts w:ascii="Arial" w:cs="Arial" w:eastAsia="Arial" w:hAnsi="Arial"/>
          <w:sz w:val="14"/>
          <w:szCs w:val="14"/>
          <w:color w:val="auto"/>
        </w:rPr>
        <w:t>We develop, manufacture and sell innovative capital equipment to the global semiconductor industry. Because we sell tools to a small number of customers and we customize those tools to fulfill the customers’ specific requirements, our revenue generation fluctuates, depending on the length of the sales, development and evaluation phases:</w:t>
      </w:r>
    </w:p>
    <w:p>
      <w:pPr>
        <w:spacing w:after="0" w:line="1" w:lineRule="exact"/>
        <w:rPr>
          <w:sz w:val="20"/>
          <w:szCs w:val="20"/>
          <w:color w:val="auto"/>
        </w:rPr>
      </w:pPr>
    </w:p>
    <w:p>
      <w:pPr>
        <w:jc w:val="both"/>
        <w:ind w:left="410" w:hanging="410"/>
        <w:spacing w:after="0" w:line="251" w:lineRule="auto"/>
        <w:tabs>
          <w:tab w:leader="none" w:pos="41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Sales and Development. </w:t>
      </w:r>
      <w:r>
        <w:rPr>
          <w:rFonts w:ascii="Arial" w:cs="Arial" w:eastAsia="Arial" w:hAnsi="Arial"/>
          <w:sz w:val="15"/>
          <w:szCs w:val="15"/>
          <w:color w:val="auto"/>
        </w:rPr>
        <w:t>During the sale process we may, depending on a prospective customer’s specifications and requirements, need to perform additional research,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reduce the need for a demonstration phase and shorten the development cycle.</w:t>
      </w:r>
    </w:p>
    <w:p>
      <w:pPr>
        <w:spacing w:after="0" w:line="3" w:lineRule="exact"/>
        <w:rPr>
          <w:rFonts w:ascii="Arial" w:cs="Arial" w:eastAsia="Arial" w:hAnsi="Arial"/>
          <w:sz w:val="15"/>
          <w:szCs w:val="15"/>
          <w:color w:val="auto"/>
        </w:rPr>
      </w:pPr>
    </w:p>
    <w:p>
      <w:pPr>
        <w:jc w:val="both"/>
        <w:ind w:left="410" w:hanging="410"/>
        <w:spacing w:after="0" w:line="277" w:lineRule="auto"/>
        <w:tabs>
          <w:tab w:leader="none" w:pos="41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Evaluation Periods. </w:t>
      </w:r>
      <w:r>
        <w:rPr>
          <w:rFonts w:ascii="Arial" w:cs="Arial" w:eastAsia="Arial" w:hAnsi="Arial"/>
          <w:sz w:val="14"/>
          <w:szCs w:val="14"/>
          <w:color w:val="auto"/>
        </w:rPr>
        <w:t>When a chip manufacturer proposes to purchase a particular type of tool from us for the first time, we offer the manufacturer an opportunity to evaluate the</w:t>
      </w:r>
      <w:r>
        <w:rPr>
          <w:rFonts w:ascii="Arial" w:cs="Arial" w:eastAsia="Arial" w:hAnsi="Arial"/>
          <w:sz w:val="14"/>
          <w:szCs w:val="14"/>
          <w:i w:val="1"/>
          <w:iCs w:val="1"/>
          <w:color w:val="auto"/>
        </w:rPr>
        <w:t xml:space="preserve"> </w:t>
      </w:r>
      <w:r>
        <w:rPr>
          <w:rFonts w:ascii="Arial" w:cs="Arial" w:eastAsia="Arial" w:hAnsi="Arial"/>
          <w:sz w:val="14"/>
          <w:szCs w:val="14"/>
          <w:color w:val="auto"/>
        </w:rPr>
        <w:t>tool for a period that can extend for 24 months or longer. In some cases, we do not receive any payment on first-time purchases until the tool is accepted. As a result, we may spend more than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30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57" w:name="page58"/>
    <w:bookmarkEnd w:id="57"/>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410" w:hanging="410"/>
        <w:spacing w:after="0" w:line="254" w:lineRule="auto"/>
        <w:tabs>
          <w:tab w:leader="none" w:pos="41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Purchase Orders. </w:t>
      </w:r>
      <w:r>
        <w:rPr>
          <w:rFonts w:ascii="Arial" w:cs="Arial" w:eastAsia="Arial" w:hAnsi="Arial"/>
          <w:sz w:val="15"/>
          <w:szCs w:val="15"/>
          <w:color w:val="auto"/>
        </w:rPr>
        <w:t>In accordance with industry practice, sales of our tools are made pursuant to purchase orders. Each purchase order from a customer for one of our tools contains</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 technical requirements intended to ensure, among other things, that the tool will be compatible with the customer’s manufacturing process line. Until a purchase order is received, we do not have a binding purchase commitment. Some of our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1" w:lineRule="exact"/>
        <w:rPr>
          <w:rFonts w:ascii="Arial" w:cs="Arial" w:eastAsia="Arial" w:hAnsi="Arial"/>
          <w:sz w:val="15"/>
          <w:szCs w:val="15"/>
          <w:color w:val="auto"/>
        </w:rPr>
      </w:pPr>
    </w:p>
    <w:p>
      <w:pPr>
        <w:jc w:val="both"/>
        <w:ind w:left="410" w:hanging="410"/>
        <w:spacing w:after="0" w:line="257" w:lineRule="auto"/>
        <w:tabs>
          <w:tab w:leader="none" w:pos="41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Fulfillment. </w:t>
      </w:r>
      <w:r>
        <w:rPr>
          <w:rFonts w:ascii="Arial" w:cs="Arial" w:eastAsia="Arial" w:hAnsi="Arial"/>
          <w:sz w:val="15"/>
          <w:szCs w:val="15"/>
          <w:color w:val="auto"/>
        </w:rPr>
        <w:t>We seek to obtain a purchase order for a tool from three to four months in advance of the expected delivery date. Depending upon the nature of a customer’s</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specifications, the lead time for production of a tool generally will extend from two to four months. The lead-time can be more than six months, however, and in some cases we may need to begin producing a tool based on a customer’s non-binding forecast, rather than waiting to receive a binding purchase order.</w:t>
      </w:r>
    </w:p>
    <w:p>
      <w:pPr>
        <w:spacing w:after="0" w:line="161"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We expect our sales prices generally to range from $0.5 million to more than $5 million for our production tools. The sales price of a particular tool will vary depending upon the required specifications. We have designed equipment models using a modular configuration that we customize to meet customers’ technical specifications. For example, our Ultra C models for SAPS, TEBO and Tahoe solutions use common modular configurations that enable us to create a wet-cleaning tool meeting a customer’s specific requirements, while using pre-existing designs for chamber, electrical, chemical delivery and other modules.</w:t>
      </w:r>
    </w:p>
    <w:p>
      <w:pPr>
        <w:spacing w:after="0" w:line="158"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Because of the relatively large purchase prices of our tools, customers generally pay in installments. For a customer’s repeat purchase of a particular type of tool, the specific payment terms are negotiated in connection with acceptance milestones of a purchase order. Based on our limited experience with repeat sales of our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158" w:lineRule="exact"/>
        <w:rPr>
          <w:sz w:val="20"/>
          <w:szCs w:val="20"/>
          <w:color w:val="auto"/>
        </w:rPr>
      </w:pPr>
    </w:p>
    <w:p>
      <w:pPr>
        <w:jc w:val="both"/>
        <w:ind w:left="10"/>
        <w:spacing w:after="0" w:line="255"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We expect that the period from new product introduction to high volume manufacturing will be three years or less in the future. Please see “Item 1A.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65"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color w:val="auto"/>
        </w:rPr>
        <w:t>Substantially all of our sales in 2021, 2020 and 2019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46"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 xml:space="preserve">We utilize the guidance set forth in Accounting Standards Update, or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of the Financial Accounting Standards Board, or FASB, regarding the recognition, presentation and disclosure of revenue in our financial statements as described below under “—Critical Accounting Estimates—Revenue Recognition.”</w:t>
      </w:r>
    </w:p>
    <w:p>
      <w:pPr>
        <w:spacing w:after="0" w:line="155" w:lineRule="exact"/>
        <w:rPr>
          <w:sz w:val="20"/>
          <w:szCs w:val="20"/>
          <w:color w:val="auto"/>
        </w:rPr>
      </w:pPr>
    </w:p>
    <w:p>
      <w:pPr>
        <w:jc w:val="both"/>
        <w:ind w:left="10"/>
        <w:spacing w:after="0" w:line="278" w:lineRule="auto"/>
        <w:rPr>
          <w:sz w:val="20"/>
          <w:szCs w:val="20"/>
          <w:color w:val="auto"/>
        </w:rPr>
      </w:pPr>
      <w:r>
        <w:rPr>
          <w:rFonts w:ascii="Arial" w:cs="Arial" w:eastAsia="Arial" w:hAnsi="Arial"/>
          <w:sz w:val="14"/>
          <w:szCs w:val="14"/>
          <w:color w:val="auto"/>
        </w:rPr>
        <w:t>We offer extended maintenance service contracts to provide services such as trouble-shooting or fine-tuning tools, and installing spare parts, following expiration of applicable initial standard assurance type warranty coverage periods, which for sales to date have extended from 12 to 36 months as described under “—Critical Accounting Estimates—Warranty.” A limited number of the single-wafer wet cleaning tools we have sold to date are no longer covered by their initial warranties. In 2021, 2020 and 2019, we received payments for parts and labor for service activities provided from time to time, but as of December 31, 2021 we had not yet entered into extended maintenance service contracts with respect to the substantial majority of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30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58" w:name="page59"/>
    <w:bookmarkEnd w:id="58"/>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301" w:lineRule="auto"/>
        <w:rPr>
          <w:sz w:val="20"/>
          <w:szCs w:val="20"/>
          <w:color w:val="auto"/>
        </w:rPr>
      </w:pPr>
      <w:r>
        <w:rPr>
          <w:rFonts w:ascii="Arial" w:cs="Arial" w:eastAsia="Arial" w:hAnsi="Arial"/>
          <w:sz w:val="13"/>
          <w:szCs w:val="13"/>
          <w:color w:val="auto"/>
        </w:rPr>
        <w:t>The loss or delay of one or more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w:t>
      </w:r>
    </w:p>
    <w:p>
      <w:pPr>
        <w:spacing w:after="0" w:line="136"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Cost of Revenue</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15"/>
          <w:szCs w:val="15"/>
          <w:color w:val="auto"/>
        </w:rPr>
        <w:t>Cost of revenue for capital equipment consists primarily of:</w:t>
      </w:r>
    </w:p>
    <w:p>
      <w:pPr>
        <w:spacing w:after="0" w:line="18" w:lineRule="exact"/>
        <w:rPr>
          <w:sz w:val="20"/>
          <w:szCs w:val="20"/>
          <w:color w:val="auto"/>
        </w:rPr>
      </w:pPr>
    </w:p>
    <w:p>
      <w:pPr>
        <w:ind w:left="410" w:hanging="410"/>
        <w:spacing w:after="0"/>
        <w:tabs>
          <w:tab w:leader="none" w:pos="41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direct costs, which consist principally of costs of tool components and subassemblies purchased from third-party vendors;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compensation of personnel associated with our manufacturing operations, including stock-based compensation;</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depreciation of manufacturing equipment;</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amortization of costs of software used for manufacturing purposes;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other expenses attributable to our manufacturing department;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allocated overhead for rent and utilities.</w:t>
      </w:r>
    </w:p>
    <w:p>
      <w:pPr>
        <w:spacing w:after="0" w:line="18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We are not party to any long-term purchasing agreements with suppliers. Please see “Item 1A. Risk Factors—Risks Related to Our Business and Our Industry—Our customers do not enter into long-term purchase commitments, and they may decrease, cancel or delay their projected purchases at any time.”</w:t>
      </w:r>
    </w:p>
    <w:p>
      <w:pPr>
        <w:spacing w:after="0" w:line="146"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155"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Gross Margin</w:t>
      </w:r>
    </w:p>
    <w:p>
      <w:pPr>
        <w:spacing w:after="0" w:line="190"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Our gross margin was 44.2% in 2021, 44.4% in 2020, and 47.1% in 2019. Gross margin varies from period to period, primarily related to the level of utilization and the timing and mix of purchase orders. We expect gross margin to range between 40% and 45% for the foreseeable future, with direct manufacturing costs approximating 50% to 55% of revenue and overhead costs totaling approximately 5% of revenue.</w:t>
      </w:r>
    </w:p>
    <w:p>
      <w:pPr>
        <w:spacing w:after="0" w:line="155" w:lineRule="exact"/>
        <w:rPr>
          <w:sz w:val="20"/>
          <w:szCs w:val="20"/>
          <w:color w:val="auto"/>
        </w:rPr>
      </w:pPr>
    </w:p>
    <w:p>
      <w:pPr>
        <w:jc w:val="both"/>
        <w:ind w:left="10" w:right="20"/>
        <w:spacing w:after="0" w:line="260" w:lineRule="auto"/>
        <w:rPr>
          <w:sz w:val="20"/>
          <w:szCs w:val="20"/>
          <w:color w:val="auto"/>
        </w:rPr>
      </w:pPr>
      <w:r>
        <w:rPr>
          <w:rFonts w:ascii="Arial" w:cs="Arial" w:eastAsia="Arial" w:hAnsi="Arial"/>
          <w:sz w:val="15"/>
          <w:szCs w:val="15"/>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31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59" w:name="page60"/>
    <w:bookmarkEnd w:id="59"/>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A significant portion of our raw materials are denominated in the RMB, while the majority of our purchase orders are denominated in U.S. dollars. As a result, currency exchange rates may have a significant effect on our gross margin.</w:t>
      </w:r>
    </w:p>
    <w:p>
      <w:pPr>
        <w:spacing w:after="0" w:line="146"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90" w:lineRule="exact"/>
        <w:rPr>
          <w:sz w:val="20"/>
          <w:szCs w:val="20"/>
          <w:color w:val="auto"/>
        </w:rPr>
      </w:pPr>
    </w:p>
    <w:p>
      <w:pPr>
        <w:ind w:left="10" w:right="20"/>
        <w:spacing w:after="0" w:line="276" w:lineRule="auto"/>
        <w:rPr>
          <w:sz w:val="20"/>
          <w:szCs w:val="20"/>
          <w:color w:val="auto"/>
        </w:rPr>
      </w:pPr>
      <w:r>
        <w:rPr>
          <w:rFonts w:ascii="Arial" w:cs="Arial" w:eastAsia="Arial" w:hAnsi="Arial"/>
          <w:sz w:val="15"/>
          <w:szCs w:val="15"/>
          <w:color w:val="auto"/>
        </w:rPr>
        <w:t>We have experienced, and expect to continue to experience, growth in the absolute dollar amount of our operating expenses, as we invest to support the anticipated growth of our customer base and the continued development of proprietary technologies.</w:t>
      </w:r>
    </w:p>
    <w:p>
      <w:pPr>
        <w:spacing w:after="0" w:line="142" w:lineRule="exact"/>
        <w:rPr>
          <w:sz w:val="20"/>
          <w:szCs w:val="20"/>
          <w:color w:val="auto"/>
        </w:rPr>
      </w:pPr>
    </w:p>
    <w:p>
      <w:pPr>
        <w:ind w:left="550"/>
        <w:spacing w:after="0"/>
        <w:rPr>
          <w:sz w:val="20"/>
          <w:szCs w:val="20"/>
          <w:color w:val="auto"/>
        </w:rPr>
      </w:pPr>
      <w:r>
        <w:rPr>
          <w:rFonts w:ascii="Arial" w:cs="Arial" w:eastAsia="Arial" w:hAnsi="Arial"/>
          <w:sz w:val="15"/>
          <w:szCs w:val="15"/>
          <w:b w:val="1"/>
          <w:bCs w:val="1"/>
          <w:u w:val="single" w:color="auto"/>
          <w:color w:val="auto"/>
        </w:rPr>
        <w:t>Sales and Marketing</w:t>
      </w:r>
    </w:p>
    <w:p>
      <w:pPr>
        <w:spacing w:after="0" w:line="194" w:lineRule="exact"/>
        <w:rPr>
          <w:sz w:val="20"/>
          <w:szCs w:val="20"/>
          <w:color w:val="auto"/>
        </w:rPr>
      </w:pPr>
    </w:p>
    <w:p>
      <w:pPr>
        <w:ind w:left="10" w:right="20"/>
        <w:spacing w:after="0" w:line="258" w:lineRule="auto"/>
        <w:rPr>
          <w:sz w:val="20"/>
          <w:szCs w:val="20"/>
          <w:color w:val="auto"/>
        </w:rPr>
      </w:pPr>
      <w:r>
        <w:rPr>
          <w:rFonts w:ascii="Arial" w:cs="Arial" w:eastAsia="Arial" w:hAnsi="Arial"/>
          <w:sz w:val="15"/>
          <w:szCs w:val="15"/>
          <w:color w:val="auto"/>
        </w:rPr>
        <w:t>Sales and marketing expense accounted for 10.3% of our revenue in 2021, 10.7% of our revenue in 2020, and 11.1% of our revenue in 2019. Sales and marketing expense consists primarily of:</w:t>
      </w:r>
    </w:p>
    <w:p>
      <w:pPr>
        <w:spacing w:after="0" w:line="1" w:lineRule="exact"/>
        <w:rPr>
          <w:sz w:val="20"/>
          <w:szCs w:val="20"/>
          <w:color w:val="auto"/>
        </w:rPr>
      </w:pPr>
    </w:p>
    <w:p>
      <w:pPr>
        <w:ind w:left="410" w:hanging="410"/>
        <w:spacing w:after="0"/>
        <w:tabs>
          <w:tab w:leader="none" w:pos="41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compensation of personnel associated with pre- and after-sales support and other sales and marketing activities, including stock-based compensation;</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7"/>
        </w:numPr>
        <w:rPr>
          <w:rFonts w:ascii="Arial" w:cs="Arial" w:eastAsia="Arial" w:hAnsi="Arial"/>
          <w:sz w:val="15"/>
          <w:szCs w:val="15"/>
          <w:color w:val="auto"/>
        </w:rPr>
      </w:pPr>
      <w:r>
        <w:rPr>
          <w:rFonts w:ascii="Arial" w:cs="Arial" w:eastAsia="Arial" w:hAnsi="Arial"/>
          <w:sz w:val="15"/>
          <w:szCs w:val="15"/>
          <w:color w:val="auto"/>
        </w:rPr>
        <w:t>sales commissions paid to independent sales representatives;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7"/>
        </w:numPr>
        <w:rPr>
          <w:rFonts w:ascii="Arial" w:cs="Arial" w:eastAsia="Arial" w:hAnsi="Arial"/>
          <w:sz w:val="15"/>
          <w:szCs w:val="15"/>
          <w:color w:val="auto"/>
        </w:rPr>
      </w:pPr>
      <w:r>
        <w:rPr>
          <w:rFonts w:ascii="Arial" w:cs="Arial" w:eastAsia="Arial" w:hAnsi="Arial"/>
          <w:sz w:val="15"/>
          <w:szCs w:val="15"/>
          <w:color w:val="auto"/>
        </w:rPr>
        <w:t>fees paid to sales consultants;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cost of trade shows;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travel and entertainment;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allocated overhead for rent and utilities.</w:t>
      </w:r>
    </w:p>
    <w:p>
      <w:pPr>
        <w:spacing w:after="0" w:line="18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46" w:lineRule="exact"/>
        <w:rPr>
          <w:sz w:val="20"/>
          <w:szCs w:val="20"/>
          <w:color w:val="auto"/>
        </w:rPr>
      </w:pPr>
    </w:p>
    <w:p>
      <w:pPr>
        <w:jc w:val="both"/>
        <w:ind w:left="10" w:right="20"/>
        <w:spacing w:after="0" w:line="264" w:lineRule="auto"/>
        <w:rPr>
          <w:sz w:val="20"/>
          <w:szCs w:val="20"/>
          <w:color w:val="auto"/>
        </w:rPr>
      </w:pPr>
      <w:r>
        <w:rPr>
          <w:rFonts w:ascii="Arial" w:cs="Arial" w:eastAsia="Arial" w:hAnsi="Arial"/>
          <w:sz w:val="15"/>
          <w:szCs w:val="15"/>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155" w:lineRule="exact"/>
        <w:rPr>
          <w:sz w:val="20"/>
          <w:szCs w:val="20"/>
          <w:color w:val="auto"/>
        </w:rPr>
      </w:pPr>
    </w:p>
    <w:p>
      <w:pPr>
        <w:jc w:val="both"/>
        <w:ind w:left="10" w:right="20"/>
        <w:spacing w:after="0" w:line="260" w:lineRule="auto"/>
        <w:rPr>
          <w:sz w:val="20"/>
          <w:szCs w:val="20"/>
          <w:color w:val="auto"/>
        </w:rPr>
      </w:pPr>
      <w:r>
        <w:rPr>
          <w:rFonts w:ascii="Arial" w:cs="Arial" w:eastAsia="Arial" w:hAnsi="Arial"/>
          <w:sz w:val="15"/>
          <w:szCs w:val="15"/>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154" w:lineRule="exact"/>
        <w:rPr>
          <w:sz w:val="20"/>
          <w:szCs w:val="20"/>
          <w:color w:val="auto"/>
        </w:rPr>
      </w:pPr>
    </w:p>
    <w:p>
      <w:pPr>
        <w:ind w:left="550"/>
        <w:spacing w:after="0"/>
        <w:rPr>
          <w:sz w:val="20"/>
          <w:szCs w:val="20"/>
          <w:color w:val="auto"/>
        </w:rPr>
      </w:pPr>
      <w:r>
        <w:rPr>
          <w:rFonts w:ascii="Arial" w:cs="Arial" w:eastAsia="Arial" w:hAnsi="Arial"/>
          <w:sz w:val="15"/>
          <w:szCs w:val="15"/>
          <w:b w:val="1"/>
          <w:bCs w:val="1"/>
          <w:u w:val="single" w:color="auto"/>
          <w:color w:val="auto"/>
        </w:rPr>
        <w:t>Research and Development</w:t>
      </w:r>
    </w:p>
    <w:p>
      <w:pPr>
        <w:spacing w:after="0" w:line="194"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Research and development expense accounted for 13.2% of our revenue in 2021, 12.2% of our revenue in 2020 and 12.0% of our revenue in 2019. Research and development expense relates to the development of new products and processes and encompasses our research, development and customer support activities. Research and development expense consists primarily of:</w:t>
      </w:r>
    </w:p>
    <w:p>
      <w:pPr>
        <w:ind w:left="410" w:hanging="410"/>
        <w:spacing w:after="0"/>
        <w:tabs>
          <w:tab w:leader="none" w:pos="41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compensation of personnel associated with our research and development activities, including stock-based compensation;</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costs of components and other research and development supplies;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travel expense associated with customer support;</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60" w:name="page61"/>
    <w:bookmarkEnd w:id="60"/>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tabs>
          <w:tab w:leader="none" w:pos="41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amortization of costs of software used for research and development purposes; and</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allocated overhead for rent and utilities.</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14"/>
          <w:szCs w:val="14"/>
          <w:color w:val="auto"/>
        </w:rPr>
        <w:t>Some of our research and development has been funded by grants from the PRC government, as described in “—PRC Government Research and Development Funding” below.</w:t>
      </w:r>
    </w:p>
    <w:p>
      <w:pPr>
        <w:spacing w:after="0" w:line="201"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We expect that, for the foreseeable future, research and development expense will increase in absolute dollars and will increase to a higher percentage of revenue than incurred in 2021, as we continue to invest in research and development to advance our technologies. We intend to continue to invest in research and development to support and enhance our cleaning, plating, advanced packaging, furnace and future product offerings to build and maintain our technology leadership position.</w:t>
      </w:r>
    </w:p>
    <w:p>
      <w:pPr>
        <w:spacing w:after="0" w:line="151" w:lineRule="exact"/>
        <w:rPr>
          <w:sz w:val="20"/>
          <w:szCs w:val="20"/>
          <w:color w:val="auto"/>
        </w:rPr>
      </w:pPr>
    </w:p>
    <w:p>
      <w:pPr>
        <w:ind w:left="550"/>
        <w:spacing w:after="0"/>
        <w:rPr>
          <w:sz w:val="20"/>
          <w:szCs w:val="20"/>
          <w:color w:val="auto"/>
        </w:rPr>
      </w:pPr>
      <w:r>
        <w:rPr>
          <w:rFonts w:ascii="Arial" w:cs="Arial" w:eastAsia="Arial" w:hAnsi="Arial"/>
          <w:sz w:val="15"/>
          <w:szCs w:val="15"/>
          <w:b w:val="1"/>
          <w:bCs w:val="1"/>
          <w:u w:val="single" w:color="auto"/>
          <w:color w:val="auto"/>
        </w:rPr>
        <w:t>General and Administrative</w:t>
      </w:r>
    </w:p>
    <w:p>
      <w:pPr>
        <w:spacing w:after="0" w:line="194"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General and administrative expense accounted for 5.9% of our revenue in 2021, 7.8% of our revenue in 2020, and 7.5% of our revenue in 2019. General and administrative expense consists primarily of:</w:t>
      </w:r>
    </w:p>
    <w:p>
      <w:pPr>
        <w:spacing w:after="0" w:line="1" w:lineRule="exact"/>
        <w:rPr>
          <w:sz w:val="20"/>
          <w:szCs w:val="20"/>
          <w:color w:val="auto"/>
        </w:rPr>
      </w:pPr>
    </w:p>
    <w:p>
      <w:pPr>
        <w:ind w:left="410" w:hanging="410"/>
        <w:spacing w:after="0"/>
        <w:tabs>
          <w:tab w:leader="none" w:pos="41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compensation of executive, accounting and finance, human resources, information technology, and other administrative personnel, including stock-based compensation;</w:t>
      </w:r>
    </w:p>
    <w:p>
      <w:pPr>
        <w:spacing w:after="0" w:line="20" w:lineRule="exact"/>
        <w:rPr>
          <w:rFonts w:ascii="Arial" w:cs="Arial" w:eastAsia="Arial" w:hAnsi="Arial"/>
          <w:sz w:val="14"/>
          <w:szCs w:val="14"/>
          <w:color w:val="auto"/>
        </w:rPr>
      </w:pPr>
    </w:p>
    <w:p>
      <w:pPr>
        <w:ind w:left="410" w:hanging="410"/>
        <w:spacing w:after="0"/>
        <w:tabs>
          <w:tab w:leader="none" w:pos="41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professional fees, including accounting and legal fees;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other corporate expenses;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allocated overhead for rent and utilities.</w:t>
      </w:r>
    </w:p>
    <w:p>
      <w:pPr>
        <w:spacing w:after="0" w:line="180" w:lineRule="exact"/>
        <w:rPr>
          <w:sz w:val="20"/>
          <w:szCs w:val="20"/>
          <w:color w:val="auto"/>
        </w:rPr>
      </w:pPr>
    </w:p>
    <w:p>
      <w:pPr>
        <w:ind w:left="10" w:right="20"/>
        <w:spacing w:after="0" w:line="276" w:lineRule="auto"/>
        <w:rPr>
          <w:sz w:val="20"/>
          <w:szCs w:val="20"/>
          <w:color w:val="auto"/>
        </w:rPr>
      </w:pPr>
      <w:r>
        <w:rPr>
          <w:rFonts w:ascii="Arial" w:cs="Arial" w:eastAsia="Arial" w:hAnsi="Arial"/>
          <w:sz w:val="15"/>
          <w:szCs w:val="15"/>
          <w:color w:val="auto"/>
        </w:rPr>
        <w:t>We expect that, for the foreseeable future, general and administrative expense will increase in absolute dollars, as we incur additional costs associated with growing our business and operating as a public company.</w:t>
      </w:r>
    </w:p>
    <w:p>
      <w:pPr>
        <w:spacing w:after="0" w:line="142" w:lineRule="exact"/>
        <w:rPr>
          <w:sz w:val="20"/>
          <w:szCs w:val="20"/>
          <w:color w:val="auto"/>
        </w:rPr>
      </w:pPr>
    </w:p>
    <w:p>
      <w:pPr>
        <w:ind w:left="550"/>
        <w:spacing w:after="0"/>
        <w:rPr>
          <w:sz w:val="20"/>
          <w:szCs w:val="20"/>
          <w:color w:val="auto"/>
        </w:rPr>
      </w:pPr>
      <w:r>
        <w:rPr>
          <w:rFonts w:ascii="Arial" w:cs="Arial" w:eastAsia="Arial" w:hAnsi="Arial"/>
          <w:sz w:val="15"/>
          <w:szCs w:val="15"/>
          <w:b w:val="1"/>
          <w:bCs w:val="1"/>
          <w:u w:val="single" w:color="auto"/>
          <w:color w:val="auto"/>
        </w:rPr>
        <w:t>Stock-Based Compensation Expense</w:t>
      </w:r>
    </w:p>
    <w:p>
      <w:pPr>
        <w:spacing w:after="0" w:line="194"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 xml:space="preserve">We grant stock options to employees and non-employee consultants and directors, and we account for those stock-based awards in accordance with ASC Topic 718, </w:t>
      </w:r>
      <w:r>
        <w:rPr>
          <w:rFonts w:ascii="Arial" w:cs="Arial" w:eastAsia="Arial" w:hAnsi="Arial"/>
          <w:sz w:val="15"/>
          <w:szCs w:val="15"/>
          <w:i w:val="1"/>
          <w:iCs w:val="1"/>
          <w:color w:val="auto"/>
        </w:rPr>
        <w:t>Compensation—Stock</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w:t>
      </w:r>
      <w:r>
        <w:rPr>
          <w:rFonts w:ascii="Arial" w:cs="Arial" w:eastAsia="Arial" w:hAnsi="Arial"/>
          <w:sz w:val="15"/>
          <w:szCs w:val="15"/>
          <w:color w:val="auto"/>
        </w:rPr>
        <w:t>.</w:t>
      </w:r>
    </w:p>
    <w:p>
      <w:pPr>
        <w:spacing w:after="0" w:line="146" w:lineRule="exact"/>
        <w:rPr>
          <w:sz w:val="20"/>
          <w:szCs w:val="20"/>
          <w:color w:val="auto"/>
        </w:rPr>
      </w:pPr>
    </w:p>
    <w:p>
      <w:pPr>
        <w:jc w:val="both"/>
        <w:ind w:left="410" w:hanging="410"/>
        <w:spacing w:after="0" w:line="255" w:lineRule="auto"/>
        <w:tabs>
          <w:tab w:leader="none" w:pos="410" w:val="left"/>
        </w:tabs>
        <w:numPr>
          <w:ilvl w:val="0"/>
          <w:numId w:val="61"/>
        </w:numPr>
        <w:rPr>
          <w:rFonts w:ascii="Arial" w:cs="Arial" w:eastAsia="Arial" w:hAnsi="Arial"/>
          <w:sz w:val="15"/>
          <w:szCs w:val="15"/>
          <w:color w:val="auto"/>
        </w:rPr>
      </w:pPr>
      <w:r>
        <w:rPr>
          <w:rFonts w:ascii="Arial" w:cs="Arial" w:eastAsia="Arial" w:hAnsi="Arial"/>
          <w:sz w:val="15"/>
          <w:szCs w:val="15"/>
          <w:color w:val="auto"/>
        </w:rPr>
        <w:t>Stock-based awards granted to employees and non-employees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service function of the employee or non-employee.</w:t>
      </w:r>
    </w:p>
    <w:p>
      <w:pPr>
        <w:ind w:left="410" w:right="20" w:hanging="410"/>
        <w:spacing w:after="0" w:line="263" w:lineRule="auto"/>
        <w:tabs>
          <w:tab w:leader="none" w:pos="410"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We also grant discounts to employees when they subscribe for the new shares of ACM Shanghai, and we account for those stock-based awards in accordance with Accounting Standards Codification, or ASC, Topic 718, </w:t>
      </w:r>
      <w:r>
        <w:rPr>
          <w:rFonts w:ascii="Arial" w:cs="Arial" w:eastAsia="Arial" w:hAnsi="Arial"/>
          <w:sz w:val="15"/>
          <w:szCs w:val="15"/>
          <w:i w:val="1"/>
          <w:iCs w:val="1"/>
          <w:color w:val="auto"/>
        </w:rPr>
        <w:t>Compensation—Stock Compensation</w:t>
      </w:r>
    </w:p>
    <w:p>
      <w:pPr>
        <w:spacing w:after="0" w:line="309"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138"/>
        </w:trPr>
        <w:tc>
          <w:tcPr>
            <w:tcW w:w="840" w:type="dxa"/>
            <w:vAlign w:val="bottom"/>
            <w:tcBorders>
              <w:bottom w:val="single" w:sz="8" w:color="0000EE"/>
            </w:tcBorders>
          </w:tcPr>
          <w:p>
            <w:pPr>
              <w:spacing w:after="0"/>
              <w:rPr>
                <w:rFonts w:ascii="Arial" w:cs="Arial" w:eastAsia="Arial" w:hAnsi="Arial"/>
                <w:sz w:val="12"/>
                <w:szCs w:val="12"/>
                <w:i w:val="1"/>
                <w:iCs w:val="1"/>
                <w:color w:val="0000EE"/>
                <w:w w:val="86"/>
              </w:rPr>
            </w:pPr>
            <w:hyperlink w:anchor="page2">
              <w:r>
                <w:rPr>
                  <w:rFonts w:ascii="Arial" w:cs="Arial" w:eastAsia="Arial" w:hAnsi="Arial"/>
                  <w:sz w:val="12"/>
                  <w:szCs w:val="12"/>
                  <w:i w:val="1"/>
                  <w:iCs w:val="1"/>
                  <w:color w:val="0000EE"/>
                  <w:w w:val="86"/>
                </w:rPr>
                <w:t>Table of Contents</w:t>
              </w:r>
            </w:hyperlink>
          </w:p>
        </w:tc>
        <w:tc>
          <w:tcPr>
            <w:tcW w:w="3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8"/>
        </w:trPr>
        <w:tc>
          <w:tcPr>
            <w:tcW w:w="7860" w:type="dxa"/>
            <w:vAlign w:val="bottom"/>
            <w:gridSpan w:val="7"/>
          </w:tcPr>
          <w:p>
            <w:pPr>
              <w:spacing w:after="0"/>
              <w:rPr>
                <w:sz w:val="20"/>
                <w:szCs w:val="20"/>
                <w:color w:val="auto"/>
              </w:rPr>
            </w:pPr>
            <w:r>
              <w:rPr>
                <w:rFonts w:ascii="Arial" w:cs="Arial" w:eastAsia="Arial" w:hAnsi="Arial"/>
                <w:sz w:val="15"/>
                <w:szCs w:val="15"/>
                <w:color w:val="auto"/>
                <w:w w:val="90"/>
              </w:rPr>
              <w:t>Cost of revenue and operating expenses during the periods presented below have included stock-based compensation as follows: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85"/>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8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2020</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361"/>
        </w:trPr>
        <w:tc>
          <w:tcPr>
            <w:tcW w:w="4300" w:type="dxa"/>
            <w:vAlign w:val="bottom"/>
            <w:gridSpan w:val="2"/>
          </w:tcPr>
          <w:p>
            <w:pPr>
              <w:spacing w:after="0"/>
              <w:rPr>
                <w:sz w:val="20"/>
                <w:szCs w:val="20"/>
                <w:color w:val="auto"/>
              </w:rPr>
            </w:pPr>
            <w:r>
              <w:rPr>
                <w:rFonts w:ascii="Arial" w:cs="Arial" w:eastAsia="Arial" w:hAnsi="Arial"/>
                <w:sz w:val="15"/>
                <w:szCs w:val="15"/>
                <w:b w:val="1"/>
                <w:bCs w:val="1"/>
                <w:color w:val="auto"/>
              </w:rPr>
              <w:t>Stock-Based Compensation Expense:</w:t>
            </w: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4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2680" w:type="dxa"/>
            <w:vAlign w:val="bottom"/>
            <w:gridSpan w:val="2"/>
            <w:shd w:val="clear" w:color="auto" w:fill="CCEEFF"/>
          </w:tcPr>
          <w:p>
            <w:pPr>
              <w:jc w:val="right"/>
              <w:ind w:right="585"/>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250</w:t>
            </w:r>
          </w:p>
        </w:tc>
      </w:tr>
      <w:tr>
        <w:trPr>
          <w:trHeight w:val="181"/>
        </w:trPr>
        <w:tc>
          <w:tcPr>
            <w:tcW w:w="4300" w:type="dxa"/>
            <w:vAlign w:val="bottom"/>
            <w:gridSpan w:val="2"/>
          </w:tcPr>
          <w:p>
            <w:pPr>
              <w:spacing w:after="0"/>
              <w:rPr>
                <w:sz w:val="20"/>
                <w:szCs w:val="20"/>
                <w:color w:val="auto"/>
              </w:rPr>
            </w:pPr>
            <w:r>
              <w:rPr>
                <w:rFonts w:ascii="Arial" w:cs="Arial" w:eastAsia="Arial" w:hAnsi="Arial"/>
                <w:sz w:val="15"/>
                <w:szCs w:val="15"/>
                <w:color w:val="auto"/>
              </w:rPr>
              <w:t>Sales and marketing expense</w:t>
            </w: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1,802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1,199</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328</w:t>
            </w:r>
          </w:p>
        </w:tc>
      </w:tr>
      <w:tr>
        <w:trPr>
          <w:trHeight w:val="181"/>
        </w:trPr>
        <w:tc>
          <w:tcPr>
            <w:tcW w:w="4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 expense</w:t>
            </w:r>
          </w:p>
        </w:tc>
        <w:tc>
          <w:tcPr>
            <w:tcW w:w="1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1,115</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763</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1,093</w:t>
            </w:r>
          </w:p>
        </w:tc>
      </w:tr>
      <w:tr>
        <w:trPr>
          <w:trHeight w:val="184"/>
        </w:trPr>
        <w:tc>
          <w:tcPr>
            <w:tcW w:w="4300" w:type="dxa"/>
            <w:vAlign w:val="bottom"/>
            <w:gridSpan w:val="2"/>
          </w:tcPr>
          <w:p>
            <w:pPr>
              <w:spacing w:after="0"/>
              <w:rPr>
                <w:sz w:val="20"/>
                <w:szCs w:val="20"/>
                <w:color w:val="auto"/>
              </w:rPr>
            </w:pPr>
            <w:r>
              <w:rPr>
                <w:rFonts w:ascii="Arial" w:cs="Arial" w:eastAsia="Arial" w:hAnsi="Arial"/>
                <w:sz w:val="15"/>
                <w:szCs w:val="15"/>
                <w:color w:val="auto"/>
              </w:rPr>
              <w:t>General and administrative expense</w:t>
            </w: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1,803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3,491</w:t>
            </w: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1,901</w:t>
            </w:r>
          </w:p>
        </w:tc>
      </w:tr>
      <w:tr>
        <w:trPr>
          <w:trHeight w:val="221"/>
        </w:trPr>
        <w:tc>
          <w:tcPr>
            <w:tcW w:w="84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5,117</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0"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recognized stock-based compensation expense to employees of $5.0 million in 2021, $5.2 million in 2020 and $2.3 million in 2019.</w:t>
      </w:r>
    </w:p>
    <w:p>
      <w:pPr>
        <w:spacing w:after="0" w:line="190"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As of December 31, 2021 and 2020, we had $9.5 million and $8.7 million, respectively, of unrecognized employee stock-based compensation expense, net of estimated forfeitures, related to unvested ACM stock-based awards. These are expected to be recognized over a weighted-average period of 1.61 years and 1.89 years, respectively. As of December 31, 2021 and 2020, we had an additional $0.5 million and $0.8 million, respectively of unrecognized employee stock-based compensation expense, net of estimated forfeitures, related to unvested ACM Shanghai stock-based awards.</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recognized stock-based compensation expense to non-employees of $0.1 million in 2021, $0.4 million in 2020, and $1.3 million in 2019.</w:t>
      </w:r>
    </w:p>
    <w:p>
      <w:pPr>
        <w:spacing w:after="0" w:line="190"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PRC Government Research and Development Funding</w:t>
      </w:r>
    </w:p>
    <w:p>
      <w:pPr>
        <w:spacing w:after="0" w:line="190" w:lineRule="exact"/>
        <w:rPr>
          <w:sz w:val="20"/>
          <w:szCs w:val="20"/>
          <w:color w:val="auto"/>
        </w:rPr>
      </w:pPr>
    </w:p>
    <w:p>
      <w:pPr>
        <w:jc w:val="both"/>
        <w:ind w:left="10"/>
        <w:spacing w:after="0" w:line="303" w:lineRule="auto"/>
        <w:rPr>
          <w:sz w:val="20"/>
          <w:szCs w:val="20"/>
          <w:color w:val="auto"/>
        </w:rPr>
      </w:pPr>
      <w:r>
        <w:rPr>
          <w:rFonts w:ascii="Arial" w:cs="Arial" w:eastAsia="Arial" w:hAnsi="Arial"/>
          <w:sz w:val="13"/>
          <w:szCs w:val="13"/>
          <w:color w:val="auto"/>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Shengwei is also required to invest certain amounts in the projects.</w:t>
      </w:r>
    </w:p>
    <w:p>
      <w:pPr>
        <w:spacing w:after="0" w:line="135"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ACM Shanghai receives. Grant amounts are recognized in our statements of operations and comprehensive income as follows:</w:t>
      </w:r>
    </w:p>
    <w:p>
      <w:pPr>
        <w:spacing w:after="0" w:line="155" w:lineRule="exact"/>
        <w:rPr>
          <w:sz w:val="20"/>
          <w:szCs w:val="20"/>
          <w:color w:val="auto"/>
        </w:rPr>
      </w:pPr>
    </w:p>
    <w:p>
      <w:pPr>
        <w:jc w:val="both"/>
        <w:ind w:left="410" w:hanging="410"/>
        <w:spacing w:after="0" w:line="256" w:lineRule="auto"/>
        <w:tabs>
          <w:tab w:leader="none" w:pos="410" w:val="left"/>
        </w:tabs>
        <w:numPr>
          <w:ilvl w:val="0"/>
          <w:numId w:val="62"/>
        </w:numPr>
        <w:rPr>
          <w:rFonts w:ascii="Arial" w:cs="Arial" w:eastAsia="Arial" w:hAnsi="Arial"/>
          <w:sz w:val="15"/>
          <w:szCs w:val="15"/>
          <w:color w:val="auto"/>
        </w:rPr>
      </w:pPr>
      <w:r>
        <w:rPr>
          <w:rFonts w:ascii="Arial" w:cs="Arial" w:eastAsia="Arial" w:hAnsi="Arial"/>
          <w:sz w:val="15"/>
          <w:szCs w:val="15"/>
          <w:color w:val="auto"/>
        </w:rPr>
        <w:t>Government subsidies relating to current expenses are recorded as reductions of those expenses in the periods in which the current expenses are recorded. For the years ended December 31, 2021, 2020 and 2019, related government subsidies recognized as reductions of relevant expenses in the consolidated statements of operations and comprehensive income were $11.3 million, $2.7 million , and $3.2 million, respectively.</w:t>
      </w:r>
    </w:p>
    <w:p>
      <w:pPr>
        <w:jc w:val="both"/>
        <w:ind w:left="410" w:hanging="410"/>
        <w:spacing w:after="0" w:line="257" w:lineRule="auto"/>
        <w:tabs>
          <w:tab w:leader="none" w:pos="410" w:val="left"/>
        </w:tabs>
        <w:numPr>
          <w:ilvl w:val="0"/>
          <w:numId w:val="62"/>
        </w:numPr>
        <w:rPr>
          <w:rFonts w:ascii="Arial" w:cs="Arial" w:eastAsia="Arial" w:hAnsi="Arial"/>
          <w:sz w:val="15"/>
          <w:szCs w:val="15"/>
          <w:color w:val="auto"/>
        </w:rPr>
      </w:pPr>
      <w:r>
        <w:rPr>
          <w:rFonts w:ascii="Arial" w:cs="Arial" w:eastAsia="Arial" w:hAnsi="Arial"/>
          <w:sz w:val="15"/>
          <w:szCs w:val="15"/>
          <w:color w:val="auto"/>
        </w:rPr>
        <w:t>Government subsidies related to depreciable assets are credited to income over the useful lives of the related assets for which the grant was received. For the years ended December 31, 2021, 2020 and 2019, related government subsidies recognized as other income in the consolidated statements of operations and comprehensive income were $200,000, $149,000, and $147,000, respectively.</w:t>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15" w:right="319" w:bottom="1440" w:gutter="0" w:footer="0" w:header="0"/>
        </w:sectPr>
      </w:pPr>
    </w:p>
    <w:bookmarkStart w:id="62" w:name="page63"/>
    <w:bookmarkEnd w:id="62"/>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Unearned government subsidies received are deferred for recognition and recorded as other long-term liabilities (see note 13 in the Notes to Consolidated Financial Statements included herein under “Item 8. Financial Statements and Supplementary Data.”) in the balance sheet until the criteria for such recognition are satisfied.</w:t>
      </w:r>
    </w:p>
    <w:p>
      <w:pPr>
        <w:spacing w:after="0" w:line="146"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Net Income Attributable to Non-Controlling Interests and Redeemable Non-Controlling Interests</w:t>
      </w:r>
    </w:p>
    <w:p>
      <w:pPr>
        <w:spacing w:after="0" w:line="190"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As described above under “STAR Market Listing and IPO”, 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During the second quarter of 2020, the redemption feature of the private placement funding terminated and the aggregate proceeds of the funding were reclassified from redeemable non-controlling interests to non-controlling interests. As a result, we reflect, as net income attributable to non-controlling interests and redeemable non-controlling interests, the portion of our net income allocable to the minority holders of ACM Shanghai shares.</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How We Evaluate Our Operations</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5"/>
          <w:szCs w:val="15"/>
          <w:color w:val="auto"/>
        </w:rPr>
        <w:t>We present information below with respect to four measures of financial performance:</w:t>
      </w:r>
    </w:p>
    <w:p>
      <w:pPr>
        <w:spacing w:after="0" w:line="190" w:lineRule="exact"/>
        <w:rPr>
          <w:sz w:val="20"/>
          <w:szCs w:val="20"/>
          <w:color w:val="auto"/>
        </w:rPr>
      </w:pPr>
    </w:p>
    <w:p>
      <w:pPr>
        <w:jc w:val="both"/>
        <w:ind w:left="410" w:right="20" w:hanging="410"/>
        <w:spacing w:after="0" w:line="256" w:lineRule="auto"/>
        <w:tabs>
          <w:tab w:leader="none" w:pos="410" w:val="left"/>
        </w:tabs>
        <w:numPr>
          <w:ilvl w:val="0"/>
          <w:numId w:val="63"/>
        </w:numPr>
        <w:rPr>
          <w:rFonts w:ascii="Arial" w:cs="Arial" w:eastAsia="Arial" w:hAnsi="Arial"/>
          <w:sz w:val="15"/>
          <w:szCs w:val="15"/>
          <w:color w:val="auto"/>
        </w:rPr>
      </w:pPr>
      <w:r>
        <w:rPr>
          <w:rFonts w:ascii="Arial" w:cs="Arial" w:eastAsia="Arial" w:hAnsi="Arial"/>
          <w:sz w:val="15"/>
          <w:szCs w:val="15"/>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or if a purchase order is received.</w:t>
      </w:r>
    </w:p>
    <w:p>
      <w:pPr>
        <w:ind w:left="410" w:right="20" w:hanging="410"/>
        <w:spacing w:after="0" w:line="251" w:lineRule="auto"/>
        <w:tabs>
          <w:tab w:leader="none" w:pos="410" w:val="left"/>
        </w:tabs>
        <w:numPr>
          <w:ilvl w:val="0"/>
          <w:numId w:val="63"/>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define “free cash flow” as net cash provided by operating activities less purchases of property and equipment (net of proceeds from disposals) and of intangible assets.</w:t>
      </w:r>
    </w:p>
    <w:p>
      <w:pPr>
        <w:spacing w:after="0" w:line="20" w:lineRule="exact"/>
        <w:rPr>
          <w:rFonts w:ascii="Arial" w:cs="Arial" w:eastAsia="Arial" w:hAnsi="Arial"/>
          <w:sz w:val="14"/>
          <w:szCs w:val="14"/>
          <w:color w:val="auto"/>
        </w:rPr>
      </w:pPr>
    </w:p>
    <w:p>
      <w:pPr>
        <w:ind w:left="410" w:hanging="410"/>
        <w:spacing w:after="0"/>
        <w:tabs>
          <w:tab w:leader="none" w:pos="410" w:val="left"/>
        </w:tabs>
        <w:numPr>
          <w:ilvl w:val="0"/>
          <w:numId w:val="63"/>
        </w:numPr>
        <w:rPr>
          <w:rFonts w:ascii="Arial" w:cs="Arial" w:eastAsia="Arial" w:hAnsi="Arial"/>
          <w:sz w:val="15"/>
          <w:szCs w:val="15"/>
          <w:color w:val="auto"/>
        </w:rPr>
      </w:pPr>
      <w:r>
        <w:rPr>
          <w:rFonts w:ascii="Arial" w:cs="Arial" w:eastAsia="Arial" w:hAnsi="Arial"/>
          <w:sz w:val="15"/>
          <w:szCs w:val="15"/>
          <w:color w:val="auto"/>
        </w:rPr>
        <w:t>We define “adjusted operating income (loss)” as our income (loss) from operations excluding stock-based compensation.</w:t>
      </w:r>
    </w:p>
    <w:p>
      <w:pPr>
        <w:spacing w:after="0" w:line="18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46" w:lineRule="exact"/>
        <w:rPr>
          <w:sz w:val="20"/>
          <w:szCs w:val="20"/>
          <w:color w:val="auto"/>
        </w:rPr>
      </w:pPr>
    </w:p>
    <w:p>
      <w:pPr>
        <w:jc w:val="both"/>
        <w:ind w:left="10"/>
        <w:spacing w:after="0" w:line="301" w:lineRule="auto"/>
        <w:rPr>
          <w:sz w:val="20"/>
          <w:szCs w:val="20"/>
          <w:color w:val="auto"/>
        </w:rPr>
      </w:pPr>
      <w:r>
        <w:rPr>
          <w:rFonts w:ascii="Arial" w:cs="Arial" w:eastAsia="Arial" w:hAnsi="Arial"/>
          <w:sz w:val="13"/>
          <w:szCs w:val="13"/>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36"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300"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63" w:name="page64"/>
    <w:bookmarkEnd w:id="63"/>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Shipments</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15"/>
          <w:szCs w:val="15"/>
          <w:color w:val="auto"/>
        </w:rPr>
        <w:t>Shipments consist of two components:</w:t>
      </w:r>
    </w:p>
    <w:p>
      <w:pPr>
        <w:spacing w:after="0" w:line="190" w:lineRule="exact"/>
        <w:rPr>
          <w:sz w:val="20"/>
          <w:szCs w:val="20"/>
          <w:color w:val="auto"/>
        </w:rPr>
      </w:pPr>
    </w:p>
    <w:p>
      <w:pPr>
        <w:ind w:left="410" w:hanging="410"/>
        <w:spacing w:after="0"/>
        <w:tabs>
          <w:tab w:leader="none" w:pos="41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 shipment to a customer of a type of tool that the customer has previously accepted, for which we recognize revenue when the tool is delivered; and</w:t>
      </w:r>
    </w:p>
    <w:p>
      <w:pPr>
        <w:spacing w:after="0" w:line="17" w:lineRule="exact"/>
        <w:rPr>
          <w:rFonts w:ascii="Arial" w:cs="Arial" w:eastAsia="Arial" w:hAnsi="Arial"/>
          <w:sz w:val="15"/>
          <w:szCs w:val="15"/>
          <w:color w:val="auto"/>
        </w:rPr>
      </w:pPr>
    </w:p>
    <w:p>
      <w:pPr>
        <w:jc w:val="both"/>
        <w:ind w:left="410" w:hanging="410"/>
        <w:spacing w:after="0" w:line="257" w:lineRule="auto"/>
        <w:tabs>
          <w:tab w:leader="none" w:pos="41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costumer’s subsequent discretionary commitment to purchase the tool.</w:t>
      </w:r>
    </w:p>
    <w:p>
      <w:pPr>
        <w:spacing w:after="0" w:line="161"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Shipments totaled $372 million in 2021, $182 million for 2020, and $115 million for 2019.</w:t>
      </w:r>
    </w:p>
    <w:p>
      <w:pPr>
        <w:spacing w:after="0" w:line="190"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w:t>
      </w:r>
    </w:p>
    <w:p>
      <w:pPr>
        <w:spacing w:after="0" w:line="158"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Adjusted EBITDA</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There are a number of limitations related to the use of adjusted EBITDA rather than net income (loss), which is the nearest GAAP equivalent. Some of these limitations are:</w:t>
      </w:r>
    </w:p>
    <w:p>
      <w:pPr>
        <w:spacing w:after="0" w:line="201" w:lineRule="exact"/>
        <w:rPr>
          <w:sz w:val="20"/>
          <w:szCs w:val="20"/>
          <w:color w:val="auto"/>
        </w:rPr>
      </w:pPr>
    </w:p>
    <w:p>
      <w:pPr>
        <w:ind w:left="410" w:hanging="410"/>
        <w:spacing w:after="0" w:line="258" w:lineRule="auto"/>
        <w:tabs>
          <w:tab w:leader="none" w:pos="41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adjusted EBITDA excludes depreciation and amortization and, although these are non-cash expenses, the assets being depreciated or amortized may have to be replaced in the future;</w:t>
      </w:r>
    </w:p>
    <w:p>
      <w:pPr>
        <w:jc w:val="both"/>
        <w:ind w:left="410" w:hanging="410"/>
        <w:spacing w:after="0" w:line="269" w:lineRule="auto"/>
        <w:tabs>
          <w:tab w:leader="none" w:pos="41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Arial" w:cs="Arial" w:eastAsia="Arial" w:hAnsi="Arial"/>
          <w:sz w:val="14"/>
          <w:szCs w:val="14"/>
          <w:color w:val="auto"/>
        </w:rPr>
      </w:pPr>
    </w:p>
    <w:p>
      <w:pPr>
        <w:ind w:left="410" w:hanging="410"/>
        <w:spacing w:after="0" w:line="251" w:lineRule="auto"/>
        <w:tabs>
          <w:tab w:leader="none" w:pos="41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working capital needs;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adjusted EBITDA does not reflect interest expense, or the requirements necessary to service interest or principal payments on debt;</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adjusted EBITDA does not reflect income tax expense (benefit) or the cash requirements to pay taxes;</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64" w:name="page65"/>
    <w:bookmarkEnd w:id="64"/>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line="258" w:lineRule="auto"/>
        <w:tabs>
          <w:tab w:leader="none" w:pos="41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410" w:hanging="410"/>
        <w:spacing w:after="0" w:line="257" w:lineRule="auto"/>
        <w:tabs>
          <w:tab w:leader="none" w:pos="41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5"/>
          <w:szCs w:val="15"/>
          <w:color w:val="auto"/>
        </w:rPr>
        <w:t>The following table reconciles net income, the most directly comparable GAAP financial measure, to adjusted EBITDA:</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center"/>
              <w:ind w:left="8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9"/>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Adjusted EBITDA Data:</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5"/>
              <w:spacing w:after="0"/>
              <w:rPr>
                <w:sz w:val="20"/>
                <w:szCs w:val="20"/>
                <w:color w:val="auto"/>
              </w:rPr>
            </w:pPr>
            <w:r>
              <w:rPr>
                <w:rFonts w:ascii="Arial" w:cs="Arial" w:eastAsia="Arial" w:hAnsi="Arial"/>
                <w:sz w:val="15"/>
                <w:szCs w:val="15"/>
                <w:i w:val="1"/>
                <w:iCs w:val="1"/>
                <w:color w:val="auto"/>
                <w:w w:val="92"/>
              </w:rPr>
              <w:t>(in thousands)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3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700" w:type="dxa"/>
            <w:vAlign w:val="bottom"/>
            <w:shd w:val="clear" w:color="auto" w:fill="CCEEFF"/>
          </w:tcPr>
          <w:p>
            <w:pPr>
              <w:jc w:val="right"/>
              <w:ind w:right="583"/>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42,921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21,677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19,458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Pr>
          <w:p>
            <w:pPr>
              <w:ind w:left="100"/>
              <w:spacing w:after="0"/>
              <w:rPr>
                <w:sz w:val="20"/>
                <w:szCs w:val="20"/>
                <w:color w:val="auto"/>
              </w:rPr>
            </w:pPr>
            <w:r>
              <w:rPr>
                <w:rFonts w:ascii="Arial" w:cs="Arial" w:eastAsia="Arial" w:hAnsi="Arial"/>
                <w:sz w:val="15"/>
                <w:szCs w:val="15"/>
                <w:color w:val="auto"/>
              </w:rPr>
              <w:t>Interest expense, net</w:t>
            </w: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260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85</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412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Income tax expense (benefit)</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(2,382)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Pr>
          <w:p>
            <w:pPr>
              <w:ind w:left="100"/>
              <w:spacing w:after="0"/>
              <w:rPr>
                <w:sz w:val="20"/>
                <w:szCs w:val="20"/>
                <w:color w:val="auto"/>
              </w:rPr>
            </w:pPr>
            <w:r>
              <w:rPr>
                <w:rFonts w:ascii="Arial" w:cs="Arial" w:eastAsia="Arial" w:hAnsi="Arial"/>
                <w:sz w:val="15"/>
                <w:szCs w:val="15"/>
                <w:color w:val="auto"/>
              </w:rPr>
              <w:t>Depreciation and amortization</w:t>
            </w: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2,353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1,055</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788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Stock based compensation</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5,628</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Pr>
          <w:p>
            <w:pPr>
              <w:ind w:left="100"/>
              <w:spacing w:after="0"/>
              <w:rPr>
                <w:sz w:val="20"/>
                <w:szCs w:val="20"/>
                <w:color w:val="auto"/>
              </w:rPr>
            </w:pPr>
            <w:r>
              <w:rPr>
                <w:rFonts w:ascii="Arial" w:cs="Arial" w:eastAsia="Arial" w:hAnsi="Arial"/>
                <w:sz w:val="15"/>
                <w:szCs w:val="15"/>
                <w:color w:val="auto"/>
              </w:rPr>
              <w:t>Change in fair value of financial liability</w:t>
            </w: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11,964</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Unrealized gain on trading securities</w:t>
            </w:r>
          </w:p>
        </w:tc>
        <w:tc>
          <w:tcPr>
            <w:tcW w:w="7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(607)</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(12,574)</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3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20" w:type="dxa"/>
            <w:vAlign w:val="bottom"/>
          </w:tcPr>
          <w:p>
            <w:pPr>
              <w:spacing w:after="0"/>
              <w:rPr>
                <w:sz w:val="20"/>
                <w:szCs w:val="20"/>
                <w:color w:val="auto"/>
              </w:rPr>
            </w:pPr>
            <w:r>
              <w:rPr>
                <w:rFonts w:ascii="Arial" w:cs="Arial" w:eastAsia="Arial" w:hAnsi="Arial"/>
                <w:sz w:val="15"/>
                <w:szCs w:val="15"/>
                <w:color w:val="auto"/>
              </w:rPr>
              <w:t>Adjusted EBITDA</w:t>
            </w:r>
          </w:p>
        </w:tc>
        <w:tc>
          <w:tcPr>
            <w:tcW w:w="700" w:type="dxa"/>
            <w:vAlign w:val="bottom"/>
          </w:tcPr>
          <w:p>
            <w:pPr>
              <w:jc w:val="right"/>
              <w:ind w:right="583"/>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50,178</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25,453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23,712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0"/>
        <w:spacing w:after="0"/>
        <w:rPr>
          <w:sz w:val="20"/>
          <w:szCs w:val="20"/>
          <w:color w:val="auto"/>
        </w:rPr>
      </w:pPr>
      <w:r>
        <w:rPr>
          <w:rFonts w:ascii="Arial" w:cs="Arial" w:eastAsia="Arial" w:hAnsi="Arial"/>
          <w:sz w:val="15"/>
          <w:szCs w:val="15"/>
          <w:color w:val="auto"/>
        </w:rPr>
        <w:t>Adjusted EBITDA was $50.2 million in 2021, as compared to $25.5 million in 2020 and $23.7 million in 2019.</w:t>
      </w:r>
    </w:p>
    <w:p>
      <w:pPr>
        <w:spacing w:after="0" w:line="190"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The increase of $24.7 million from 2020 to 2021 reflected increases of $21.2 million in net income, $12.0 million in unrealized gain on trading securities, $2.5 million change due to income tax expense as compared to income tax benefit, $1.3 million in depreciation and amortization, and $0.2 million in interest expense, net, offset by a decrease of $12.0 million in change in fair value of financial liability. The increase of $1.7 million from 2019 to 2020 reflected an increase of $2.2 million in net income, and an increase of $2.1 million of stock-based compensation, partially offset by a $1.9 million higher income tax benefit and the offsetting impact of change in fair value of financial liability and unrealized gain on trading securities.</w:t>
      </w:r>
    </w:p>
    <w:p>
      <w:pPr>
        <w:spacing w:after="0" w:line="159"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31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65" w:name="page66"/>
    <w:bookmarkEnd w:id="6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Free Cash Flow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reconciles net cash provided by (used in) operating activities, the most directly comparable GAAP financial measure, to free cash flow: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center"/>
              <w:ind w:left="56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9"/>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Free Cash Flow Data:</w:t>
            </w:r>
          </w:p>
        </w:tc>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5"/>
              <w:spacing w:after="0"/>
              <w:rPr>
                <w:sz w:val="20"/>
                <w:szCs w:val="20"/>
                <w:color w:val="auto"/>
              </w:rPr>
            </w:pPr>
            <w:r>
              <w:rPr>
                <w:rFonts w:ascii="Arial" w:cs="Arial" w:eastAsia="Arial" w:hAnsi="Arial"/>
                <w:sz w:val="15"/>
                <w:szCs w:val="15"/>
                <w:i w:val="1"/>
                <w:iCs w:val="1"/>
                <w:color w:val="auto"/>
                <w:w w:val="92"/>
              </w:rPr>
              <w:t>(in thousands)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26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(provided by) in operating activities</w:t>
            </w:r>
          </w:p>
        </w:tc>
        <w:tc>
          <w:tcPr>
            <w:tcW w:w="230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(13,547)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9,403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5"/>
                <w:szCs w:val="15"/>
                <w:color w:val="auto"/>
              </w:rPr>
              <w:t>Purchase property and equipment</w:t>
            </w: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(9,153)</w:t>
            </w: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(5,211)</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Purchase of intangible assets</w:t>
            </w:r>
          </w:p>
        </w:tc>
        <w:tc>
          <w:tcPr>
            <w:tcW w:w="2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(559)</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(324)</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5"/>
                <w:szCs w:val="15"/>
                <w:color w:val="auto"/>
              </w:rPr>
              <w:t>Purchase of land-use-right</w:t>
            </w: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(9,744)</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Prepayment for property</w:t>
            </w:r>
          </w:p>
        </w:tc>
        <w:tc>
          <w:tcPr>
            <w:tcW w:w="2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(40,206)</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5"/>
                <w:szCs w:val="15"/>
                <w:color w:val="auto"/>
              </w:rPr>
              <w:t>Purchase of trading securities</w:t>
            </w: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(15,020)</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Free cash flow</w:t>
            </w:r>
          </w:p>
        </w:tc>
        <w:tc>
          <w:tcPr>
            <w:tcW w:w="2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(49,805)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(84,052)</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Free cash flow used in operating activities in 2021 decreased by $34.2 million as compared to 2020, due no prepayment for property, no purchase of trading securities, and no purchase of land-use rights in 2021, versus a prepayment of $40.2 million, purchase of trading securities of $15.0 million and purchase of land-use right of $9.7 million in 2020, offset by an increase of $26.5 million in net cash used in operating activities and an increase of $4.2 million in purchase of property and equipment and intangible assets. Free cash flow in 2020 declined by $92.3 million as compared to 2019, due to a prepayment for property of $40.2 million, a net decline of $23.0 million of cash from operations, $15.0 million purchase of trading securities, $9.7 million purchase of land-use right, and a $4.2 million increase in purchase of property and equipment and intangible assets. Consistent with our methodology for calculating adjusted EBITDA, we do not adjust free cash flow for the effects of PRC government subsidies, because we take those subsidies into account in incurring expenses and capital expenditures.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Adjusted Operating Income</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Adjusted operating income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(loss) from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00" w:type="dxa"/>
            <w:vAlign w:val="bottom"/>
            <w:gridSpan w:val="2"/>
          </w:tcPr>
          <w:p>
            <w:pPr>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5"/>
                <w:szCs w:val="15"/>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05"/>
              <w:spacing w:after="0"/>
              <w:rPr>
                <w:sz w:val="20"/>
                <w:szCs w:val="20"/>
                <w:color w:val="auto"/>
              </w:rPr>
            </w:pPr>
            <w:r>
              <w:rPr>
                <w:rFonts w:ascii="Arial" w:cs="Arial" w:eastAsia="Arial" w:hAnsi="Arial"/>
                <w:sz w:val="15"/>
                <w:szCs w:val="15"/>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2019</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5"/>
              <w:spacing w:after="0" w:line="167" w:lineRule="exact"/>
              <w:rPr>
                <w:sz w:val="20"/>
                <w:szCs w:val="20"/>
                <w:color w:val="auto"/>
              </w:rPr>
            </w:pPr>
            <w:r>
              <w:rPr>
                <w:rFonts w:ascii="Arial" w:cs="Arial" w:eastAsia="Arial" w:hAnsi="Arial"/>
                <w:sz w:val="15"/>
                <w:szCs w:val="15"/>
                <w:b w:val="1"/>
                <w:bCs w:val="1"/>
                <w:color w:val="auto"/>
                <w:w w:val="90"/>
              </w:rPr>
              <w:t>Adjusted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Actual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(Non-</w:t>
            </w: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Actual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3"/>
              </w:rPr>
              <w:t>Adjusted</w:t>
            </w: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Actual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93"/>
              </w:rPr>
              <w:t>Adjusted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(GAAP)</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SBC</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9"/>
              </w:rPr>
              <w:t>GAAP)</w:t>
            </w:r>
          </w:p>
        </w:tc>
        <w:tc>
          <w:tcPr>
            <w:tcW w:w="1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(GAAP)</w:t>
            </w:r>
          </w:p>
        </w:tc>
        <w:tc>
          <w:tcPr>
            <w:tcW w:w="180" w:type="dxa"/>
            <w:vAlign w:val="bottom"/>
          </w:tcPr>
          <w:p>
            <w:pPr>
              <w:spacing w:after="0"/>
              <w:rPr>
                <w:sz w:val="17"/>
                <w:szCs w:val="17"/>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SBC</w:t>
            </w:r>
          </w:p>
        </w:tc>
        <w:tc>
          <w:tcPr>
            <w:tcW w:w="8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5"/>
                <w:szCs w:val="15"/>
                <w:b w:val="1"/>
                <w:bCs w:val="1"/>
                <w:color w:val="auto"/>
              </w:rPr>
              <w:t>(Non-GAAP)</w:t>
            </w:r>
          </w:p>
        </w:tc>
        <w:tc>
          <w:tcPr>
            <w:tcW w:w="12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(GAAP)</w:t>
            </w:r>
          </w:p>
        </w:tc>
        <w:tc>
          <w:tcPr>
            <w:tcW w:w="18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SBC</w:t>
            </w:r>
          </w:p>
        </w:tc>
        <w:tc>
          <w:tcPr>
            <w:tcW w:w="960" w:type="dxa"/>
            <w:vAlign w:val="bottom"/>
            <w:gridSpan w:val="3"/>
          </w:tcPr>
          <w:p>
            <w:pPr>
              <w:spacing w:after="0"/>
              <w:rPr>
                <w:sz w:val="20"/>
                <w:szCs w:val="20"/>
                <w:color w:val="auto"/>
              </w:rPr>
            </w:pPr>
            <w:r>
              <w:rPr>
                <w:rFonts w:ascii="Arial" w:cs="Arial" w:eastAsia="Arial" w:hAnsi="Arial"/>
                <w:sz w:val="15"/>
                <w:szCs w:val="15"/>
                <w:b w:val="1"/>
                <w:bCs w:val="1"/>
                <w:color w:val="auto"/>
              </w:rPr>
              <w:t>(Non-GAAP)</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5"/>
                <w:szCs w:val="15"/>
                <w:i w:val="1"/>
                <w:iCs w:val="1"/>
                <w:color w:val="auto"/>
                <w:w w:val="86"/>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259,751</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259,751</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156,624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156,624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107,524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107,524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80" w:type="dxa"/>
            <w:vAlign w:val="bottom"/>
          </w:tcPr>
          <w:p>
            <w:pPr>
              <w:spacing w:after="0"/>
              <w:rPr>
                <w:sz w:val="20"/>
                <w:szCs w:val="20"/>
                <w:color w:val="auto"/>
              </w:rPr>
            </w:pPr>
            <w:r>
              <w:rPr>
                <w:rFonts w:ascii="Arial" w:cs="Arial" w:eastAsia="Arial" w:hAnsi="Arial"/>
                <w:sz w:val="15"/>
                <w:szCs w:val="15"/>
                <w:color w:val="auto"/>
              </w:rPr>
              <w:t>Cost of revenue</w:t>
            </w: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(144,895)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(397)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(144,498)</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(87,025)</w:t>
            </w:r>
          </w:p>
        </w:tc>
        <w:tc>
          <w:tcPr>
            <w:tcW w:w="18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(86,850)</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(56,870)</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(56,620)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Gross profit</w:t>
            </w: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114,856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115,253</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69,599</w:t>
            </w: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69,774</w:t>
            </w: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50,654</w:t>
            </w: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Pr>
          <w:p>
            <w:pPr>
              <w:spacing w:after="0"/>
              <w:rPr>
                <w:sz w:val="20"/>
                <w:szCs w:val="20"/>
                <w:color w:val="auto"/>
              </w:rPr>
            </w:pPr>
            <w:r>
              <w:rPr>
                <w:rFonts w:ascii="Arial" w:cs="Arial" w:eastAsia="Arial" w:hAnsi="Arial"/>
                <w:sz w:val="15"/>
                <w:szCs w:val="15"/>
                <w:color w:val="auto"/>
              </w:rPr>
              <w:t>Operating expenses: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Sales and marketing</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(26,733)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(24,931)</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(16,773)</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(15,574)</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(11,902)</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(328)</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(11,574)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Pr>
          <w:p>
            <w:pPr>
              <w:ind w:left="100"/>
              <w:spacing w:after="0"/>
              <w:rPr>
                <w:sz w:val="20"/>
                <w:szCs w:val="20"/>
                <w:color w:val="auto"/>
              </w:rPr>
            </w:pPr>
            <w:r>
              <w:rPr>
                <w:rFonts w:ascii="Arial" w:cs="Arial" w:eastAsia="Arial" w:hAnsi="Arial"/>
                <w:sz w:val="15"/>
                <w:szCs w:val="15"/>
                <w:color w:val="auto"/>
                <w:w w:val="94"/>
              </w:rPr>
              <w:t>Research and development</w:t>
            </w: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(34,207)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(1,115)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(33,092)</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(19,119)</w:t>
            </w:r>
          </w:p>
        </w:tc>
        <w:tc>
          <w:tcPr>
            <w:tcW w:w="18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(18,356)</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(12,900)</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(1,093)</w:t>
            </w: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(11,807)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w w:val="97"/>
              </w:rPr>
              <w:t>General and administrative</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(15,214)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(13,411)</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(12,215)</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(8,724)</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(8,061)</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(1,901)</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(6,160)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8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1880" w:type="dxa"/>
            <w:vAlign w:val="bottom"/>
          </w:tcPr>
          <w:p>
            <w:pPr>
              <w:spacing w:after="0"/>
              <w:rPr>
                <w:sz w:val="20"/>
                <w:szCs w:val="20"/>
                <w:color w:val="auto"/>
              </w:rPr>
            </w:pPr>
            <w:r>
              <w:rPr>
                <w:rFonts w:ascii="Arial" w:cs="Arial" w:eastAsia="Arial" w:hAnsi="Arial"/>
                <w:sz w:val="15"/>
                <w:szCs w:val="15"/>
                <w:color w:val="auto"/>
                <w:w w:val="92"/>
              </w:rPr>
              <w:t>Income (loss) from operations</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38,702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(5,117)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43,819</w:t>
            </w: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21,492</w:t>
            </w:r>
          </w:p>
        </w:tc>
        <w:tc>
          <w:tcPr>
            <w:tcW w:w="18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(5,628)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27,120</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17,791</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(3,572)</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21,363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Adjusted operating income in 2021, as compared to 2020 reflected and increase in operating income of $17.2  million and a decrease in stock-based compensation of $0.5 million.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Adjusted operating income in 2020, as compared to 2019 reflected increases in operating income of $3.7 million and stock-based compensation of $2.0 million.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6" w:name="page67"/>
    <w:bookmarkEnd w:id="6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In preparing our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believe that the assumptions, judgments and estimates involved in the accounting for the following accounting policies have the greatest potential impact on our consolidated financial statement, and we therefore consider these to be our critical accounting estimates. For information on our significant accounting policies, see Note 2 in the notes to consolidated financial statements.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derive revenue principally from the sale of semiconductor capital equipment. Revenue from contracts with customers is recognized using the following five steps pursuant to the ASC Topic 606</w:t>
      </w:r>
      <w:r>
        <w:rPr>
          <w:rFonts w:ascii="Arial" w:cs="Arial" w:eastAsia="Arial" w:hAnsi="Arial"/>
          <w:sz w:val="15"/>
          <w:szCs w:val="15"/>
          <w:i w:val="1"/>
          <w:iCs w:val="1"/>
          <w:color w:val="auto"/>
        </w:rPr>
        <w:t>, Revenue from Contracts with Customers:</w:t>
      </w:r>
    </w:p>
    <w:p>
      <w:pPr>
        <w:spacing w:after="0" w:line="146" w:lineRule="exact"/>
        <w:rPr>
          <w:sz w:val="20"/>
          <w:szCs w:val="20"/>
          <w:color w:val="auto"/>
        </w:rPr>
      </w:pPr>
    </w:p>
    <w:p>
      <w:pPr>
        <w:ind w:left="700" w:hanging="404"/>
        <w:spacing w:after="0"/>
        <w:tabs>
          <w:tab w:leader="none" w:pos="7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identify the contract(s) with a customer;</w:t>
      </w:r>
    </w:p>
    <w:p>
      <w:pPr>
        <w:spacing w:after="0" w:line="189" w:lineRule="exact"/>
        <w:rPr>
          <w:rFonts w:ascii="Arial" w:cs="Arial" w:eastAsia="Arial" w:hAnsi="Arial"/>
          <w:sz w:val="15"/>
          <w:szCs w:val="15"/>
          <w:color w:val="auto"/>
        </w:rPr>
      </w:pPr>
    </w:p>
    <w:p>
      <w:pPr>
        <w:ind w:left="700" w:hanging="404"/>
        <w:spacing w:after="0"/>
        <w:tabs>
          <w:tab w:leader="none" w:pos="7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identify the performance obligations in the contract;</w:t>
      </w:r>
    </w:p>
    <w:p>
      <w:pPr>
        <w:spacing w:after="0" w:line="189" w:lineRule="exact"/>
        <w:rPr>
          <w:rFonts w:ascii="Arial" w:cs="Arial" w:eastAsia="Arial" w:hAnsi="Arial"/>
          <w:sz w:val="15"/>
          <w:szCs w:val="15"/>
          <w:color w:val="auto"/>
        </w:rPr>
      </w:pPr>
    </w:p>
    <w:p>
      <w:pPr>
        <w:ind w:left="700" w:hanging="404"/>
        <w:spacing w:after="0"/>
        <w:tabs>
          <w:tab w:leader="none" w:pos="7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determine the transaction price;</w:t>
      </w:r>
    </w:p>
    <w:p>
      <w:pPr>
        <w:spacing w:after="0" w:line="189" w:lineRule="exact"/>
        <w:rPr>
          <w:rFonts w:ascii="Arial" w:cs="Arial" w:eastAsia="Arial" w:hAnsi="Arial"/>
          <w:sz w:val="15"/>
          <w:szCs w:val="15"/>
          <w:color w:val="auto"/>
        </w:rPr>
      </w:pPr>
    </w:p>
    <w:p>
      <w:pPr>
        <w:ind w:left="700" w:hanging="404"/>
        <w:spacing w:after="0"/>
        <w:tabs>
          <w:tab w:leader="none" w:pos="7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allocate the transaction price to the performance obligations in the contract; and</w:t>
      </w:r>
    </w:p>
    <w:p>
      <w:pPr>
        <w:spacing w:after="0" w:line="189" w:lineRule="exact"/>
        <w:rPr>
          <w:rFonts w:ascii="Arial" w:cs="Arial" w:eastAsia="Arial" w:hAnsi="Arial"/>
          <w:sz w:val="15"/>
          <w:szCs w:val="15"/>
          <w:color w:val="auto"/>
        </w:rPr>
      </w:pPr>
    </w:p>
    <w:p>
      <w:pPr>
        <w:ind w:left="700" w:hanging="404"/>
        <w:spacing w:after="0"/>
        <w:tabs>
          <w:tab w:leader="none" w:pos="7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recognize revenue when (or as) the entity satisfies a performance obligation.</w:t>
      </w:r>
    </w:p>
    <w:p>
      <w:pPr>
        <w:spacing w:after="0" w:line="19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we identify a bundle of goods or services that is distinct. Promises in contracts which do not result in the transfer of a good or service are not performance obligations, as well as those promises that are administrative in nature, or are immaterial in the context of the contract. We have addressed whether various goods and services promised to the customer represent distinct performance obligations. We applied the guidance of ASC Topic 606-10-25-16 through 18 in order to verify which promises should be assessed for classification as distinct performance obligations. Our contracts with customers include more than one performance obligation. For example, the delivery of a piece of equipment generally includes the promise to install the equipment in the customer’s facility. Our performance obligations in connection with a sale of equipment generally include production, delivery and installation, together with the provision of a warranty.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7" w:name="page68"/>
    <w:bookmarkEnd w:id="67"/>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ind w:left="10"/>
        <w:spacing w:after="0" w:line="301" w:lineRule="auto"/>
        <w:rPr>
          <w:sz w:val="20"/>
          <w:szCs w:val="20"/>
          <w:color w:val="auto"/>
        </w:rPr>
      </w:pPr>
      <w:r>
        <w:rPr>
          <w:rFonts w:ascii="Arial" w:cs="Arial" w:eastAsia="Arial" w:hAnsi="Arial"/>
          <w:sz w:val="13"/>
          <w:szCs w:val="13"/>
          <w:color w:val="auto"/>
        </w:rPr>
        <w:t>The transaction price is allocated to all the separate performance obligations in an arrangement. It reflects the amount of consideration to which we expect to be entitled in exchange for transferring goods or services, which may include an estimate of variable consideration to the extent that it is probable of not being subject to significant reversals in the future based on our experience with similar arrangements. The transaction price excludes amounts collected on behalf of third parties, such as sales taxes. This is done on a relative selling price basis using standalone selling prices, or SSP. The SSP represents the price at which we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All of our products were sold in stand-alone arrangements, we do not have observable SSPs for most performance obligations as they are not regularly sold on a standalone basis. Production, delivery and installation of a product, together with provision of a warranty, are a single unit of accounting.</w:t>
      </w:r>
    </w:p>
    <w:p>
      <w:pPr>
        <w:spacing w:after="0" w:line="136" w:lineRule="exact"/>
        <w:rPr>
          <w:sz w:val="20"/>
          <w:szCs w:val="20"/>
          <w:color w:val="auto"/>
        </w:rPr>
      </w:pPr>
    </w:p>
    <w:p>
      <w:pPr>
        <w:jc w:val="both"/>
        <w:ind w:left="10"/>
        <w:spacing w:after="0" w:line="254" w:lineRule="auto"/>
        <w:rPr>
          <w:sz w:val="20"/>
          <w:szCs w:val="20"/>
          <w:color w:val="auto"/>
        </w:rPr>
      </w:pPr>
      <w:r>
        <w:rPr>
          <w:rFonts w:ascii="Arial" w:cs="Arial" w:eastAsia="Arial" w:hAnsi="Arial"/>
          <w:sz w:val="15"/>
          <w:szCs w:val="15"/>
          <w:color w:val="auto"/>
        </w:rPr>
        <w:t>We recognize revenue when we satisfy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2" w:lineRule="exact"/>
        <w:rPr>
          <w:sz w:val="20"/>
          <w:szCs w:val="20"/>
          <w:color w:val="auto"/>
        </w:rPr>
      </w:pPr>
    </w:p>
    <w:p>
      <w:pPr>
        <w:ind w:left="410" w:hanging="410"/>
        <w:spacing w:after="0" w:line="251" w:lineRule="auto"/>
        <w:tabs>
          <w:tab w:leader="none" w:pos="410" w:val="left"/>
        </w:tabs>
        <w:numPr>
          <w:ilvl w:val="0"/>
          <w:numId w:val="68"/>
        </w:numPr>
        <w:rPr>
          <w:rFonts w:ascii="Arial" w:cs="Arial" w:eastAsia="Arial" w:hAnsi="Arial"/>
          <w:sz w:val="15"/>
          <w:szCs w:val="15"/>
          <w:color w:val="auto"/>
        </w:rPr>
      </w:pPr>
      <w:r>
        <w:rPr>
          <w:rFonts w:ascii="Arial" w:cs="Arial" w:eastAsia="Arial" w:hAnsi="Arial"/>
          <w:sz w:val="15"/>
          <w:szCs w:val="15"/>
          <w:color w:val="auto"/>
        </w:rPr>
        <w:t>when the customer has previously accepted the same tool with the same specifications and we can objectively demonstrate that the tool meets all of the required acceptance criteria;</w:t>
      </w:r>
    </w:p>
    <w:p>
      <w:pPr>
        <w:spacing w:after="0" w:line="1"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68"/>
        </w:numPr>
        <w:rPr>
          <w:rFonts w:ascii="Arial" w:cs="Arial" w:eastAsia="Arial" w:hAnsi="Arial"/>
          <w:sz w:val="15"/>
          <w:szCs w:val="15"/>
          <w:color w:val="auto"/>
        </w:rPr>
      </w:pPr>
      <w:r>
        <w:rPr>
          <w:rFonts w:ascii="Arial" w:cs="Arial" w:eastAsia="Arial" w:hAnsi="Arial"/>
          <w:sz w:val="15"/>
          <w:szCs w:val="15"/>
          <w:color w:val="auto"/>
        </w:rPr>
        <w:t>when the sales contract or purchase order contains no acceptance agreement or lapsing acceptance provision and we can objectively demonstrate that the tool meets all of the required acceptance criteria;</w:t>
      </w:r>
    </w:p>
    <w:p>
      <w:pPr>
        <w:spacing w:after="0" w:line="1" w:lineRule="exact"/>
        <w:rPr>
          <w:rFonts w:ascii="Arial" w:cs="Arial" w:eastAsia="Arial" w:hAnsi="Arial"/>
          <w:sz w:val="15"/>
          <w:szCs w:val="15"/>
          <w:color w:val="auto"/>
        </w:rPr>
      </w:pPr>
    </w:p>
    <w:p>
      <w:pPr>
        <w:ind w:left="410" w:right="20" w:hanging="410"/>
        <w:spacing w:after="0" w:line="251" w:lineRule="auto"/>
        <w:tabs>
          <w:tab w:leader="none" w:pos="410" w:val="left"/>
        </w:tabs>
        <w:numPr>
          <w:ilvl w:val="0"/>
          <w:numId w:val="68"/>
        </w:numPr>
        <w:rPr>
          <w:rFonts w:ascii="Arial" w:cs="Arial" w:eastAsia="Arial" w:hAnsi="Arial"/>
          <w:sz w:val="15"/>
          <w:szCs w:val="15"/>
          <w:color w:val="auto"/>
        </w:rPr>
      </w:pPr>
      <w:r>
        <w:rPr>
          <w:rFonts w:ascii="Arial" w:cs="Arial" w:eastAsia="Arial" w:hAnsi="Arial"/>
          <w:sz w:val="15"/>
          <w:szCs w:val="15"/>
          <w:color w:val="auto"/>
        </w:rPr>
        <w:t>when the customer withholds acceptance due to issues unrelated to product performance, in which case revenue is recognized when the system is performing as intended and meets predetermined specifications; or</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68"/>
        </w:numPr>
        <w:rPr>
          <w:rFonts w:ascii="Arial" w:cs="Arial" w:eastAsia="Arial" w:hAnsi="Arial"/>
          <w:sz w:val="15"/>
          <w:szCs w:val="15"/>
          <w:color w:val="auto"/>
        </w:rPr>
      </w:pPr>
      <w:r>
        <w:rPr>
          <w:rFonts w:ascii="Arial" w:cs="Arial" w:eastAsia="Arial" w:hAnsi="Arial"/>
          <w:sz w:val="15"/>
          <w:szCs w:val="15"/>
          <w:color w:val="auto"/>
        </w:rPr>
        <w:t>when our sales arrangements do not include a general right of return.</w:t>
      </w:r>
    </w:p>
    <w:p>
      <w:pPr>
        <w:spacing w:after="0" w:line="180"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its revenue in the future.</w:t>
      </w:r>
    </w:p>
    <w:p>
      <w:pPr>
        <w:spacing w:after="0" w:line="155"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We incur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we expense sales commissions when incurred. These costs are recorded within sales and marketing expenses.</w:t>
      </w:r>
    </w:p>
    <w:p>
      <w:pPr>
        <w:spacing w:after="0" w:line="158"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color w:val="auto"/>
        </w:rPr>
        <w:t>We do not incur any costs to fulfill the contracts with customers that are not already reported in compliance with another applicable standard (for example, inventory or plant, property and equipment).</w:t>
      </w:r>
    </w:p>
    <w:p>
      <w:pPr>
        <w:spacing w:after="0" w:line="146"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90"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We account for grants of stock options based on their grant date fair value and recognize compensation expense over the vesting periods. We estimate the fair value of the stock options granted with service period-based condition at the date of grant using the Black-Scholes option pricing model. We estimate the fair value of the stock options granted with market-based condition at the date of grant using the Monte Carlo simulation model.</w:t>
      </w:r>
    </w:p>
    <w:p>
      <w:pPr>
        <w:spacing w:after="0" w:line="155"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For options granted with a service period based condition, 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these stock option grants using the Black-Scholes option pricing model, which requires the input of subjective assumptions, including (a) the risk-free interest rate, (b) the expected volatility of our stock, (c) the expected term of the award and (d) the expected dividend yield.</w:t>
      </w:r>
    </w:p>
    <w:p>
      <w:pPr>
        <w:spacing w:after="0" w:line="311"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68" w:name="page69"/>
    <w:bookmarkEnd w:id="68"/>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tabs>
          <w:tab w:leader="none" w:pos="410" w:val="left"/>
        </w:tabs>
        <w:numPr>
          <w:ilvl w:val="0"/>
          <w:numId w:val="69"/>
        </w:numPr>
        <w:rPr>
          <w:rFonts w:ascii="Arial" w:cs="Arial" w:eastAsia="Arial" w:hAnsi="Arial"/>
          <w:sz w:val="15"/>
          <w:szCs w:val="15"/>
          <w:color w:val="auto"/>
        </w:rPr>
      </w:pPr>
      <w:r>
        <w:rPr>
          <w:rFonts w:ascii="Arial" w:cs="Arial" w:eastAsia="Arial" w:hAnsi="Arial"/>
          <w:sz w:val="15"/>
          <w:szCs w:val="15"/>
          <w:color w:val="auto"/>
        </w:rPr>
        <w:t>We use the market closing price for the Class A common stock as reported on the Nasdaq Global Market to determine the fair value of the Class A common stock.</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risk-free interest rates for periods within the expected life of the option are based on the yields of zero-coupon U.S. Treasury securities.</w:t>
      </w:r>
    </w:p>
    <w:p>
      <w:pPr>
        <w:spacing w:after="0" w:line="8" w:lineRule="exact"/>
        <w:rPr>
          <w:rFonts w:ascii="Arial" w:cs="Arial" w:eastAsia="Arial" w:hAnsi="Arial"/>
          <w:sz w:val="15"/>
          <w:szCs w:val="15"/>
          <w:color w:val="auto"/>
        </w:rPr>
      </w:pPr>
    </w:p>
    <w:p>
      <w:pPr>
        <w:jc w:val="both"/>
        <w:ind w:left="410" w:hanging="410"/>
        <w:spacing w:after="0" w:line="269" w:lineRule="auto"/>
        <w:tabs>
          <w:tab w:leader="none" w:pos="41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Due to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2" w:lineRule="exact"/>
        <w:rPr>
          <w:rFonts w:ascii="Arial" w:cs="Arial" w:eastAsia="Arial" w:hAnsi="Arial"/>
          <w:sz w:val="14"/>
          <w:szCs w:val="14"/>
          <w:color w:val="auto"/>
        </w:rPr>
      </w:pPr>
    </w:p>
    <w:p>
      <w:pPr>
        <w:ind w:left="410" w:right="20" w:hanging="410"/>
        <w:spacing w:after="0" w:line="251" w:lineRule="auto"/>
        <w:tabs>
          <w:tab w:leader="none" w:pos="41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expected dividend yield is assumed to be 0%, based on the fact that we have never paid cash dividends and have no present intention to pay cash dividends.</w:t>
      </w:r>
    </w:p>
    <w:p>
      <w:pPr>
        <w:spacing w:after="0" w:line="180"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Inventory</w:t>
      </w:r>
    </w:p>
    <w:p>
      <w:pPr>
        <w:spacing w:after="0" w:line="190"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at December 31, 2021 and 2020.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59"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 We had an inventory reserve of $1.2 million at December 31, 2021, and $1.1 million at December 31, 2020.</w:t>
      </w:r>
    </w:p>
    <w:p>
      <w:pPr>
        <w:spacing w:after="0" w:line="159"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146" w:lineRule="exact"/>
        <w:rPr>
          <w:sz w:val="20"/>
          <w:szCs w:val="20"/>
          <w:color w:val="auto"/>
        </w:rPr>
      </w:pPr>
    </w:p>
    <w:p>
      <w:pPr>
        <w:ind w:left="550"/>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190" w:lineRule="exact"/>
        <w:rPr>
          <w:sz w:val="20"/>
          <w:szCs w:val="20"/>
          <w:color w:val="auto"/>
        </w:rPr>
      </w:pPr>
    </w:p>
    <w:p>
      <w:pPr>
        <w:jc w:val="both"/>
        <w:ind w:left="10"/>
        <w:spacing w:after="0" w:line="293" w:lineRule="auto"/>
        <w:rPr>
          <w:sz w:val="20"/>
          <w:szCs w:val="20"/>
          <w:color w:val="auto"/>
        </w:rPr>
      </w:pPr>
      <w:r>
        <w:rPr>
          <w:rFonts w:ascii="Arial" w:cs="Arial" w:eastAsia="Arial" w:hAnsi="Arial"/>
          <w:sz w:val="13"/>
          <w:szCs w:val="13"/>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 (a) accounts receivable and historical bad debts experience, (b) any circumstances of which we are aware of a customer’s inability to meet its financial obligations,</w:t>
      </w:r>
    </w:p>
    <w:p>
      <w:pPr>
        <w:spacing w:after="0" w:line="2" w:lineRule="exact"/>
        <w:rPr>
          <w:sz w:val="20"/>
          <w:szCs w:val="20"/>
          <w:color w:val="auto"/>
        </w:rPr>
      </w:pPr>
    </w:p>
    <w:p>
      <w:pPr>
        <w:jc w:val="both"/>
        <w:ind w:left="10" w:hanging="8"/>
        <w:spacing w:after="0" w:line="284" w:lineRule="auto"/>
        <w:tabs>
          <w:tab w:leader="none" w:pos="238" w:val="left"/>
        </w:tabs>
        <w:numPr>
          <w:ilvl w:val="0"/>
          <w:numId w:val="70"/>
        </w:numPr>
        <w:rPr>
          <w:rFonts w:ascii="Arial" w:cs="Arial" w:eastAsia="Arial" w:hAnsi="Arial"/>
          <w:sz w:val="14"/>
          <w:szCs w:val="14"/>
          <w:color w:val="auto"/>
        </w:rPr>
      </w:pPr>
      <w:r>
        <w:rPr>
          <w:rFonts w:ascii="Arial" w:cs="Arial" w:eastAsia="Arial" w:hAnsi="Arial"/>
          <w:sz w:val="14"/>
          <w:szCs w:val="14"/>
          <w:color w:val="auto"/>
        </w:rPr>
        <w:t>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 No allowance for doubtful accounts was considered necessary at December 31, 2021 or 2020.</w:t>
      </w:r>
    </w:p>
    <w:p>
      <w:pPr>
        <w:spacing w:after="0" w:line="296"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69" w:name="page70"/>
    <w:bookmarkEnd w:id="6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Valuation of Long-Lived Assets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2021 and 2020.</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Income Taxes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59"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maintained a partial valuation allowance as of December 31, 2021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5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Interest and penalties related to uncertain tax positions are recorded in the provision for income tax expense on the consolidated statements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0" w:name="page71"/>
    <w:bookmarkEnd w:id="7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Warranty</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provided standard assurance type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 As of December 31, 2021 and 2020, we had accrued $6.6 million and $4.0 million, respectively, in liability contingency for potential warranty claims.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Financial Liability Carried at Fair Value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As described in note 15 in the Notes to Consolidated Financial Statements, in preparation for the STAR IPO we entered into two agreements with Shengxin (Shanghai) Management Consulting Limited Partnership, or SMC, relating to outstanding obligations for which we had agreed to deliver certain consideration. We accounted for this consideration as a financial liability and applied fair value option methodology to measure the consideration in accordance with ASC 825-10-15-4a. On July 29, 2020 we entered into an amended agreement with SMC under which, in settlement of the financial liability, we issued to SMC a warrant to purchase shares of Class A common stock. The financial liability was remeasured to fair value as of July 29, 2020 and was retired upon issuance of the warrant. The warrant was initially measured at fair value at the issuance date and classified as equity permanently in accordance with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Estimates related to this item required significant judgment, and a change in the estimates could have a material effect on our results of operations during the periods involved.</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For a discussion of recent accounting pronouncements impacting our company, see note 2 in the Notes to Consolidated Financial Statements included herein under “Item 8. Financial Statements and Supplementary Data.”</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our results of operations for the periods presented, as percentages of revenue.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38"/>
        </w:trPr>
        <w:tc>
          <w:tcPr>
            <w:tcW w:w="7320" w:type="dxa"/>
            <w:vAlign w:val="bottom"/>
            <w:gridSpan w:val="3"/>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56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65"/>
              <w:spacing w:after="0"/>
              <w:rPr>
                <w:sz w:val="20"/>
                <w:szCs w:val="20"/>
                <w:color w:val="auto"/>
              </w:rPr>
            </w:pPr>
            <w:r>
              <w:rPr>
                <w:rFonts w:ascii="Arial" w:cs="Arial" w:eastAsia="Arial" w:hAnsi="Arial"/>
                <w:sz w:val="15"/>
                <w:szCs w:val="15"/>
                <w:b w:val="1"/>
                <w:bCs w:val="1"/>
                <w:color w:val="auto"/>
                <w:w w:val="89"/>
              </w:rPr>
              <w:t>2020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100.0%</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100.0%</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Cost of revenue</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55.8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55.6</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Gross margin</w:t>
            </w: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240" w:type="dxa"/>
            <w:vAlign w:val="bottom"/>
            <w:tcBorders>
              <w:lef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1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Operating expenses: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Sales and marketing</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240" w:type="dxa"/>
            <w:vAlign w:val="bottom"/>
            <w:tcBorders>
              <w:lef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10.7</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ind w:left="100"/>
              <w:spacing w:after="0"/>
              <w:rPr>
                <w:sz w:val="20"/>
                <w:szCs w:val="20"/>
                <w:color w:val="auto"/>
              </w:rPr>
            </w:pPr>
            <w:r>
              <w:rPr>
                <w:rFonts w:ascii="Arial" w:cs="Arial" w:eastAsia="Arial" w:hAnsi="Arial"/>
                <w:sz w:val="15"/>
                <w:szCs w:val="15"/>
                <w:color w:val="auto"/>
              </w:rPr>
              <w:t>Research and development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12.2</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General and administrative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240" w:type="dxa"/>
            <w:vAlign w:val="bottom"/>
            <w:tcBorders>
              <w:lef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gridSpan w:val="2"/>
          </w:tcPr>
          <w:p>
            <w:pPr>
              <w:ind w:left="240"/>
              <w:spacing w:after="0"/>
              <w:rPr>
                <w:sz w:val="20"/>
                <w:szCs w:val="20"/>
                <w:color w:val="auto"/>
              </w:rPr>
            </w:pPr>
            <w:r>
              <w:rPr>
                <w:rFonts w:ascii="Arial" w:cs="Arial" w:eastAsia="Arial" w:hAnsi="Arial"/>
                <w:sz w:val="15"/>
                <w:szCs w:val="15"/>
                <w:color w:val="auto"/>
              </w:rPr>
              <w:t>Total operating expenses, net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Income from operations</w:t>
            </w: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240" w:type="dxa"/>
            <w:vAlign w:val="bottom"/>
            <w:tcBorders>
              <w:lef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Interest income (expense), net</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(0.1)</w:t>
            </w:r>
          </w:p>
        </w:tc>
        <w:tc>
          <w:tcPr>
            <w:tcW w:w="26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(0.1)</w:t>
            </w:r>
          </w:p>
        </w:tc>
        <w:tc>
          <w:tcPr>
            <w:tcW w:w="2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in fair value of financial liability</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lef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(7.6)</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Unrealized gain on trading securities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8.0</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Equity income in net income of affiliates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0.4</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Income before income taxes</w:t>
            </w: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240" w:type="dxa"/>
            <w:vAlign w:val="bottom"/>
            <w:tcBorders>
              <w:lef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Income tax benefit (expense)</w:t>
            </w: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(0.1)</w:t>
            </w:r>
          </w:p>
        </w:tc>
        <w:tc>
          <w:tcPr>
            <w:tcW w:w="2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Net income</w:t>
            </w: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240" w:type="dxa"/>
            <w:vAlign w:val="bottom"/>
            <w:tcBorders>
              <w:lef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Less: Net income attributable to non-controlling interests and redeemable non-controlling interests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income attributable to ACM Research, Inc.</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32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Comparison of Year Ended December 31, 2021, 2020 and 2019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320" w:type="dxa"/>
            <w:vAlign w:val="bottom"/>
            <w:gridSpan w:val="3"/>
          </w:tcPr>
          <w:p>
            <w:pPr>
              <w:spacing w:after="0"/>
              <w:rPr>
                <w:sz w:val="20"/>
                <w:szCs w:val="20"/>
                <w:color w:val="auto"/>
              </w:rPr>
            </w:pPr>
            <w:r>
              <w:rPr>
                <w:rFonts w:ascii="Arial" w:cs="Arial" w:eastAsia="Arial" w:hAnsi="Arial"/>
                <w:sz w:val="15"/>
                <w:szCs w:val="15"/>
                <w:b w:val="1"/>
                <w:bCs w:val="1"/>
                <w:color w:val="auto"/>
              </w:rPr>
              <w:t>Revenue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60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Single Wafer Cleaning, Tahoe and Semi-Critical Cleaning 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189,208</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131,248</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90,501</w:t>
            </w:r>
          </w:p>
        </w:tc>
        <w:tc>
          <w:tcPr>
            <w:tcW w:w="1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ECP (front-end and packaging), Furnace and Other Technologies</w:t>
            </w: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33,210</w:t>
            </w: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13,343</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6,900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Advanced Packaging (excluding ECP), Services &amp; Spares</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37,333</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12,033</w:t>
            </w: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10,124</w:t>
            </w:r>
          </w:p>
        </w:tc>
        <w:tc>
          <w:tcPr>
            <w:tcW w:w="14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b w:val="1"/>
                <w:bCs w:val="1"/>
                <w:color w:val="auto"/>
              </w:rPr>
              <w:t>Total Revenue By Product Category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259,751</w:t>
            </w: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b w:val="1"/>
                <w:bCs w:val="1"/>
                <w:color w:val="auto"/>
              </w:rPr>
              <w:t>156,624</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107,524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restart"/>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Wet cleaning and other front-end processing tools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202,268</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136,317</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90,935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Advanced packaging, other processing tools, services and spares</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57,483</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20,307</w:t>
            </w: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16,590</w:t>
            </w:r>
          </w:p>
        </w:tc>
        <w:tc>
          <w:tcPr>
            <w:tcW w:w="14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b w:val="1"/>
                <w:bCs w:val="1"/>
                <w:color w:val="auto"/>
              </w:rPr>
              <w:t>Total Revenue Front-end and Back-End</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259,751</w:t>
            </w: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b w:val="1"/>
                <w:bCs w:val="1"/>
                <w:color w:val="auto"/>
              </w:rPr>
              <w:t>156,624</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107,524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6"/>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80" w:type="dxa"/>
            <w:vAlign w:val="bottom"/>
            <w:gridSpan w:val="6"/>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center"/>
              <w:ind w:left="60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4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left w:val="single" w:sz="8" w:color="CCEEFF"/>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b w:val="1"/>
                <w:bCs w:val="1"/>
                <w:color w:val="auto"/>
              </w:rPr>
              <w:t>2019</w:t>
            </w:r>
          </w:p>
        </w:tc>
        <w:tc>
          <w:tcPr>
            <w:tcW w:w="14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Mainland China</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258,615</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154,359</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103,467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 Regions</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1,136</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2,265</w:t>
            </w: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4,057</w:t>
            </w:r>
          </w:p>
        </w:tc>
        <w:tc>
          <w:tcPr>
            <w:tcW w:w="14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259,751</w:t>
            </w: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b w:val="1"/>
                <w:bCs w:val="1"/>
                <w:color w:val="auto"/>
              </w:rPr>
              <w:t>156,624</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107,524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Revenue for 2021 compared to 2020 increased by $103.1 million. The increase was due to a $66.0 million increase in revenue from wet cleaning and other front-end processing tools, and a $37.2 million increase in revenue from advanced packaging, other processing tools, services and spares. Revenue for 2020 compared to 2019 increased by $49.1 million. The increase was due to a $45.4 million increase in revenue from wet cleaning and other front-end processing tools, and a $3.7 million increase in revenue from advanced packaging and other processing tools, services and spares.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EE"/>
            </w:tcBorders>
          </w:tcPr>
          <w:p>
            <w:pPr>
              <w:spacing w:after="0"/>
              <w:rPr>
                <w:rFonts w:ascii="Arial" w:cs="Arial" w:eastAsia="Arial" w:hAnsi="Arial"/>
                <w:sz w:val="12"/>
                <w:szCs w:val="12"/>
                <w:i w:val="1"/>
                <w:iCs w:val="1"/>
                <w:color w:val="0000EE"/>
                <w:w w:val="86"/>
              </w:rPr>
            </w:pPr>
            <w:hyperlink w:anchor="page2">
              <w:r>
                <w:rPr>
                  <w:rFonts w:ascii="Arial" w:cs="Arial" w:eastAsia="Arial" w:hAnsi="Arial"/>
                  <w:sz w:val="12"/>
                  <w:szCs w:val="12"/>
                  <w:i w:val="1"/>
                  <w:iCs w:val="1"/>
                  <w:color w:val="0000EE"/>
                  <w:w w:val="86"/>
                </w:rPr>
                <w:t>Table of Contents</w:t>
              </w:r>
            </w:hyperlink>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318"/>
        </w:trPr>
        <w:tc>
          <w:tcPr>
            <w:tcW w:w="3440" w:type="dxa"/>
            <w:vAlign w:val="bottom"/>
            <w:gridSpan w:val="2"/>
          </w:tcPr>
          <w:p>
            <w:pPr>
              <w:spacing w:after="0"/>
              <w:rPr>
                <w:sz w:val="20"/>
                <w:szCs w:val="20"/>
                <w:color w:val="auto"/>
              </w:rPr>
            </w:pPr>
            <w:r>
              <w:rPr>
                <w:rFonts w:ascii="Arial" w:cs="Arial" w:eastAsia="Arial" w:hAnsi="Arial"/>
                <w:sz w:val="15"/>
                <w:szCs w:val="15"/>
                <w:b w:val="1"/>
                <w:bCs w:val="1"/>
                <w:color w:val="auto"/>
              </w:rPr>
              <w:t>Cost of Revenue and Gross Margin</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6"/>
        </w:trPr>
        <w:tc>
          <w:tcPr>
            <w:tcW w:w="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center"/>
              <w:ind w:left="545"/>
              <w:spacing w:after="0"/>
              <w:rPr>
                <w:sz w:val="20"/>
                <w:szCs w:val="20"/>
                <w:color w:val="auto"/>
              </w:rPr>
            </w:pPr>
            <w:r>
              <w:rPr>
                <w:rFonts w:ascii="Arial" w:cs="Arial" w:eastAsia="Arial" w:hAnsi="Arial"/>
                <w:sz w:val="15"/>
                <w:szCs w:val="15"/>
                <w:b w:val="1"/>
                <w:bCs w:val="1"/>
                <w:color w:val="auto"/>
                <w:w w:val="91"/>
              </w:rPr>
              <w:t>Year Ended December 31,</w:t>
            </w:r>
          </w:p>
        </w:tc>
        <w:tc>
          <w:tcPr>
            <w:tcW w:w="8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6"/>
        </w:trPr>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460"/>
              <w:spacing w:after="0" w:line="167" w:lineRule="exact"/>
              <w:rPr>
                <w:sz w:val="20"/>
                <w:szCs w:val="20"/>
                <w:color w:val="auto"/>
              </w:rPr>
            </w:pPr>
            <w:r>
              <w:rPr>
                <w:rFonts w:ascii="Arial" w:cs="Arial" w:eastAsia="Arial" w:hAnsi="Arial"/>
                <w:sz w:val="15"/>
                <w:szCs w:val="15"/>
                <w:b w:val="1"/>
                <w:bCs w:val="1"/>
                <w:color w:val="auto"/>
              </w:rPr>
              <w:t>% Change</w:t>
            </w:r>
          </w:p>
        </w:tc>
        <w:tc>
          <w:tcPr>
            <w:tcW w:w="1240" w:type="dxa"/>
            <w:vAlign w:val="bottom"/>
            <w:gridSpan w:val="2"/>
          </w:tcPr>
          <w:p>
            <w:pPr>
              <w:jc w:val="right"/>
              <w:ind w:right="360"/>
              <w:spacing w:after="0" w:line="167" w:lineRule="exact"/>
              <w:rPr>
                <w:sz w:val="20"/>
                <w:szCs w:val="20"/>
                <w:color w:val="auto"/>
              </w:rPr>
            </w:pPr>
            <w:r>
              <w:rPr>
                <w:rFonts w:ascii="Arial" w:cs="Arial" w:eastAsia="Arial" w:hAnsi="Arial"/>
                <w:sz w:val="15"/>
                <w:szCs w:val="15"/>
                <w:b w:val="1"/>
                <w:bCs w:val="1"/>
                <w:color w:val="auto"/>
              </w:rPr>
              <w:t>% Change</w:t>
            </w:r>
          </w:p>
        </w:tc>
      </w:tr>
      <w:tr>
        <w:trPr>
          <w:trHeight w:val="198"/>
        </w:trPr>
        <w:tc>
          <w:tcPr>
            <w:tcW w:w="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25"/>
              <w:spacing w:after="0"/>
              <w:rPr>
                <w:sz w:val="20"/>
                <w:szCs w:val="20"/>
                <w:color w:val="auto"/>
              </w:rPr>
            </w:pPr>
            <w:r>
              <w:rPr>
                <w:rFonts w:ascii="Arial" w:cs="Arial" w:eastAsia="Arial" w:hAnsi="Arial"/>
                <w:sz w:val="15"/>
                <w:szCs w:val="15"/>
                <w:b w:val="1"/>
                <w:bCs w:val="1"/>
                <w:color w:val="auto"/>
                <w:w w:val="89"/>
              </w:rPr>
              <w:t>2020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5"/>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2021 v 2020</w:t>
            </w:r>
          </w:p>
        </w:tc>
        <w:tc>
          <w:tcPr>
            <w:tcW w:w="12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2020 v 2019</w:t>
            </w:r>
          </w:p>
        </w:tc>
      </w:tr>
      <w:tr>
        <w:trPr>
          <w:trHeight w:val="181"/>
        </w:trPr>
        <w:tc>
          <w:tcPr>
            <w:tcW w:w="8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25"/>
              <w:spacing w:after="0"/>
              <w:rPr>
                <w:sz w:val="20"/>
                <w:szCs w:val="20"/>
                <w:color w:val="auto"/>
              </w:rPr>
            </w:pPr>
            <w:r>
              <w:rPr>
                <w:rFonts w:ascii="Arial" w:cs="Arial" w:eastAsia="Arial" w:hAnsi="Arial"/>
                <w:sz w:val="15"/>
                <w:szCs w:val="15"/>
                <w:i w:val="1"/>
                <w:iCs w:val="1"/>
                <w:color w:val="auto"/>
                <w:w w:val="90"/>
              </w:rPr>
              <w:t>(in thousands)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144,895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87,025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56,870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66.5%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53.0%</w:t>
            </w:r>
          </w:p>
        </w:tc>
      </w:tr>
      <w:tr>
        <w:trPr>
          <w:trHeight w:val="181"/>
        </w:trPr>
        <w:tc>
          <w:tcPr>
            <w:tcW w:w="3440" w:type="dxa"/>
            <w:vAlign w:val="bottom"/>
            <w:gridSpan w:val="2"/>
          </w:tcPr>
          <w:p>
            <w:pPr>
              <w:spacing w:after="0"/>
              <w:rPr>
                <w:sz w:val="20"/>
                <w:szCs w:val="20"/>
                <w:color w:val="auto"/>
              </w:rPr>
            </w:pPr>
            <w:r>
              <w:rPr>
                <w:rFonts w:ascii="Arial" w:cs="Arial" w:eastAsia="Arial" w:hAnsi="Arial"/>
                <w:sz w:val="15"/>
                <w:szCs w:val="15"/>
                <w:color w:val="auto"/>
              </w:rPr>
              <w:t>Gross profit</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114,856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69,599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50,654</w:t>
            </w:r>
          </w:p>
        </w:tc>
        <w:tc>
          <w:tcPr>
            <w:tcW w:w="1360" w:type="dxa"/>
            <w:vAlign w:val="bottom"/>
            <w:gridSpan w:val="2"/>
          </w:tcPr>
          <w:p>
            <w:pPr>
              <w:jc w:val="right"/>
              <w:ind w:right="120"/>
              <w:spacing w:after="0"/>
              <w:rPr>
                <w:sz w:val="20"/>
                <w:szCs w:val="20"/>
                <w:color w:val="auto"/>
              </w:rPr>
            </w:pPr>
            <w:r>
              <w:rPr>
                <w:rFonts w:ascii="Arial" w:cs="Arial" w:eastAsia="Arial" w:hAnsi="Arial"/>
                <w:sz w:val="15"/>
                <w:szCs w:val="15"/>
                <w:color w:val="auto"/>
              </w:rPr>
              <w:t>65.0%</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37.4%</w:t>
            </w:r>
          </w:p>
        </w:tc>
      </w:tr>
      <w:tr>
        <w:trPr>
          <w:trHeight w:val="181"/>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Gross margin</w:t>
            </w: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-0.2</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-2.67</w:t>
            </w:r>
          </w:p>
        </w:tc>
      </w:tr>
    </w:tbl>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Cost of revenue increased $57.9 million, and gross profit increased $45.3 million, for 2021 compared to 2020, reflecting the growth in sales. Gross margin decreased by 22 basis points, primarily due to differences in product mix in 2021 versus 2020. Cost of revenue increased $30.1 million, and gross profit increased $18.9 million, for 2020 compared to 2019, reflecting the growth in sales at lower gross margin levels. Gross margin decreased by 267 basis points, primarily due to differences in product mix in 2020 versus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gridSpan w:val="2"/>
          </w:tcPr>
          <w:p>
            <w:pPr>
              <w:spacing w:after="0"/>
              <w:rPr>
                <w:sz w:val="20"/>
                <w:szCs w:val="20"/>
                <w:color w:val="auto"/>
              </w:rPr>
            </w:pPr>
            <w:r>
              <w:rPr>
                <w:rFonts w:ascii="Arial" w:cs="Arial" w:eastAsia="Arial" w:hAnsi="Arial"/>
                <w:sz w:val="15"/>
                <w:szCs w:val="15"/>
                <w:b w:val="1"/>
                <w:bCs w:val="1"/>
                <w:color w:val="auto"/>
              </w:rPr>
              <w:t>Operating Expenses</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8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60"/>
              <w:spacing w:after="0" w:line="167" w:lineRule="exact"/>
              <w:rPr>
                <w:sz w:val="20"/>
                <w:szCs w:val="20"/>
                <w:color w:val="auto"/>
              </w:rPr>
            </w:pPr>
            <w:r>
              <w:rPr>
                <w:rFonts w:ascii="Arial" w:cs="Arial" w:eastAsia="Arial" w:hAnsi="Arial"/>
                <w:sz w:val="15"/>
                <w:szCs w:val="15"/>
                <w:b w:val="1"/>
                <w:bCs w:val="1"/>
                <w:color w:val="auto"/>
              </w:rPr>
              <w:t>% Change</w:t>
            </w:r>
          </w:p>
        </w:tc>
        <w:tc>
          <w:tcPr>
            <w:tcW w:w="1240" w:type="dxa"/>
            <w:vAlign w:val="bottom"/>
            <w:gridSpan w:val="2"/>
          </w:tcPr>
          <w:p>
            <w:pPr>
              <w:jc w:val="right"/>
              <w:ind w:right="360"/>
              <w:spacing w:after="0" w:line="167" w:lineRule="exact"/>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25"/>
              <w:spacing w:after="0"/>
              <w:rPr>
                <w:sz w:val="20"/>
                <w:szCs w:val="20"/>
                <w:color w:val="auto"/>
              </w:rPr>
            </w:pPr>
            <w:r>
              <w:rPr>
                <w:rFonts w:ascii="Arial" w:cs="Arial" w:eastAsia="Arial" w:hAnsi="Arial"/>
                <w:sz w:val="15"/>
                <w:szCs w:val="15"/>
                <w:b w:val="1"/>
                <w:bCs w:val="1"/>
                <w:color w:val="auto"/>
                <w:w w:val="95"/>
              </w:rPr>
              <w:t>2020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20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2021 v 2020</w:t>
            </w:r>
          </w:p>
        </w:tc>
        <w:tc>
          <w:tcPr>
            <w:tcW w:w="12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2020 v 2019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25"/>
              <w:spacing w:after="0"/>
              <w:rPr>
                <w:sz w:val="20"/>
                <w:szCs w:val="20"/>
                <w:color w:val="auto"/>
              </w:rPr>
            </w:pPr>
            <w:r>
              <w:rPr>
                <w:rFonts w:ascii="Arial" w:cs="Arial" w:eastAsia="Arial" w:hAnsi="Arial"/>
                <w:sz w:val="15"/>
                <w:szCs w:val="15"/>
                <w:i w:val="1"/>
                <w:iCs w:val="1"/>
                <w:color w:val="auto"/>
                <w:w w:val="92"/>
              </w:rPr>
              <w:t>(in thousands)</w:t>
            </w: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 expense</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26,733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16,773</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11,902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59.4%</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Research and development expense</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34,207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19,119</w:t>
            </w:r>
          </w:p>
        </w:tc>
        <w:tc>
          <w:tcPr>
            <w:tcW w:w="2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12,900</w:t>
            </w:r>
          </w:p>
        </w:tc>
        <w:tc>
          <w:tcPr>
            <w:tcW w:w="1360" w:type="dxa"/>
            <w:vAlign w:val="bottom"/>
            <w:gridSpan w:val="2"/>
          </w:tcPr>
          <w:p>
            <w:pPr>
              <w:jc w:val="right"/>
              <w:ind w:right="120"/>
              <w:spacing w:after="0"/>
              <w:rPr>
                <w:sz w:val="20"/>
                <w:szCs w:val="20"/>
                <w:color w:val="auto"/>
              </w:rPr>
            </w:pPr>
            <w:r>
              <w:rPr>
                <w:rFonts w:ascii="Arial" w:cs="Arial" w:eastAsia="Arial" w:hAnsi="Arial"/>
                <w:sz w:val="15"/>
                <w:szCs w:val="15"/>
                <w:color w:val="auto"/>
              </w:rPr>
              <w:t>78.9%</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48.2%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 expense</w:t>
            </w: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15,214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12,215</w:t>
            </w: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8,061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24.6%</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51.5%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Total operating expenses</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76,154</w:t>
            </w:r>
          </w:p>
        </w:tc>
        <w:tc>
          <w:tcPr>
            <w:tcW w:w="3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48,107</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32,863</w:t>
            </w:r>
          </w:p>
        </w:tc>
        <w:tc>
          <w:tcPr>
            <w:tcW w:w="1360" w:type="dxa"/>
            <w:vAlign w:val="bottom"/>
            <w:gridSpan w:val="2"/>
          </w:tcPr>
          <w:p>
            <w:pPr>
              <w:jc w:val="right"/>
              <w:ind w:right="120"/>
              <w:spacing w:after="0"/>
              <w:rPr>
                <w:sz w:val="20"/>
                <w:szCs w:val="20"/>
                <w:color w:val="auto"/>
              </w:rPr>
            </w:pPr>
            <w:r>
              <w:rPr>
                <w:rFonts w:ascii="Arial" w:cs="Arial" w:eastAsia="Arial" w:hAnsi="Arial"/>
                <w:sz w:val="15"/>
                <w:szCs w:val="15"/>
                <w:color w:val="auto"/>
              </w:rPr>
              <w:t>58.3%</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Sales and marketing expense increased by $10.0 million for 2021 as compared to 2020, primarily due to an increase in services costs including travel and warranty support, employee payroll and benefits, stock-based compensation, and sales commissions. Sales and marketing expense increased by $4.9 million for 2020 as compared to 2019, primarily due to an increase in employee count, salaries, stock-based compensation, and sales commissions.</w:t>
      </w:r>
    </w:p>
    <w:p>
      <w:pPr>
        <w:spacing w:after="0" w:line="155"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Research and development expense increased $15.1 million for 2021 as compared to 2020, primarily due to an increase in employee payroll and benefits, cost of components and other research and development supplies, travel, and other related expenses. Research and development expense represented 13.2% and 12.2% of our revenue in 2021 and 2020, respectively. Without reduction by grant amounts received from PRC governmental authorities (see “—Key Components of Results of Operations—PRC Government Research and Development Funding”), gross research and development expense totaled $45.5 million, or 17.5% of revenue, in 2021 and $21.2 million, or 13.6% of revenue, in 2020.</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Research and development expense increased $6.2 million for 2020 as compared to 2019, primarily due to an increase in employee count, salaries and research and development parts. Research and development expense represented 12.2% and 12.0% of our revenue in 2020 and 2019, respectively. Without reduction by grant amounts received from PRC governmental authorities (see “—Key Components of Results of Operations—PRC Government Research and Development Funding”), gross research and development expense totaled $21.2 million, or 13.6% of revenue, in 2020 and $16.1 million, or 14.9% of revenue, in 2019.</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General and administrative expense increased $3.0 million for 2021 as compared to 2020, primarily due to increased employee payroll and benefits, and an increase in legal, payroll tax and other fees. General and administrative expense increased $4.2 million for 2020 as compared to 2019, primarily due to an increase in stock-based compensation, increased employee count, and an increase in legal, payroll tax and other fees.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EE"/>
            </w:tcBorders>
          </w:tcPr>
          <w:p>
            <w:pPr>
              <w:spacing w:after="0"/>
              <w:rPr>
                <w:rFonts w:ascii="Arial" w:cs="Arial" w:eastAsia="Arial" w:hAnsi="Arial"/>
                <w:sz w:val="12"/>
                <w:szCs w:val="12"/>
                <w:i w:val="1"/>
                <w:iCs w:val="1"/>
                <w:color w:val="0000EE"/>
                <w:w w:val="86"/>
              </w:rPr>
            </w:pPr>
            <w:hyperlink w:anchor="page2">
              <w:r>
                <w:rPr>
                  <w:rFonts w:ascii="Arial" w:cs="Arial" w:eastAsia="Arial" w:hAnsi="Arial"/>
                  <w:sz w:val="12"/>
                  <w:szCs w:val="12"/>
                  <w:i w:val="1"/>
                  <w:iCs w:val="1"/>
                  <w:color w:val="0000EE"/>
                  <w:w w:val="86"/>
                </w:rPr>
                <w:t>Table of Contents</w:t>
              </w:r>
            </w:hyperlink>
          </w:p>
        </w:tc>
        <w:tc>
          <w:tcPr>
            <w:tcW w:w="492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18"/>
        </w:trPr>
        <w:tc>
          <w:tcPr>
            <w:tcW w:w="5760" w:type="dxa"/>
            <w:vAlign w:val="bottom"/>
            <w:gridSpan w:val="3"/>
          </w:tcPr>
          <w:p>
            <w:pPr>
              <w:spacing w:after="0"/>
              <w:rPr>
                <w:sz w:val="20"/>
                <w:szCs w:val="20"/>
                <w:color w:val="auto"/>
              </w:rPr>
            </w:pPr>
            <w:r>
              <w:rPr>
                <w:rFonts w:ascii="Arial" w:cs="Arial" w:eastAsia="Arial" w:hAnsi="Arial"/>
                <w:sz w:val="15"/>
                <w:szCs w:val="15"/>
                <w:b w:val="1"/>
                <w:bCs w:val="1"/>
                <w:color w:val="auto"/>
              </w:rPr>
              <w:t>Change in fair value of financial liability and trading securities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6"/>
        </w:trPr>
        <w:tc>
          <w:tcPr>
            <w:tcW w:w="8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center"/>
              <w:ind w:left="25"/>
              <w:spacing w:after="0"/>
              <w:rPr>
                <w:sz w:val="20"/>
                <w:szCs w:val="20"/>
                <w:color w:val="auto"/>
              </w:rPr>
            </w:pPr>
            <w:r>
              <w:rPr>
                <w:rFonts w:ascii="Arial" w:cs="Arial" w:eastAsia="Arial" w:hAnsi="Arial"/>
                <w:sz w:val="15"/>
                <w:szCs w:val="15"/>
                <w:b w:val="1"/>
                <w:bCs w:val="1"/>
                <w:color w:val="auto"/>
                <w:w w:val="91"/>
              </w:rPr>
              <w:t>Year Ended December 31,</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8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140"/>
              <w:spacing w:after="0" w:line="167" w:lineRule="exact"/>
              <w:rPr>
                <w:sz w:val="20"/>
                <w:szCs w:val="20"/>
                <w:color w:val="auto"/>
              </w:rPr>
            </w:pPr>
            <w:r>
              <w:rPr>
                <w:rFonts w:ascii="Arial" w:cs="Arial" w:eastAsia="Arial" w:hAnsi="Arial"/>
                <w:sz w:val="15"/>
                <w:szCs w:val="15"/>
                <w:b w:val="1"/>
                <w:bCs w:val="1"/>
                <w:color w:val="auto"/>
                <w:w w:val="93"/>
              </w:rPr>
              <w:t>% Change</w:t>
            </w:r>
          </w:p>
        </w:tc>
        <w:tc>
          <w:tcPr>
            <w:tcW w:w="10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3"/>
              </w:rPr>
              <w:t>% Change</w:t>
            </w:r>
          </w:p>
        </w:tc>
      </w:tr>
      <w:tr>
        <w:trPr>
          <w:trHeight w:val="198"/>
        </w:trPr>
        <w:tc>
          <w:tcPr>
            <w:tcW w:w="5760" w:type="dxa"/>
            <w:vAlign w:val="bottom"/>
            <w:gridSpan w:val="3"/>
          </w:tcPr>
          <w:p>
            <w:pPr>
              <w:ind w:left="5380"/>
              <w:spacing w:after="0"/>
              <w:rPr>
                <w:sz w:val="20"/>
                <w:szCs w:val="20"/>
                <w:color w:val="auto"/>
              </w:rPr>
            </w:pPr>
            <w:r>
              <w:rPr>
                <w:rFonts w:ascii="Arial" w:cs="Arial" w:eastAsia="Arial" w:hAnsi="Arial"/>
                <w:sz w:val="15"/>
                <w:szCs w:val="15"/>
                <w:b w:val="1"/>
                <w:bCs w:val="1"/>
                <w:color w:val="auto"/>
              </w:rPr>
              <w:t>2021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5"/>
              </w:rPr>
              <w:t>2020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2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2021 v 2020</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1"/>
              </w:rPr>
              <w:t>2020 v 2019</w:t>
            </w:r>
          </w:p>
        </w:tc>
      </w:tr>
      <w:tr>
        <w:trPr>
          <w:trHeight w:val="181"/>
        </w:trPr>
        <w:tc>
          <w:tcPr>
            <w:tcW w:w="8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5"/>
                <w:szCs w:val="15"/>
                <w:i w:val="1"/>
                <w:iCs w:val="1"/>
                <w:color w:val="auto"/>
                <w:w w:val="92"/>
              </w:rPr>
              <w:t>(in thousands)</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81"/>
        </w:trPr>
        <w:tc>
          <w:tcPr>
            <w:tcW w:w="57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Unrealized gain on trading securities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607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12,574</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-95.2%</w:t>
            </w:r>
          </w:p>
        </w:tc>
        <w:tc>
          <w:tcPr>
            <w:tcW w:w="1000" w:type="dxa"/>
            <w:vAlign w:val="bottom"/>
            <w:shd w:val="clear" w:color="auto" w:fill="CCEEFF"/>
          </w:tcPr>
          <w:p>
            <w:pPr>
              <w:ind w:left="760"/>
              <w:spacing w:after="0"/>
              <w:rPr>
                <w:sz w:val="20"/>
                <w:szCs w:val="20"/>
                <w:color w:val="auto"/>
              </w:rPr>
            </w:pPr>
            <w:r>
              <w:rPr>
                <w:rFonts w:ascii="Arial" w:cs="Arial" w:eastAsia="Arial" w:hAnsi="Arial"/>
                <w:sz w:val="15"/>
                <w:szCs w:val="15"/>
                <w:color w:val="auto"/>
                <w:w w:val="94"/>
              </w:rPr>
              <w:t>NM</w:t>
            </w:r>
          </w:p>
        </w:tc>
      </w:tr>
      <w:tr>
        <w:trPr>
          <w:trHeight w:val="190"/>
        </w:trPr>
        <w:tc>
          <w:tcPr>
            <w:tcW w:w="5760" w:type="dxa"/>
            <w:vAlign w:val="bottom"/>
            <w:gridSpan w:val="3"/>
          </w:tcPr>
          <w:p>
            <w:pPr>
              <w:spacing w:after="0"/>
              <w:rPr>
                <w:sz w:val="20"/>
                <w:szCs w:val="20"/>
                <w:color w:val="auto"/>
              </w:rPr>
            </w:pPr>
            <w:r>
              <w:rPr>
                <w:rFonts w:ascii="Arial" w:cs="Arial" w:eastAsia="Arial" w:hAnsi="Arial"/>
                <w:sz w:val="15"/>
                <w:szCs w:val="15"/>
                <w:color w:val="auto"/>
              </w:rPr>
              <w:t>Change in fair value of financial liability and trading securities</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(11,964)</w:t>
            </w:r>
          </w:p>
        </w:tc>
        <w:tc>
          <w:tcPr>
            <w:tcW w:w="2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NM</w:t>
            </w:r>
          </w:p>
        </w:tc>
        <w:tc>
          <w:tcPr>
            <w:tcW w:w="1000" w:type="dxa"/>
            <w:vAlign w:val="bottom"/>
          </w:tcPr>
          <w:p>
            <w:pPr>
              <w:ind w:left="760"/>
              <w:spacing w:after="0"/>
              <w:rPr>
                <w:sz w:val="20"/>
                <w:szCs w:val="20"/>
                <w:color w:val="auto"/>
              </w:rPr>
            </w:pPr>
            <w:r>
              <w:rPr>
                <w:rFonts w:ascii="Arial" w:cs="Arial" w:eastAsia="Arial" w:hAnsi="Arial"/>
                <w:sz w:val="15"/>
                <w:szCs w:val="15"/>
                <w:color w:val="auto"/>
                <w:w w:val="94"/>
              </w:rPr>
              <w:t>NM</w:t>
            </w:r>
          </w:p>
        </w:tc>
      </w:tr>
    </w:tbl>
    <w:p>
      <w:pPr>
        <w:spacing w:after="0" w:line="161"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Unrealized gain on trading securities was $0.6 million for 2021 as compared to $12.6 million for 2021 and nil for 2019, due to an increase in the market value of securities purchased from the original cost basis in July of 2020 to the closing price on December 31, 2021 and 2020, respectively as described in note 16. Change in fair value of financial liability was nil for 2021 as compared to ($12.0) million for 2020 and nil for 2019. The change in 2020 was due to the non-cash, non-operating expense related to transactions as described in note 15.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20" w:type="dxa"/>
            <w:vAlign w:val="bottom"/>
            <w:gridSpan w:val="2"/>
          </w:tcPr>
          <w:p>
            <w:pPr>
              <w:spacing w:after="0"/>
              <w:rPr>
                <w:sz w:val="20"/>
                <w:szCs w:val="20"/>
                <w:color w:val="auto"/>
              </w:rPr>
            </w:pPr>
            <w:r>
              <w:rPr>
                <w:rFonts w:ascii="Arial" w:cs="Arial" w:eastAsia="Arial" w:hAnsi="Arial"/>
                <w:sz w:val="15"/>
                <w:szCs w:val="15"/>
                <w:b w:val="1"/>
                <w:bCs w:val="1"/>
                <w:color w:val="auto"/>
              </w:rPr>
              <w:t>Other Income and Expenses</w:t>
            </w: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center"/>
              <w:ind w:left="2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60"/>
              <w:spacing w:after="0" w:line="167" w:lineRule="exact"/>
              <w:rPr>
                <w:sz w:val="20"/>
                <w:szCs w:val="20"/>
                <w:color w:val="auto"/>
              </w:rPr>
            </w:pPr>
            <w:r>
              <w:rPr>
                <w:rFonts w:ascii="Arial" w:cs="Arial" w:eastAsia="Arial" w:hAnsi="Arial"/>
                <w:sz w:val="15"/>
                <w:szCs w:val="15"/>
                <w:b w:val="1"/>
                <w:bCs w:val="1"/>
                <w:color w:val="auto"/>
              </w:rPr>
              <w:t>% Change</w:t>
            </w:r>
          </w:p>
        </w:tc>
        <w:tc>
          <w:tcPr>
            <w:tcW w:w="1240" w:type="dxa"/>
            <w:vAlign w:val="bottom"/>
            <w:gridSpan w:val="2"/>
          </w:tcPr>
          <w:p>
            <w:pPr>
              <w:jc w:val="right"/>
              <w:ind w:right="360"/>
              <w:spacing w:after="0" w:line="167" w:lineRule="exact"/>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25"/>
              <w:spacing w:after="0"/>
              <w:rPr>
                <w:sz w:val="20"/>
                <w:szCs w:val="20"/>
                <w:color w:val="auto"/>
              </w:rPr>
            </w:pPr>
            <w:r>
              <w:rPr>
                <w:rFonts w:ascii="Arial" w:cs="Arial" w:eastAsia="Arial" w:hAnsi="Arial"/>
                <w:sz w:val="15"/>
                <w:szCs w:val="15"/>
                <w:b w:val="1"/>
                <w:bCs w:val="1"/>
                <w:color w:val="auto"/>
                <w:w w:val="95"/>
              </w:rPr>
              <w:t>2020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20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2021 v 2020</w:t>
            </w:r>
          </w:p>
        </w:tc>
        <w:tc>
          <w:tcPr>
            <w:tcW w:w="12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2020 v 2019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25"/>
              <w:spacing w:after="0"/>
              <w:rPr>
                <w:sz w:val="20"/>
                <w:szCs w:val="20"/>
                <w:color w:val="auto"/>
              </w:rPr>
            </w:pPr>
            <w:r>
              <w:rPr>
                <w:rFonts w:ascii="Arial" w:cs="Arial" w:eastAsia="Arial" w:hAnsi="Arial"/>
                <w:sz w:val="15"/>
                <w:szCs w:val="15"/>
                <w:i w:val="1"/>
                <w:iCs w:val="1"/>
                <w:color w:val="auto"/>
                <w:w w:val="92"/>
              </w:rPr>
              <w:t>(in thousands)</w:t>
            </w: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2180" w:type="dxa"/>
            <w:vAlign w:val="bottom"/>
            <w:gridSpan w:val="2"/>
            <w:shd w:val="clear" w:color="auto" w:fill="CCEEFF"/>
          </w:tcPr>
          <w:p>
            <w:pPr>
              <w:jc w:val="right"/>
              <w:ind w:right="625"/>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897</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333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-43.7%</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169.4%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Interest Expense</w:t>
            </w: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(765)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(982)</w:t>
            </w:r>
          </w:p>
        </w:tc>
        <w:tc>
          <w:tcPr>
            <w:tcW w:w="2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(745)</w:t>
            </w:r>
          </w:p>
        </w:tc>
        <w:tc>
          <w:tcPr>
            <w:tcW w:w="1360" w:type="dxa"/>
            <w:vAlign w:val="bottom"/>
            <w:gridSpan w:val="2"/>
          </w:tcPr>
          <w:p>
            <w:pPr>
              <w:jc w:val="right"/>
              <w:ind w:right="120"/>
              <w:spacing w:after="0"/>
              <w:rPr>
                <w:sz w:val="20"/>
                <w:szCs w:val="20"/>
                <w:color w:val="auto"/>
              </w:rPr>
            </w:pPr>
            <w:r>
              <w:rPr>
                <w:rFonts w:ascii="Arial" w:cs="Arial" w:eastAsia="Arial" w:hAnsi="Arial"/>
                <w:sz w:val="15"/>
                <w:szCs w:val="15"/>
                <w:color w:val="auto"/>
              </w:rPr>
              <w:t>-22.1%</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Interest Income (expense), net</w:t>
            </w:r>
          </w:p>
        </w:tc>
        <w:tc>
          <w:tcPr>
            <w:tcW w:w="14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(260)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205.9%</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-79.4%</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2180" w:type="dxa"/>
            <w:vAlign w:val="bottom"/>
            <w:gridSpan w:val="2"/>
          </w:tcPr>
          <w:p>
            <w:pPr>
              <w:spacing w:after="0"/>
              <w:rPr>
                <w:sz w:val="14"/>
                <w:szCs w:val="14"/>
                <w:color w:val="auto"/>
              </w:rPr>
            </w:pPr>
          </w:p>
        </w:tc>
        <w:tc>
          <w:tcPr>
            <w:tcW w:w="48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1360" w:type="dxa"/>
            <w:vAlign w:val="bottom"/>
            <w:gridSpan w:val="2"/>
          </w:tcPr>
          <w:p>
            <w:pPr>
              <w:spacing w:after="0"/>
              <w:rPr>
                <w:sz w:val="14"/>
                <w:szCs w:val="14"/>
                <w:color w:val="auto"/>
              </w:rPr>
            </w:pPr>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2180" w:type="dxa"/>
            <w:vAlign w:val="bottom"/>
            <w:gridSpan w:val="2"/>
            <w:shd w:val="clear" w:color="auto" w:fill="CCEEFF"/>
          </w:tcPr>
          <w:p>
            <w:pPr>
              <w:jc w:val="right"/>
              <w:ind w:right="625"/>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(3,377)</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1,393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-342.4%</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Interest income (expense), net, consists of interest incurred from outstanding short-term and long-term borrowings, offset by interest earned on net cash balances. Interest income (expense), net, increased to ($260,000) in 2021 from ($85,000) in 2020, principally as a result of reduced interest income from lower interest rates on reduced cash balances, partly offset by reduced interest expenses incurred from short-term and long-term bank loans. Interest income (expense), net, decreased to ($85,000) in 2020 from ($412,000) in 2019, principally as a result of increased interest income earned from higher cash balances, partly offset by increased interest expenses incurred from higher short term bank loans.</w:t>
      </w:r>
    </w:p>
    <w:p>
      <w:pPr>
        <w:spacing w:after="0" w:line="143"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Other income (expense), net primarily reflects (a) gains or losses recognized from the effect of exchange rates on our foreign currency-denominated asset and liability balances and (b) depreciation of assets acquired with government subsidies, as described under “—Key Components of Results of Operations—PRC Government Research and Development Funding” above. Our other income (expense), net was ($0.6 million) in 2021 due primarily to losses due to the effect of exchange rate fluctuations, ($3.4 million) million in 2020 due primarily to losses due to the effect of exchange rate fluctuations, and other income (expense), net of $1.4 million in 2019 due primarily to gains due to the effect of exchange rate fluctuations.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EE"/>
            </w:tcBorders>
            <w:gridSpan w:val="2"/>
          </w:tcPr>
          <w:p>
            <w:pPr>
              <w:spacing w:after="0"/>
              <w:rPr>
                <w:rFonts w:ascii="Arial" w:cs="Arial" w:eastAsia="Arial" w:hAnsi="Arial"/>
                <w:sz w:val="12"/>
                <w:szCs w:val="12"/>
                <w:i w:val="1"/>
                <w:iCs w:val="1"/>
                <w:color w:val="0000EE"/>
                <w:w w:val="86"/>
              </w:rPr>
            </w:pPr>
            <w:hyperlink w:anchor="page2">
              <w:r>
                <w:rPr>
                  <w:rFonts w:ascii="Arial" w:cs="Arial" w:eastAsia="Arial" w:hAnsi="Arial"/>
                  <w:sz w:val="12"/>
                  <w:szCs w:val="12"/>
                  <w:i w:val="1"/>
                  <w:iCs w:val="1"/>
                  <w:color w:val="0000EE"/>
                  <w:w w:val="86"/>
                </w:rPr>
                <w:t>Table of Contents</w:t>
              </w:r>
            </w:hyperlink>
          </w:p>
        </w:tc>
        <w:tc>
          <w:tcPr>
            <w:tcW w:w="6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7340" w:type="dxa"/>
            <w:vAlign w:val="bottom"/>
            <w:gridSpan w:val="3"/>
          </w:tcPr>
          <w:p>
            <w:pPr>
              <w:spacing w:after="0"/>
              <w:rPr>
                <w:sz w:val="20"/>
                <w:szCs w:val="20"/>
                <w:color w:val="auto"/>
              </w:rPr>
            </w:pPr>
            <w:r>
              <w:rPr>
                <w:rFonts w:ascii="Arial" w:cs="Arial" w:eastAsia="Arial" w:hAnsi="Arial"/>
                <w:sz w:val="15"/>
                <w:szCs w:val="15"/>
                <w:b w:val="1"/>
                <w:bCs w:val="1"/>
                <w:color w:val="auto"/>
              </w:rPr>
              <w:t>Income Tax Benefit (Expense)</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340" w:type="dxa"/>
            <w:vAlign w:val="bottom"/>
            <w:gridSpan w:val="3"/>
          </w:tcPr>
          <w:p>
            <w:pPr>
              <w:spacing w:after="0"/>
              <w:rPr>
                <w:sz w:val="20"/>
                <w:szCs w:val="20"/>
                <w:color w:val="auto"/>
              </w:rPr>
            </w:pPr>
            <w:r>
              <w:rPr>
                <w:rFonts w:ascii="Arial" w:cs="Arial" w:eastAsia="Arial" w:hAnsi="Arial"/>
                <w:sz w:val="15"/>
                <w:szCs w:val="15"/>
                <w:color w:val="auto"/>
              </w:rPr>
              <w:t>The following presents components of income tax benefit (expense) for the indicated periods:</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8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9"/>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40" w:type="dxa"/>
            <w:vAlign w:val="bottom"/>
            <w:gridSpan w:val="3"/>
            <w:vMerge w:val="restart"/>
          </w:tcPr>
          <w:p>
            <w:pPr>
              <w:spacing w:after="0"/>
              <w:rPr>
                <w:sz w:val="20"/>
                <w:szCs w:val="20"/>
                <w:color w:val="auto"/>
              </w:rPr>
            </w:pPr>
            <w:r>
              <w:rPr>
                <w:rFonts w:ascii="Arial" w:cs="Arial" w:eastAsia="Arial" w:hAnsi="Arial"/>
                <w:sz w:val="15"/>
                <w:szCs w:val="15"/>
                <w:color w:val="auto"/>
              </w:rPr>
              <w:t>Current:</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5"/>
              <w:spacing w:after="0"/>
              <w:rPr>
                <w:sz w:val="20"/>
                <w:szCs w:val="20"/>
                <w:color w:val="auto"/>
              </w:rPr>
            </w:pPr>
            <w:r>
              <w:rPr>
                <w:rFonts w:ascii="Arial" w:cs="Arial" w:eastAsia="Arial" w:hAnsi="Arial"/>
                <w:sz w:val="15"/>
                <w:szCs w:val="15"/>
                <w:i w:val="1"/>
                <w:iCs w:val="1"/>
                <w:color w:val="auto"/>
                <w:w w:val="92"/>
              </w:rPr>
              <w:t>(in thousands)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34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U.S. federal</w:t>
            </w:r>
          </w:p>
        </w:tc>
        <w:tc>
          <w:tcPr>
            <w:tcW w:w="700" w:type="dxa"/>
            <w:vAlign w:val="bottom"/>
            <w:shd w:val="clear" w:color="auto" w:fill="CCEEFF"/>
          </w:tcPr>
          <w:p>
            <w:pPr>
              <w:jc w:val="right"/>
              <w:ind w:right="583"/>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Arial" w:cs="Arial" w:eastAsia="Arial" w:hAnsi="Arial"/>
                <w:sz w:val="15"/>
                <w:szCs w:val="15"/>
                <w:color w:val="auto"/>
              </w:rPr>
              <w:t>U.S. state</w:t>
            </w:r>
          </w:p>
        </w:tc>
        <w:tc>
          <w:tcPr>
            <w:tcW w:w="7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Foreign</w:t>
            </w:r>
          </w:p>
        </w:tc>
        <w:tc>
          <w:tcPr>
            <w:tcW w:w="7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(2,195)</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(2,014)</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(3,176)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5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7320" w:type="dxa"/>
            <w:vAlign w:val="bottom"/>
            <w:gridSpan w:val="2"/>
          </w:tcPr>
          <w:p>
            <w:pPr>
              <w:spacing w:after="0"/>
              <w:rPr>
                <w:sz w:val="20"/>
                <w:szCs w:val="20"/>
                <w:color w:val="auto"/>
              </w:rPr>
            </w:pPr>
            <w:r>
              <w:rPr>
                <w:rFonts w:ascii="Arial" w:cs="Arial" w:eastAsia="Arial" w:hAnsi="Arial"/>
                <w:sz w:val="15"/>
                <w:szCs w:val="15"/>
                <w:color w:val="auto"/>
              </w:rPr>
              <w:t>Total current tax expense</w:t>
            </w:r>
          </w:p>
        </w:tc>
        <w:tc>
          <w:tcPr>
            <w:tcW w:w="7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(2,288)</w:t>
            </w: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(2,077)</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(3,176)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Deferred:</w:t>
            </w:r>
          </w:p>
        </w:tc>
        <w:tc>
          <w:tcPr>
            <w:tcW w:w="7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Arial" w:cs="Arial" w:eastAsia="Arial" w:hAnsi="Arial"/>
                <w:sz w:val="15"/>
                <w:szCs w:val="15"/>
                <w:color w:val="auto"/>
              </w:rPr>
              <w:t>U.S. federal</w:t>
            </w:r>
          </w:p>
        </w:tc>
        <w:tc>
          <w:tcPr>
            <w:tcW w:w="7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2,089</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7,325</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3,728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U.S. state</w:t>
            </w: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Arial" w:cs="Arial" w:eastAsia="Arial" w:hAnsi="Arial"/>
                <w:sz w:val="15"/>
                <w:szCs w:val="15"/>
                <w:color w:val="auto"/>
              </w:rPr>
              <w:t>Foreign</w:t>
            </w: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(2,866)</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20" w:type="dxa"/>
            <w:vAlign w:val="bottom"/>
            <w:tcBorders>
              <w:bottom w:val="single" w:sz="8" w:color="CCEEFF"/>
              <w:right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rPr>
              <w:t>Total deferred tax benefit</w:t>
            </w: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2,154</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4,459</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Arial" w:cs="Arial" w:eastAsia="Arial" w:hAnsi="Arial"/>
                <w:sz w:val="15"/>
                <w:szCs w:val="15"/>
                <w:color w:val="auto"/>
              </w:rPr>
              <w:t>Total income tax benefit (expense)</w:t>
            </w:r>
          </w:p>
        </w:tc>
        <w:tc>
          <w:tcPr>
            <w:tcW w:w="700" w:type="dxa"/>
            <w:vAlign w:val="bottom"/>
          </w:tcPr>
          <w:p>
            <w:pPr>
              <w:jc w:val="right"/>
              <w:ind w:right="583"/>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(134)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2,382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we collect and prepare necessary data, and interpret the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2021.</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effective tax rate differs from statutory rates of 21% for U.S. federal income tax purposes and 12.5% to 25% for PRC income tax purposes due to the effects of the valuation allowance and certain permanent differences as it pertains to book-tax differences in the value of client equity securities received for services. Our three PRC subsidiaries, ACM Shanghai, ACM Wuxi, and ACM Shengwei, are liable for PRC corporate income taxes at the rates of 12.5%, 25%,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12.5%. ACM Shanghai was certified as an “advanced and new technology enterprise” in 2012, in 2016, and again in 2018, with an effective period of three years.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file income tax returns in the United States and state and foreign jurisdictions. Those federal, state and foreign income tax returns are under the statute of limitations subject to tax examinations for 1999 through 2020.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20"/>
                <w:szCs w:val="20"/>
                <w:color w:val="auto"/>
              </w:rPr>
            </w:pPr>
            <w:r>
              <w:rPr>
                <w:rFonts w:ascii="Arial" w:cs="Arial" w:eastAsia="Arial" w:hAnsi="Arial"/>
                <w:sz w:val="15"/>
                <w:szCs w:val="15"/>
                <w:i w:val="1"/>
                <w:iCs w:val="1"/>
                <w:color w:val="auto"/>
              </w:rPr>
              <w:t>Net Income Attributable to Non-Controlling Interests and Redeemable Non-Controlling Interests</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6"/>
        </w:trPr>
        <w:tc>
          <w:tcPr>
            <w:tcW w:w="6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left="4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6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9"/>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181"/>
        </w:trPr>
        <w:tc>
          <w:tcPr>
            <w:tcW w:w="6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5"/>
              <w:spacing w:after="0"/>
              <w:rPr>
                <w:sz w:val="20"/>
                <w:szCs w:val="20"/>
                <w:color w:val="auto"/>
              </w:rPr>
            </w:pPr>
            <w:r>
              <w:rPr>
                <w:rFonts w:ascii="Arial" w:cs="Arial" w:eastAsia="Arial" w:hAnsi="Arial"/>
                <w:sz w:val="15"/>
                <w:szCs w:val="15"/>
                <w:i w:val="1"/>
                <w:iCs w:val="1"/>
                <w:color w:val="auto"/>
                <w:w w:val="92"/>
              </w:rPr>
              <w:t>(in thousands)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Net income attributable to non-controlling interests and redeemable non-controlling interests</w:t>
            </w:r>
          </w:p>
        </w:tc>
        <w:tc>
          <w:tcPr>
            <w:tcW w:w="1520" w:type="dxa"/>
            <w:vAlign w:val="bottom"/>
            <w:gridSpan w:val="2"/>
            <w:shd w:val="clear" w:color="auto" w:fill="CCEEFF"/>
          </w:tcPr>
          <w:p>
            <w:pPr>
              <w:jc w:val="right"/>
              <w:ind w:right="605"/>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5"/>
              </w:rPr>
              <w:t>5,607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6,858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483</w:t>
            </w:r>
          </w:p>
        </w:tc>
      </w:tr>
    </w:tbl>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described above under “STAR Market Listing and IPO”, in 2019, ACM Shanghai sold a total number of shares representing 8.3% of its outstanding ACM Shanghai shares, after which ACM Research held the remaining 91.7% of ACM Shanghai’s outstanding shares. In 2021 ACM Shanghai sold a total number shares representing an additional 10% of its outstanding ACM Shanghai shares in its STAR IPO, after which ACM Research held the remaining 82.5% of ACM Shanghai’s outstanding shares. During the second quarter of 2020, the redemption feature of the private placement funding terminated and the aggregate proceeds of the funding were reclassified from redeemable non-controlling interests to non-controlling interests. As a result, we reflect, as net income attributable to non-controlling interests and redeemable non-controlling interests, the portion of our net income allocable to the minority holders of ACM Shanghai shares.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5" w:name="page76"/>
    <w:bookmarkEnd w:id="75"/>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Liquidity and Capital Resources</w:t>
      </w:r>
    </w:p>
    <w:p>
      <w:pPr>
        <w:spacing w:after="0" w:line="194"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During 2021, we funded our technology development and operations principally through our beginning cash balance and short-term borrowings by ACM Shanghai from local financial institutions.</w:t>
      </w:r>
    </w:p>
    <w:p>
      <w:pPr>
        <w:spacing w:after="0" w:line="146" w:lineRule="exact"/>
        <w:rPr>
          <w:sz w:val="20"/>
          <w:szCs w:val="20"/>
          <w:color w:val="auto"/>
        </w:rPr>
      </w:pPr>
    </w:p>
    <w:p>
      <w:pPr>
        <w:jc w:val="both"/>
        <w:ind w:left="10"/>
        <w:spacing w:after="0" w:line="275" w:lineRule="auto"/>
        <w:rPr>
          <w:sz w:val="20"/>
          <w:szCs w:val="20"/>
          <w:color w:val="auto"/>
        </w:rPr>
      </w:pPr>
      <w:r>
        <w:rPr>
          <w:rFonts w:ascii="Arial" w:cs="Arial" w:eastAsia="Arial" w:hAnsi="Arial"/>
          <w:sz w:val="14"/>
          <w:szCs w:val="14"/>
          <w:color w:val="auto"/>
        </w:rPr>
        <w:t>We believe our existing cash and cash equivalents, including proceeds from the STAR IPO,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 As of December 31, 2021 and 2020, we did not have any significant off-balance sheet arrangements, as defined in Item 303(a)(4)(ii) of Regulation S-K of the Securities and Exchange Commission.</w:t>
      </w:r>
    </w:p>
    <w:p>
      <w:pPr>
        <w:spacing w:after="0" w:line="150" w:lineRule="exact"/>
        <w:rPr>
          <w:sz w:val="20"/>
          <w:szCs w:val="20"/>
          <w:color w:val="auto"/>
        </w:rPr>
      </w:pPr>
    </w:p>
    <w:p>
      <w:pPr>
        <w:jc w:val="both"/>
        <w:ind w:left="10"/>
        <w:spacing w:after="0" w:line="312" w:lineRule="auto"/>
        <w:rPr>
          <w:sz w:val="20"/>
          <w:szCs w:val="20"/>
          <w:color w:val="auto"/>
        </w:rPr>
      </w:pPr>
      <w:r>
        <w:rPr>
          <w:rFonts w:ascii="Arial" w:cs="Arial" w:eastAsia="Arial" w:hAnsi="Arial"/>
          <w:sz w:val="13"/>
          <w:szCs w:val="13"/>
          <w:color w:val="auto"/>
        </w:rPr>
        <w:t>In 2020 ACM Shanghai, through its wholly owned subsidiary Shengwei Research (Shanghai), Inc., entered into a Grant Contract for State-owned Construction Land Use Right in Shanghai City (Category of R&amp;D Headquarters and Industrial Projects), or the Grant Agreement, with the China (Shanghai) Pilot Free Trade Zone Lin-gang Special Area Administration. Shengwei Research (Shanghai), Inc. obtained rights to use approximately 43,000 square meters (10.6 acres) of land in the Lingang Heavy Equipment Industrial Zone of Lin-gang Special Area of China (Shanghai) Pilot Free Trade Zone for a period of fifty years, commencing on the date of delivery of the land in July 2020, which we refer to as the Delivery Date.</w:t>
      </w:r>
    </w:p>
    <w:p>
      <w:pPr>
        <w:spacing w:after="0" w:line="128"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In exchange for its land use rights, Shengwei Research (Shanghai), Inc. paid aggregate grant fees of RMB 61.7 million ($9.5 million), and a performance deposit of RMB 12.3 million ($1.9 million), which is equal to 20% of the aggregate grant fees, to secure its achievement of the following performance milestones:</w:t>
      </w:r>
    </w:p>
    <w:p>
      <w:pPr>
        <w:spacing w:after="0" w:line="146" w:lineRule="exact"/>
        <w:rPr>
          <w:sz w:val="20"/>
          <w:szCs w:val="20"/>
          <w:color w:val="auto"/>
        </w:rPr>
      </w:pPr>
    </w:p>
    <w:p>
      <w:pPr>
        <w:ind w:left="410" w:hanging="410"/>
        <w:spacing w:after="0"/>
        <w:tabs>
          <w:tab w:leader="none" w:pos="41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start of construction within 6 months after the Delivery Date (60% of the performance deposit);</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completion of construction within 30 months after the Delivery Date (20% of the performance deposit);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start of production within 42 months after the Delivery Date (20% of the performance deposit).</w:t>
      </w:r>
    </w:p>
    <w:p>
      <w:pPr>
        <w:spacing w:after="0" w:line="180"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Upon satisfaction of a milestone, the portion of the performance deposit attributable to that milestone will be repayable to Shengwei Research (Shanghai), Inc. within ten business days. If the achievement of any of the above milestones is delayed or abandoned, Shengwei Research (Shanghai), Inc. may be subject to additional penalties and may lose its rights to both the use of the granted land and any partially completed facilities on that land.</w:t>
      </w:r>
    </w:p>
    <w:p>
      <w:pPr>
        <w:spacing w:after="0" w:line="155"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Covenants in the Grant Agreement require that, among other things, Shengwei Research (Shanghai), Inc. will be required to pay liquidated damages in the event that (a) it does not make a total investment (including the costs of construction, fixtures, equipment and grant fees) of at least RMB 450.0 million ($63.4 million) or (b) within six years after the Delivery Date, we do not (i) generate a minimum specified amount of annual sales of products manufactured on the granted land or (ii) pay to the PRC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spacing w:after="0" w:line="312"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76" w:name="page77"/>
    <w:bookmarkEnd w:id="7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Sources of Funds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i w:val="1"/>
          <w:iCs w:val="1"/>
          <w:color w:val="auto"/>
        </w:rPr>
        <w:t xml:space="preserve">Equity and Equity-related Securities. </w:t>
      </w:r>
      <w:r>
        <w:rPr>
          <w:rFonts w:ascii="Arial" w:cs="Arial" w:eastAsia="Arial" w:hAnsi="Arial"/>
          <w:sz w:val="15"/>
          <w:szCs w:val="15"/>
          <w:color w:val="auto"/>
        </w:rPr>
        <w:t>During the year ended December 31, 2021, we received proceeds of $545.5 million from the issuance of STAR IPO shares (as described above</w:t>
      </w:r>
      <w:r>
        <w:rPr>
          <w:rFonts w:ascii="Arial" w:cs="Arial" w:eastAsia="Arial" w:hAnsi="Arial"/>
          <w:sz w:val="15"/>
          <w:szCs w:val="15"/>
          <w:i w:val="1"/>
          <w:iCs w:val="1"/>
          <w:color w:val="auto"/>
        </w:rPr>
        <w:t xml:space="preserve"> </w:t>
      </w:r>
      <w:r>
        <w:rPr>
          <w:rFonts w:ascii="Arial" w:cs="Arial" w:eastAsia="Arial" w:hAnsi="Arial"/>
          <w:sz w:val="15"/>
          <w:szCs w:val="15"/>
          <w:color w:val="auto"/>
        </w:rPr>
        <w:t>under “—STAR Market Listing and IPO”), proceeds of $3.4 million from sales of Class A common stock pursuant to option exercises, and proceeds of $1.8 million pursuant to a warrant exercise for shares of Class A common stock.</w:t>
      </w:r>
    </w:p>
    <w:p>
      <w:pPr>
        <w:spacing w:after="0" w:line="155" w:lineRule="exact"/>
        <w:rPr>
          <w:sz w:val="20"/>
          <w:szCs w:val="20"/>
          <w:color w:val="auto"/>
        </w:rPr>
      </w:pPr>
    </w:p>
    <w:p>
      <w:pPr>
        <w:ind w:right="340"/>
        <w:spacing w:after="0" w:line="264" w:lineRule="auto"/>
        <w:rPr>
          <w:sz w:val="20"/>
          <w:szCs w:val="20"/>
          <w:color w:val="auto"/>
        </w:rPr>
      </w:pPr>
      <w:r>
        <w:rPr>
          <w:rFonts w:ascii="Arial" w:cs="Arial" w:eastAsia="Arial" w:hAnsi="Arial"/>
          <w:sz w:val="15"/>
          <w:szCs w:val="15"/>
          <w:i w:val="1"/>
          <w:iCs w:val="1"/>
          <w:color w:val="auto"/>
        </w:rPr>
        <w:t xml:space="preserve">Short-Term and Long-Term Loan Proceeds and Facilities. </w:t>
      </w:r>
      <w:r>
        <w:rPr>
          <w:rFonts w:ascii="Arial" w:cs="Arial" w:eastAsia="Arial" w:hAnsi="Arial"/>
          <w:sz w:val="15"/>
          <w:szCs w:val="15"/>
          <w:color w:val="auto"/>
        </w:rPr>
        <w:t>During the year ended December 31, 2021, we decreased our total borrowings by $10.7 million by reducing net short term</w:t>
      </w:r>
      <w:r>
        <w:rPr>
          <w:rFonts w:ascii="Arial" w:cs="Arial" w:eastAsia="Arial" w:hAnsi="Arial"/>
          <w:sz w:val="15"/>
          <w:szCs w:val="15"/>
          <w:i w:val="1"/>
          <w:iCs w:val="1"/>
          <w:color w:val="auto"/>
        </w:rPr>
        <w:t xml:space="preserve"> </w:t>
      </w:r>
      <w:r>
        <w:rPr>
          <w:rFonts w:ascii="Arial" w:cs="Arial" w:eastAsia="Arial" w:hAnsi="Arial"/>
          <w:sz w:val="15"/>
          <w:szCs w:val="15"/>
          <w:color w:val="auto"/>
        </w:rPr>
        <w:t>borrowing to $9.6 million as compared to $26.1 million in 2020, and by increasing our long-term borrowing to $25.4 (including current portion of long-term borrowing) million as compared to $19.6 in 2020. We have short-term and long-term borrowings with five banks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Amount</w:t>
            </w:r>
          </w:p>
        </w:tc>
      </w:tr>
      <w:tr>
        <w:trPr>
          <w:trHeight w:val="181"/>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Outstanding</w:t>
            </w:r>
          </w:p>
        </w:tc>
      </w:tr>
      <w:tr>
        <w:trPr>
          <w:trHeight w:val="181"/>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5"/>
                <w:szCs w:val="15"/>
                <w:b w:val="1"/>
                <w:bCs w:val="1"/>
                <w:color w:val="auto"/>
              </w:rPr>
              <w:t>Maximum</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at December</w:t>
            </w:r>
          </w:p>
        </w:tc>
      </w:tr>
      <w:tr>
        <w:trPr>
          <w:trHeight w:val="181"/>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center"/>
              <w:ind w:right="285"/>
              <w:spacing w:after="0"/>
              <w:rPr>
                <w:sz w:val="20"/>
                <w:szCs w:val="20"/>
                <w:color w:val="auto"/>
              </w:rPr>
            </w:pPr>
            <w:r>
              <w:rPr>
                <w:rFonts w:ascii="Arial" w:cs="Arial" w:eastAsia="Arial" w:hAnsi="Arial"/>
                <w:sz w:val="15"/>
                <w:szCs w:val="15"/>
                <w:b w:val="1"/>
                <w:bCs w:val="1"/>
                <w:color w:val="auto"/>
                <w:w w:val="94"/>
              </w:rPr>
              <w:t>Annual</w:t>
            </w:r>
          </w:p>
        </w:tc>
        <w:tc>
          <w:tcPr>
            <w:tcW w:w="1180" w:type="dxa"/>
            <w:vAlign w:val="bottom"/>
            <w:gridSpan w:val="2"/>
          </w:tcPr>
          <w:p>
            <w:pPr>
              <w:ind w:left="80"/>
              <w:spacing w:after="0"/>
              <w:rPr>
                <w:sz w:val="20"/>
                <w:szCs w:val="20"/>
                <w:color w:val="auto"/>
              </w:rPr>
            </w:pPr>
            <w:r>
              <w:rPr>
                <w:rFonts w:ascii="Arial" w:cs="Arial" w:eastAsia="Arial" w:hAnsi="Arial"/>
                <w:sz w:val="15"/>
                <w:szCs w:val="15"/>
                <w:b w:val="1"/>
                <w:bCs w:val="1"/>
                <w:color w:val="auto"/>
              </w:rPr>
              <w:t>Borrowing</w:t>
            </w:r>
          </w:p>
        </w:tc>
        <w:tc>
          <w:tcPr>
            <w:tcW w:w="80" w:type="dxa"/>
            <w:vAlign w:val="bottom"/>
          </w:tcPr>
          <w:p>
            <w:pPr>
              <w:spacing w:after="0"/>
              <w:rPr>
                <w:sz w:val="15"/>
                <w:szCs w:val="15"/>
                <w:color w:val="auto"/>
              </w:rPr>
            </w:pPr>
          </w:p>
        </w:tc>
        <w:tc>
          <w:tcPr>
            <w:tcW w:w="920" w:type="dxa"/>
            <w:vAlign w:val="bottom"/>
          </w:tcPr>
          <w:p>
            <w:pPr>
              <w:jc w:val="right"/>
              <w:ind w:right="345"/>
              <w:spacing w:after="0"/>
              <w:rPr>
                <w:sz w:val="20"/>
                <w:szCs w:val="20"/>
                <w:color w:val="auto"/>
              </w:rPr>
            </w:pPr>
            <w:r>
              <w:rPr>
                <w:rFonts w:ascii="Arial" w:cs="Arial" w:eastAsia="Arial" w:hAnsi="Arial"/>
                <w:sz w:val="15"/>
                <w:szCs w:val="15"/>
                <w:b w:val="1"/>
                <w:bCs w:val="1"/>
                <w:color w:val="auto"/>
              </w:rPr>
              <w:t>31,</w:t>
            </w:r>
          </w:p>
        </w:tc>
        <w:tc>
          <w:tcPr>
            <w:tcW w:w="40" w:type="dxa"/>
            <w:vAlign w:val="bottom"/>
          </w:tcPr>
          <w:p>
            <w:pPr>
              <w:spacing w:after="0"/>
              <w:rPr>
                <w:sz w:val="15"/>
                <w:szCs w:val="15"/>
                <w:color w:val="auto"/>
              </w:rPr>
            </w:pPr>
          </w:p>
        </w:tc>
      </w:tr>
      <w:tr>
        <w:trPr>
          <w:trHeight w:val="198"/>
        </w:trPr>
        <w:tc>
          <w:tcPr>
            <w:tcW w:w="240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Lender</w:t>
            </w:r>
          </w:p>
        </w:tc>
        <w:tc>
          <w:tcPr>
            <w:tcW w:w="120" w:type="dxa"/>
            <w:vAlign w:val="bottom"/>
          </w:tcPr>
          <w:p>
            <w:pPr>
              <w:spacing w:after="0"/>
              <w:rPr>
                <w:sz w:val="17"/>
                <w:szCs w:val="17"/>
                <w:color w:val="auto"/>
              </w:rPr>
            </w:pPr>
          </w:p>
        </w:tc>
        <w:tc>
          <w:tcPr>
            <w:tcW w:w="240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Agreement Date</w:t>
            </w:r>
          </w:p>
        </w:tc>
        <w:tc>
          <w:tcPr>
            <w:tcW w:w="120" w:type="dxa"/>
            <w:vAlign w:val="bottom"/>
          </w:tcPr>
          <w:p>
            <w:pPr>
              <w:spacing w:after="0"/>
              <w:rPr>
                <w:sz w:val="17"/>
                <w:szCs w:val="17"/>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Maturity Date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Interest Rate</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Amount(1)</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2021</w:t>
            </w:r>
          </w:p>
        </w:tc>
        <w:tc>
          <w:tcPr>
            <w:tcW w:w="40" w:type="dxa"/>
            <w:vAlign w:val="bottom"/>
          </w:tcPr>
          <w:p>
            <w:pPr>
              <w:spacing w:after="0"/>
              <w:rPr>
                <w:sz w:val="17"/>
                <w:szCs w:val="17"/>
                <w:color w:val="auto"/>
              </w:rPr>
            </w:pPr>
          </w:p>
        </w:tc>
      </w:tr>
      <w:tr>
        <w:trPr>
          <w:trHeight w:val="170"/>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580"/>
              <w:spacing w:after="0" w:line="171" w:lineRule="exact"/>
              <w:rPr>
                <w:sz w:val="20"/>
                <w:szCs w:val="20"/>
                <w:color w:val="auto"/>
              </w:rPr>
            </w:pPr>
            <w:r>
              <w:rPr>
                <w:rFonts w:ascii="Arial" w:cs="Arial" w:eastAsia="Arial" w:hAnsi="Arial"/>
                <w:sz w:val="15"/>
                <w:szCs w:val="15"/>
                <w:i w:val="1"/>
                <w:iCs w:val="1"/>
                <w:color w:val="auto"/>
              </w:rPr>
              <w:t>(in thousands)</w:t>
            </w:r>
          </w:p>
        </w:tc>
      </w:tr>
      <w:tr>
        <w:trPr>
          <w:trHeight w:val="191"/>
        </w:trPr>
        <w:tc>
          <w:tcPr>
            <w:tcW w:w="2400" w:type="dxa"/>
            <w:vAlign w:val="bottom"/>
          </w:tcPr>
          <w:p>
            <w:pPr>
              <w:spacing w:after="0"/>
              <w:rPr>
                <w:sz w:val="20"/>
                <w:szCs w:val="20"/>
                <w:color w:val="auto"/>
              </w:rPr>
            </w:pPr>
            <w:r>
              <w:rPr>
                <w:rFonts w:ascii="Arial" w:cs="Arial" w:eastAsia="Arial" w:hAnsi="Arial"/>
                <w:sz w:val="15"/>
                <w:szCs w:val="15"/>
                <w:color w:val="auto"/>
              </w:rPr>
              <w:t>Bank of Shanghai Pudong Branch</w:t>
            </w:r>
          </w:p>
        </w:tc>
        <w:tc>
          <w:tcPr>
            <w:tcW w:w="1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June 2021</w:t>
            </w:r>
          </w:p>
        </w:tc>
        <w:tc>
          <w:tcPr>
            <w:tcW w:w="1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June 2022</w:t>
            </w:r>
          </w:p>
        </w:tc>
        <w:tc>
          <w:tcPr>
            <w:tcW w:w="1460" w:type="dxa"/>
            <w:vAlign w:val="bottom"/>
            <w:gridSpan w:val="3"/>
          </w:tcPr>
          <w:p>
            <w:pPr>
              <w:jc w:val="right"/>
              <w:ind w:right="100"/>
              <w:spacing w:after="0"/>
              <w:rPr>
                <w:sz w:val="20"/>
                <w:szCs w:val="20"/>
                <w:color w:val="auto"/>
              </w:rPr>
            </w:pPr>
            <w:r>
              <w:rPr>
                <w:rFonts w:ascii="Arial" w:cs="Arial" w:eastAsia="Arial" w:hAnsi="Arial"/>
                <w:sz w:val="15"/>
                <w:szCs w:val="15"/>
                <w:color w:val="auto"/>
              </w:rPr>
              <w:t>2.70%</w:t>
            </w:r>
          </w:p>
        </w:tc>
        <w:tc>
          <w:tcPr>
            <w:tcW w:w="14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RMB100,000</w:t>
            </w:r>
          </w:p>
        </w:tc>
        <w:tc>
          <w:tcPr>
            <w:tcW w:w="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RMB29,439</w:t>
            </w:r>
          </w:p>
        </w:tc>
      </w:tr>
      <w:tr>
        <w:trPr>
          <w:trHeight w:val="182"/>
        </w:trPr>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4,616</w:t>
            </w:r>
          </w:p>
        </w:tc>
      </w:tr>
      <w:tr>
        <w:trPr>
          <w:trHeight w:val="181"/>
        </w:trPr>
        <w:tc>
          <w:tcPr>
            <w:tcW w:w="2400" w:type="dxa"/>
            <w:vAlign w:val="bottom"/>
          </w:tcPr>
          <w:p>
            <w:pPr>
              <w:spacing w:after="0"/>
              <w:rPr>
                <w:sz w:val="20"/>
                <w:szCs w:val="20"/>
                <w:color w:val="auto"/>
              </w:rPr>
            </w:pPr>
            <w:r>
              <w:rPr>
                <w:rFonts w:ascii="Arial" w:cs="Arial" w:eastAsia="Arial" w:hAnsi="Arial"/>
                <w:sz w:val="15"/>
                <w:szCs w:val="15"/>
                <w:color w:val="auto"/>
              </w:rPr>
              <w:t>China Everbright Bank</w:t>
            </w:r>
          </w:p>
        </w:tc>
        <w:tc>
          <w:tcPr>
            <w:tcW w:w="1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July 2021</w:t>
            </w:r>
          </w:p>
        </w:tc>
        <w:tc>
          <w:tcPr>
            <w:tcW w:w="1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October 2022</w:t>
            </w:r>
          </w:p>
        </w:tc>
        <w:tc>
          <w:tcPr>
            <w:tcW w:w="1460" w:type="dxa"/>
            <w:vAlign w:val="bottom"/>
            <w:gridSpan w:val="3"/>
          </w:tcPr>
          <w:p>
            <w:pPr>
              <w:jc w:val="right"/>
              <w:ind w:right="100"/>
              <w:spacing w:after="0"/>
              <w:rPr>
                <w:sz w:val="20"/>
                <w:szCs w:val="20"/>
                <w:color w:val="auto"/>
              </w:rPr>
            </w:pPr>
            <w:r>
              <w:rPr>
                <w:rFonts w:ascii="Arial" w:cs="Arial" w:eastAsia="Arial" w:hAnsi="Arial"/>
                <w:sz w:val="15"/>
                <w:szCs w:val="15"/>
                <w:color w:val="auto"/>
              </w:rPr>
              <w:t>1.95%</w:t>
            </w:r>
          </w:p>
        </w:tc>
        <w:tc>
          <w:tcPr>
            <w:tcW w:w="1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RMB150,000</w:t>
            </w:r>
          </w:p>
        </w:tc>
        <w:tc>
          <w:tcPr>
            <w:tcW w:w="8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RMB21,731</w:t>
            </w:r>
          </w:p>
        </w:tc>
      </w:tr>
      <w:tr>
        <w:trPr>
          <w:trHeight w:val="181"/>
        </w:trPr>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23,520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3,407</w:t>
            </w:r>
          </w:p>
        </w:tc>
      </w:tr>
      <w:tr>
        <w:trPr>
          <w:trHeight w:val="181"/>
        </w:trPr>
        <w:tc>
          <w:tcPr>
            <w:tcW w:w="2400" w:type="dxa"/>
            <w:vAlign w:val="bottom"/>
          </w:tcPr>
          <w:p>
            <w:pPr>
              <w:spacing w:after="0"/>
              <w:rPr>
                <w:sz w:val="20"/>
                <w:szCs w:val="20"/>
                <w:color w:val="auto"/>
              </w:rPr>
            </w:pPr>
            <w:r>
              <w:rPr>
                <w:rFonts w:ascii="Arial" w:cs="Arial" w:eastAsia="Arial" w:hAnsi="Arial"/>
                <w:sz w:val="15"/>
                <w:szCs w:val="15"/>
                <w:color w:val="auto"/>
              </w:rPr>
              <w:t>Bank of Communications</w:t>
            </w:r>
          </w:p>
        </w:tc>
        <w:tc>
          <w:tcPr>
            <w:tcW w:w="1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October 2021</w:t>
            </w:r>
          </w:p>
        </w:tc>
        <w:tc>
          <w:tcPr>
            <w:tcW w:w="1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October 2022</w:t>
            </w:r>
          </w:p>
        </w:tc>
        <w:tc>
          <w:tcPr>
            <w:tcW w:w="1460" w:type="dxa"/>
            <w:vAlign w:val="bottom"/>
            <w:gridSpan w:val="3"/>
          </w:tcPr>
          <w:p>
            <w:pPr>
              <w:jc w:val="right"/>
              <w:ind w:right="100"/>
              <w:spacing w:after="0"/>
              <w:rPr>
                <w:sz w:val="20"/>
                <w:szCs w:val="20"/>
                <w:color w:val="auto"/>
              </w:rPr>
            </w:pPr>
            <w:r>
              <w:rPr>
                <w:rFonts w:ascii="Arial" w:cs="Arial" w:eastAsia="Arial" w:hAnsi="Arial"/>
                <w:sz w:val="15"/>
                <w:szCs w:val="15"/>
                <w:color w:val="auto"/>
              </w:rPr>
              <w:t>3.85%</w:t>
            </w:r>
          </w:p>
        </w:tc>
        <w:tc>
          <w:tcPr>
            <w:tcW w:w="1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RMB60,000</w:t>
            </w:r>
          </w:p>
        </w:tc>
        <w:tc>
          <w:tcPr>
            <w:tcW w:w="8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RMB10,000</w:t>
            </w:r>
          </w:p>
        </w:tc>
      </w:tr>
      <w:tr>
        <w:trPr>
          <w:trHeight w:val="181"/>
        </w:trPr>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1,568</w:t>
            </w:r>
          </w:p>
        </w:tc>
      </w:tr>
      <w:tr>
        <w:trPr>
          <w:trHeight w:val="170"/>
        </w:trPr>
        <w:tc>
          <w:tcPr>
            <w:tcW w:w="2400" w:type="dxa"/>
            <w:vAlign w:val="bottom"/>
          </w:tcPr>
          <w:p>
            <w:pPr>
              <w:spacing w:after="0" w:line="171" w:lineRule="exact"/>
              <w:rPr>
                <w:sz w:val="20"/>
                <w:szCs w:val="20"/>
                <w:color w:val="auto"/>
              </w:rPr>
            </w:pPr>
            <w:r>
              <w:rPr>
                <w:rFonts w:ascii="Arial" w:cs="Arial" w:eastAsia="Arial" w:hAnsi="Arial"/>
                <w:sz w:val="15"/>
                <w:szCs w:val="15"/>
                <w:color w:val="auto"/>
              </w:rPr>
              <w:t>China Merchants Bank</w:t>
            </w:r>
          </w:p>
        </w:tc>
        <w:tc>
          <w:tcPr>
            <w:tcW w:w="120" w:type="dxa"/>
            <w:vAlign w:val="bottom"/>
          </w:tcPr>
          <w:p>
            <w:pPr>
              <w:spacing w:after="0"/>
              <w:rPr>
                <w:sz w:val="14"/>
                <w:szCs w:val="14"/>
                <w:color w:val="auto"/>
              </w:rPr>
            </w:pPr>
          </w:p>
        </w:tc>
        <w:tc>
          <w:tcPr>
            <w:tcW w:w="2400" w:type="dxa"/>
            <w:vAlign w:val="bottom"/>
          </w:tcPr>
          <w:p>
            <w:pPr>
              <w:spacing w:after="0" w:line="171" w:lineRule="exact"/>
              <w:rPr>
                <w:sz w:val="20"/>
                <w:szCs w:val="20"/>
                <w:color w:val="auto"/>
              </w:rPr>
            </w:pPr>
            <w:r>
              <w:rPr>
                <w:rFonts w:ascii="Arial" w:cs="Arial" w:eastAsia="Arial" w:hAnsi="Arial"/>
                <w:sz w:val="15"/>
                <w:szCs w:val="15"/>
                <w:color w:val="auto"/>
              </w:rPr>
              <w:t>November 2020</w:t>
            </w:r>
          </w:p>
        </w:tc>
        <w:tc>
          <w:tcPr>
            <w:tcW w:w="120" w:type="dxa"/>
            <w:vAlign w:val="bottom"/>
          </w:tcPr>
          <w:p>
            <w:pPr>
              <w:spacing w:after="0"/>
              <w:rPr>
                <w:sz w:val="14"/>
                <w:szCs w:val="14"/>
                <w:color w:val="auto"/>
              </w:rPr>
            </w:pPr>
          </w:p>
        </w:tc>
        <w:tc>
          <w:tcPr>
            <w:tcW w:w="2400" w:type="dxa"/>
            <w:vAlign w:val="bottom"/>
          </w:tcPr>
          <w:p>
            <w:pPr>
              <w:spacing w:after="0" w:line="171" w:lineRule="exact"/>
              <w:rPr>
                <w:sz w:val="20"/>
                <w:szCs w:val="20"/>
                <w:color w:val="auto"/>
              </w:rPr>
            </w:pPr>
            <w:r>
              <w:rPr>
                <w:rFonts w:ascii="Arial" w:cs="Arial" w:eastAsia="Arial" w:hAnsi="Arial"/>
                <w:sz w:val="15"/>
                <w:szCs w:val="15"/>
                <w:color w:val="auto"/>
                <w:w w:val="92"/>
              </w:rPr>
              <w:t>Repayable by installments and the last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RMB128,500</w:t>
            </w:r>
          </w:p>
        </w:tc>
        <w:tc>
          <w:tcPr>
            <w:tcW w:w="80" w:type="dxa"/>
            <w:vAlign w:val="bottom"/>
          </w:tcPr>
          <w:p>
            <w:pPr>
              <w:spacing w:after="0"/>
              <w:rPr>
                <w:sz w:val="14"/>
                <w:szCs w:val="14"/>
                <w:color w:val="auto"/>
              </w:rPr>
            </w:pPr>
          </w:p>
        </w:tc>
        <w:tc>
          <w:tcPr>
            <w:tcW w:w="96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RMB117,281</w:t>
            </w:r>
          </w:p>
        </w:tc>
      </w:tr>
      <w:tr>
        <w:trPr>
          <w:trHeight w:val="181"/>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installments repayble in November</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20" w:type="dxa"/>
            <w:vAlign w:val="bottom"/>
            <w:gridSpan w:val="2"/>
          </w:tcPr>
          <w:p>
            <w:pPr>
              <w:ind w:left="120"/>
              <w:spacing w:after="0"/>
              <w:rPr>
                <w:sz w:val="20"/>
                <w:szCs w:val="20"/>
                <w:color w:val="auto"/>
              </w:rPr>
            </w:pPr>
            <w:r>
              <w:rPr>
                <w:rFonts w:ascii="Arial" w:cs="Arial" w:eastAsia="Arial" w:hAnsi="Arial"/>
                <w:sz w:val="15"/>
                <w:szCs w:val="15"/>
                <w:color w:val="auto"/>
              </w:rPr>
              <w:t>2030</w:t>
            </w:r>
          </w:p>
        </w:tc>
        <w:tc>
          <w:tcPr>
            <w:tcW w:w="1460" w:type="dxa"/>
            <w:vAlign w:val="bottom"/>
            <w:gridSpan w:val="3"/>
          </w:tcPr>
          <w:p>
            <w:pPr>
              <w:jc w:val="right"/>
              <w:ind w:right="100"/>
              <w:spacing w:after="0"/>
              <w:rPr>
                <w:sz w:val="20"/>
                <w:szCs w:val="20"/>
                <w:color w:val="auto"/>
              </w:rPr>
            </w:pPr>
            <w:r>
              <w:rPr>
                <w:rFonts w:ascii="Arial" w:cs="Arial" w:eastAsia="Arial" w:hAnsi="Arial"/>
                <w:sz w:val="15"/>
                <w:szCs w:val="15"/>
                <w:color w:val="auto"/>
              </w:rPr>
              <w:t>4.65%</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18,390</w:t>
            </w:r>
          </w:p>
        </w:tc>
      </w:tr>
      <w:tr>
        <w:trPr>
          <w:trHeight w:val="170"/>
        </w:trPr>
        <w:tc>
          <w:tcPr>
            <w:tcW w:w="2400" w:type="dxa"/>
            <w:vAlign w:val="bottom"/>
          </w:tcPr>
          <w:p>
            <w:pPr>
              <w:spacing w:after="0" w:line="171" w:lineRule="exact"/>
              <w:rPr>
                <w:sz w:val="20"/>
                <w:szCs w:val="20"/>
                <w:color w:val="auto"/>
              </w:rPr>
            </w:pPr>
            <w:r>
              <w:rPr>
                <w:rFonts w:ascii="Arial" w:cs="Arial" w:eastAsia="Arial" w:hAnsi="Arial"/>
                <w:sz w:val="15"/>
                <w:szCs w:val="15"/>
                <w:color w:val="auto"/>
              </w:rPr>
              <w:t>Bank of China</w:t>
            </w:r>
          </w:p>
        </w:tc>
        <w:tc>
          <w:tcPr>
            <w:tcW w:w="120" w:type="dxa"/>
            <w:vAlign w:val="bottom"/>
          </w:tcPr>
          <w:p>
            <w:pPr>
              <w:spacing w:after="0"/>
              <w:rPr>
                <w:sz w:val="14"/>
                <w:szCs w:val="14"/>
                <w:color w:val="auto"/>
              </w:rPr>
            </w:pPr>
          </w:p>
        </w:tc>
        <w:tc>
          <w:tcPr>
            <w:tcW w:w="2400" w:type="dxa"/>
            <w:vAlign w:val="bottom"/>
          </w:tcPr>
          <w:p>
            <w:pPr>
              <w:spacing w:after="0" w:line="171" w:lineRule="exact"/>
              <w:rPr>
                <w:sz w:val="20"/>
                <w:szCs w:val="20"/>
                <w:color w:val="auto"/>
              </w:rPr>
            </w:pPr>
            <w:r>
              <w:rPr>
                <w:rFonts w:ascii="Arial" w:cs="Arial" w:eastAsia="Arial" w:hAnsi="Arial"/>
                <w:sz w:val="15"/>
                <w:szCs w:val="15"/>
                <w:color w:val="auto"/>
              </w:rPr>
              <w:t>June 2021</w:t>
            </w:r>
          </w:p>
        </w:tc>
        <w:tc>
          <w:tcPr>
            <w:tcW w:w="120" w:type="dxa"/>
            <w:vAlign w:val="bottom"/>
          </w:tcPr>
          <w:p>
            <w:pPr>
              <w:spacing w:after="0"/>
              <w:rPr>
                <w:sz w:val="14"/>
                <w:szCs w:val="14"/>
                <w:color w:val="auto"/>
              </w:rPr>
            </w:pPr>
          </w:p>
        </w:tc>
        <w:tc>
          <w:tcPr>
            <w:tcW w:w="2400" w:type="dxa"/>
            <w:vAlign w:val="bottom"/>
          </w:tcPr>
          <w:p>
            <w:pPr>
              <w:spacing w:after="0" w:line="171" w:lineRule="exact"/>
              <w:rPr>
                <w:sz w:val="20"/>
                <w:szCs w:val="20"/>
                <w:color w:val="auto"/>
              </w:rPr>
            </w:pPr>
            <w:r>
              <w:rPr>
                <w:rFonts w:ascii="Arial" w:cs="Arial" w:eastAsia="Arial" w:hAnsi="Arial"/>
                <w:sz w:val="15"/>
                <w:szCs w:val="15"/>
                <w:color w:val="auto"/>
                <w:w w:val="92"/>
              </w:rPr>
              <w:t>Repayable by installments and the last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RMB10,000</w:t>
            </w:r>
          </w:p>
        </w:tc>
        <w:tc>
          <w:tcPr>
            <w:tcW w:w="80" w:type="dxa"/>
            <w:vAlign w:val="bottom"/>
          </w:tcPr>
          <w:p>
            <w:pPr>
              <w:spacing w:after="0"/>
              <w:rPr>
                <w:sz w:val="14"/>
                <w:szCs w:val="14"/>
                <w:color w:val="auto"/>
              </w:rPr>
            </w:pPr>
          </w:p>
        </w:tc>
        <w:tc>
          <w:tcPr>
            <w:tcW w:w="96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RMB9,500</w:t>
            </w:r>
          </w:p>
        </w:tc>
      </w:tr>
      <w:tr>
        <w:trPr>
          <w:trHeight w:val="191"/>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installments repayble in June 2024</w:t>
            </w:r>
          </w:p>
        </w:tc>
        <w:tc>
          <w:tcPr>
            <w:tcW w:w="1460" w:type="dxa"/>
            <w:vAlign w:val="bottom"/>
            <w:gridSpan w:val="3"/>
          </w:tcPr>
          <w:p>
            <w:pPr>
              <w:jc w:val="right"/>
              <w:ind w:right="100"/>
              <w:spacing w:after="0"/>
              <w:rPr>
                <w:sz w:val="20"/>
                <w:szCs w:val="20"/>
                <w:color w:val="auto"/>
              </w:rPr>
            </w:pPr>
            <w:r>
              <w:rPr>
                <w:rFonts w:ascii="Arial" w:cs="Arial" w:eastAsia="Arial" w:hAnsi="Arial"/>
                <w:sz w:val="15"/>
                <w:szCs w:val="15"/>
                <w:color w:val="auto"/>
              </w:rPr>
              <w:t>2.60%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1,490</w:t>
            </w:r>
          </w:p>
        </w:tc>
      </w:tr>
      <w:tr>
        <w:trPr>
          <w:trHeight w:val="170"/>
        </w:trPr>
        <w:tc>
          <w:tcPr>
            <w:tcW w:w="2400" w:type="dxa"/>
            <w:vAlign w:val="bottom"/>
          </w:tcPr>
          <w:p>
            <w:pPr>
              <w:spacing w:after="0" w:line="171" w:lineRule="exact"/>
              <w:rPr>
                <w:sz w:val="20"/>
                <w:szCs w:val="20"/>
                <w:color w:val="auto"/>
              </w:rPr>
            </w:pPr>
            <w:r>
              <w:rPr>
                <w:rFonts w:ascii="Arial" w:cs="Arial" w:eastAsia="Arial" w:hAnsi="Arial"/>
                <w:sz w:val="15"/>
                <w:szCs w:val="15"/>
                <w:color w:val="auto"/>
              </w:rPr>
              <w:t>Bank of China</w:t>
            </w:r>
          </w:p>
        </w:tc>
        <w:tc>
          <w:tcPr>
            <w:tcW w:w="120" w:type="dxa"/>
            <w:vAlign w:val="bottom"/>
          </w:tcPr>
          <w:p>
            <w:pPr>
              <w:spacing w:after="0"/>
              <w:rPr>
                <w:sz w:val="14"/>
                <w:szCs w:val="14"/>
                <w:color w:val="auto"/>
              </w:rPr>
            </w:pPr>
          </w:p>
        </w:tc>
        <w:tc>
          <w:tcPr>
            <w:tcW w:w="2400" w:type="dxa"/>
            <w:vAlign w:val="bottom"/>
          </w:tcPr>
          <w:p>
            <w:pPr>
              <w:spacing w:after="0" w:line="171" w:lineRule="exact"/>
              <w:rPr>
                <w:sz w:val="20"/>
                <w:szCs w:val="20"/>
                <w:color w:val="auto"/>
              </w:rPr>
            </w:pPr>
            <w:r>
              <w:rPr>
                <w:rFonts w:ascii="Arial" w:cs="Arial" w:eastAsia="Arial" w:hAnsi="Arial"/>
                <w:sz w:val="15"/>
                <w:szCs w:val="15"/>
                <w:color w:val="auto"/>
              </w:rPr>
              <w:t>September, 2021</w:t>
            </w:r>
          </w:p>
        </w:tc>
        <w:tc>
          <w:tcPr>
            <w:tcW w:w="120" w:type="dxa"/>
            <w:vAlign w:val="bottom"/>
          </w:tcPr>
          <w:p>
            <w:pPr>
              <w:spacing w:after="0"/>
              <w:rPr>
                <w:sz w:val="14"/>
                <w:szCs w:val="14"/>
                <w:color w:val="auto"/>
              </w:rPr>
            </w:pPr>
          </w:p>
        </w:tc>
        <w:tc>
          <w:tcPr>
            <w:tcW w:w="2400" w:type="dxa"/>
            <w:vAlign w:val="bottom"/>
          </w:tcPr>
          <w:p>
            <w:pPr>
              <w:spacing w:after="0" w:line="171" w:lineRule="exact"/>
              <w:rPr>
                <w:sz w:val="20"/>
                <w:szCs w:val="20"/>
                <w:color w:val="auto"/>
              </w:rPr>
            </w:pPr>
            <w:r>
              <w:rPr>
                <w:rFonts w:ascii="Arial" w:cs="Arial" w:eastAsia="Arial" w:hAnsi="Arial"/>
                <w:sz w:val="15"/>
                <w:szCs w:val="15"/>
                <w:color w:val="auto"/>
                <w:w w:val="92"/>
              </w:rPr>
              <w:t>Repayable by installments and the last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RMB35,000</w:t>
            </w:r>
          </w:p>
        </w:tc>
        <w:tc>
          <w:tcPr>
            <w:tcW w:w="80" w:type="dxa"/>
            <w:vAlign w:val="bottom"/>
          </w:tcPr>
          <w:p>
            <w:pPr>
              <w:spacing w:after="0"/>
              <w:rPr>
                <w:sz w:val="14"/>
                <w:szCs w:val="14"/>
                <w:color w:val="auto"/>
              </w:rPr>
            </w:pPr>
          </w:p>
        </w:tc>
        <w:tc>
          <w:tcPr>
            <w:tcW w:w="960" w:type="dxa"/>
            <w:vAlign w:val="bottom"/>
            <w:gridSpan w:val="2"/>
          </w:tcPr>
          <w:p>
            <w:pPr>
              <w:jc w:val="right"/>
              <w:ind w:right="40"/>
              <w:spacing w:after="0" w:line="171" w:lineRule="exact"/>
              <w:rPr>
                <w:sz w:val="20"/>
                <w:szCs w:val="20"/>
                <w:color w:val="auto"/>
              </w:rPr>
            </w:pPr>
            <w:r>
              <w:rPr>
                <w:rFonts w:ascii="Arial" w:cs="Arial" w:eastAsia="Arial" w:hAnsi="Arial"/>
                <w:sz w:val="15"/>
                <w:szCs w:val="15"/>
                <w:color w:val="auto"/>
              </w:rPr>
              <w:t>RMB35,000</w:t>
            </w:r>
          </w:p>
        </w:tc>
      </w:tr>
      <w:tr>
        <w:trPr>
          <w:trHeight w:val="181"/>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installments repayble in September</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520" w:type="dxa"/>
            <w:vAlign w:val="bottom"/>
            <w:gridSpan w:val="2"/>
          </w:tcPr>
          <w:p>
            <w:pPr>
              <w:ind w:left="120"/>
              <w:spacing w:after="0"/>
              <w:rPr>
                <w:sz w:val="20"/>
                <w:szCs w:val="20"/>
                <w:color w:val="auto"/>
              </w:rPr>
            </w:pPr>
            <w:r>
              <w:rPr>
                <w:rFonts w:ascii="Arial" w:cs="Arial" w:eastAsia="Arial" w:hAnsi="Arial"/>
                <w:sz w:val="15"/>
                <w:szCs w:val="15"/>
                <w:color w:val="auto"/>
              </w:rPr>
              <w:t>2021</w:t>
            </w:r>
          </w:p>
        </w:tc>
        <w:tc>
          <w:tcPr>
            <w:tcW w:w="1460" w:type="dxa"/>
            <w:vAlign w:val="bottom"/>
            <w:gridSpan w:val="3"/>
          </w:tcPr>
          <w:p>
            <w:pPr>
              <w:jc w:val="right"/>
              <w:ind w:right="100"/>
              <w:spacing w:after="0"/>
              <w:rPr>
                <w:sz w:val="20"/>
                <w:szCs w:val="20"/>
                <w:color w:val="auto"/>
              </w:rPr>
            </w:pPr>
            <w:r>
              <w:rPr>
                <w:rFonts w:ascii="Arial" w:cs="Arial" w:eastAsia="Arial" w:hAnsi="Arial"/>
                <w:sz w:val="15"/>
                <w:szCs w:val="15"/>
                <w:color w:val="auto"/>
              </w:rPr>
              <w:t>2.60%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2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5,487</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5,487</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1"/>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75,812</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34,958</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00" w:right="20" w:hanging="404"/>
        <w:spacing w:after="0" w:line="276" w:lineRule="auto"/>
        <w:tabs>
          <w:tab w:leader="none" w:pos="7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Converted from RMB to dollars as of December 31, 2021. All of the amounts owing under the line of credit of Bank of Shanghai, Pudong Branch is guaranteed by CleanChip Technologies LTD, a wholly owned subsidiary of ACM Shanghai.</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i w:val="1"/>
          <w:iCs w:val="1"/>
          <w:color w:val="auto"/>
        </w:rPr>
        <w:t xml:space="preserve">Government Research and Development Grants. </w:t>
      </w:r>
      <w:r>
        <w:rPr>
          <w:rFonts w:ascii="Arial" w:cs="Arial" w:eastAsia="Arial" w:hAnsi="Arial"/>
          <w:sz w:val="15"/>
          <w:szCs w:val="15"/>
          <w:color w:val="auto"/>
        </w:rPr>
        <w:t>As described under “—Key Components of Results of Operations—PRC Government Research and Development Funding,” ACM</w:t>
      </w:r>
      <w:r>
        <w:rPr>
          <w:rFonts w:ascii="Arial" w:cs="Arial" w:eastAsia="Arial" w:hAnsi="Arial"/>
          <w:sz w:val="15"/>
          <w:szCs w:val="15"/>
          <w:i w:val="1"/>
          <w:iCs w:val="1"/>
          <w:color w:val="auto"/>
        </w:rPr>
        <w:t xml:space="preserve"> </w:t>
      </w:r>
      <w:r>
        <w:rPr>
          <w:rFonts w:ascii="Arial" w:cs="Arial" w:eastAsia="Arial" w:hAnsi="Arial"/>
          <w:sz w:val="15"/>
          <w:szCs w:val="15"/>
          <w:color w:val="auto"/>
        </w:rPr>
        <w:t>Shanghai and its subsidiaries has received research and development grants from local and central PRC governmental authorities. ACM Shanghai and its subsidiaries received cash payments of $5.2 million related to such grants in 2021, as compared to $6.2 million related to such grants in 2020.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EE"/>
            </w:tcBorders>
            <w:gridSpan w:val="2"/>
          </w:tcPr>
          <w:p>
            <w:pPr>
              <w:spacing w:after="0"/>
              <w:rPr>
                <w:rFonts w:ascii="Arial" w:cs="Arial" w:eastAsia="Arial" w:hAnsi="Arial"/>
                <w:sz w:val="12"/>
                <w:szCs w:val="12"/>
                <w:i w:val="1"/>
                <w:iCs w:val="1"/>
                <w:color w:val="0000EE"/>
                <w:w w:val="86"/>
              </w:rPr>
            </w:pPr>
            <w:hyperlink w:anchor="page2">
              <w:r>
                <w:rPr>
                  <w:rFonts w:ascii="Arial" w:cs="Arial" w:eastAsia="Arial" w:hAnsi="Arial"/>
                  <w:sz w:val="12"/>
                  <w:szCs w:val="12"/>
                  <w:i w:val="1"/>
                  <w:iCs w:val="1"/>
                  <w:color w:val="0000EE"/>
                  <w:w w:val="86"/>
                </w:rPr>
                <w:t>Table of Contents</w:t>
              </w:r>
            </w:hyperlink>
          </w:p>
        </w:tc>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18"/>
        </w:trPr>
        <w:tc>
          <w:tcPr>
            <w:tcW w:w="10020" w:type="dxa"/>
            <w:vAlign w:val="bottom"/>
            <w:gridSpan w:val="3"/>
          </w:tcPr>
          <w:p>
            <w:pPr>
              <w:spacing w:after="0"/>
              <w:rPr>
                <w:sz w:val="20"/>
                <w:szCs w:val="20"/>
                <w:color w:val="auto"/>
              </w:rPr>
            </w:pPr>
            <w:r>
              <w:rPr>
                <w:rFonts w:ascii="Arial" w:cs="Arial" w:eastAsia="Arial" w:hAnsi="Arial"/>
                <w:sz w:val="15"/>
                <w:szCs w:val="15"/>
                <w:i w:val="1"/>
                <w:iCs w:val="1"/>
                <w:color w:val="auto"/>
              </w:rPr>
              <w:t xml:space="preserve">Working Capital. </w:t>
            </w:r>
            <w:r>
              <w:rPr>
                <w:rFonts w:ascii="Arial" w:cs="Arial" w:eastAsia="Arial" w:hAnsi="Arial"/>
                <w:sz w:val="15"/>
                <w:szCs w:val="15"/>
                <w:color w:val="auto"/>
              </w:rPr>
              <w:t>The following table sets forth selected working capital information: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5"/>
                <w:szCs w:val="15"/>
                <w:b w:val="1"/>
                <w:bCs w:val="1"/>
                <w:color w:val="auto"/>
              </w:rPr>
              <w:t>December 31,</w:t>
            </w:r>
          </w:p>
        </w:tc>
      </w:tr>
      <w:tr>
        <w:trPr>
          <w:trHeight w:val="198"/>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563,067</w:t>
            </w:r>
          </w:p>
        </w:tc>
        <w:tc>
          <w:tcPr>
            <w:tcW w:w="8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00" w:type="dxa"/>
            <w:vAlign w:val="bottom"/>
            <w:gridSpan w:val="2"/>
          </w:tcPr>
          <w:p>
            <w:pPr>
              <w:spacing w:after="0"/>
              <w:rPr>
                <w:sz w:val="20"/>
                <w:szCs w:val="20"/>
                <w:color w:val="auto"/>
              </w:rPr>
            </w:pPr>
            <w:r>
              <w:rPr>
                <w:rFonts w:ascii="Arial" w:cs="Arial" w:eastAsia="Arial" w:hAnsi="Arial"/>
                <w:sz w:val="15"/>
                <w:szCs w:val="15"/>
                <w:color w:val="auto"/>
              </w:rPr>
              <w:t>Accounts receivable, less allowance for doubtful amounts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105,553</w:t>
            </w:r>
          </w:p>
        </w:tc>
        <w:tc>
          <w:tcPr>
            <w:tcW w:w="8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10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Inventory</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218,116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00" w:type="dxa"/>
            <w:vAlign w:val="bottom"/>
            <w:gridSpan w:val="2"/>
          </w:tcPr>
          <w:p>
            <w:pPr>
              <w:spacing w:after="0"/>
              <w:rPr>
                <w:sz w:val="20"/>
                <w:szCs w:val="20"/>
                <w:color w:val="auto"/>
              </w:rPr>
            </w:pPr>
            <w:r>
              <w:rPr>
                <w:rFonts w:ascii="Arial" w:cs="Arial" w:eastAsia="Arial" w:hAnsi="Arial"/>
                <w:sz w:val="15"/>
                <w:szCs w:val="15"/>
                <w:color w:val="auto"/>
              </w:rPr>
              <w:t>Working capital</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886,736</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cash and cash equivalents at December 31, 2021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Uses of Funds</w:t>
      </w:r>
    </w:p>
    <w:p>
      <w:pPr>
        <w:spacing w:after="0" w:line="190" w:lineRule="exact"/>
        <w:rPr>
          <w:sz w:val="20"/>
          <w:szCs w:val="20"/>
          <w:color w:val="auto"/>
        </w:rPr>
      </w:pPr>
    </w:p>
    <w:p>
      <w:pPr>
        <w:jc w:val="both"/>
        <w:spacing w:after="0" w:line="323" w:lineRule="auto"/>
        <w:rPr>
          <w:sz w:val="20"/>
          <w:szCs w:val="20"/>
          <w:color w:val="auto"/>
        </w:rPr>
      </w:pPr>
      <w:r>
        <w:rPr>
          <w:rFonts w:ascii="Arial" w:cs="Arial" w:eastAsia="Arial" w:hAnsi="Arial"/>
          <w:sz w:val="13"/>
          <w:szCs w:val="13"/>
          <w:i w:val="1"/>
          <w:iCs w:val="1"/>
          <w:color w:val="auto"/>
        </w:rPr>
        <w:t xml:space="preserve">Cash Flow used in Operating Activities. </w:t>
      </w:r>
      <w:r>
        <w:rPr>
          <w:rFonts w:ascii="Arial" w:cs="Arial" w:eastAsia="Arial" w:hAnsi="Arial"/>
          <w:sz w:val="13"/>
          <w:szCs w:val="13"/>
          <w:color w:val="auto"/>
        </w:rPr>
        <w:t>Our operations used cash flow of $40.1 million during the year ended December 31, 2021. Our cash flow from operating activities is influenced</w:t>
      </w:r>
      <w:r>
        <w:rPr>
          <w:rFonts w:ascii="Arial" w:cs="Arial" w:eastAsia="Arial" w:hAnsi="Arial"/>
          <w:sz w:val="13"/>
          <w:szCs w:val="13"/>
          <w:i w:val="1"/>
          <w:iCs w:val="1"/>
          <w:color w:val="auto"/>
        </w:rPr>
        <w:t xml:space="preserve"> </w:t>
      </w:r>
      <w:r>
        <w:rPr>
          <w:rFonts w:ascii="Arial" w:cs="Arial" w:eastAsia="Arial" w:hAnsi="Arial"/>
          <w:sz w:val="13"/>
          <w:szCs w:val="13"/>
          <w:color w:val="auto"/>
        </w:rPr>
        <w:t>by (a) the level of net income, (b) the amount of cash we invest in personnel and technology development to support anticipated future growth in our business, (c) the number of first tools or ‘demo’ tools delivered to customers for evaluation, (d) increases in the number of customers using our products, and (e) the amount and timing of payments by customers.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Capital Expenditures. </w:t>
      </w:r>
      <w:r>
        <w:rPr>
          <w:rFonts w:ascii="Arial" w:cs="Arial" w:eastAsia="Arial" w:hAnsi="Arial"/>
          <w:sz w:val="15"/>
          <w:szCs w:val="15"/>
          <w:color w:val="auto"/>
        </w:rPr>
        <w:t>We incurred $9.7 million in capital expenditures during the year ended 2021, versus $5.5 million in million capital expenditures in 2020.</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Exchange Risk</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Our consolidated financial statements are presented in U.S. dollars, which is our reporting currency, while the functional currency of our subsidiaries in the PRC is RMB, and the functional currency of our subsidiary in South Korea is the South Korean Won, or the KRW.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ASC Topic 830, </w:t>
      </w:r>
      <w:r>
        <w:rPr>
          <w:rFonts w:ascii="Arial" w:cs="Arial" w:eastAsia="Arial" w:hAnsi="Arial"/>
          <w:sz w:val="14"/>
          <w:szCs w:val="14"/>
          <w:i w:val="1"/>
          <w:iCs w:val="1"/>
          <w:color w:val="auto"/>
        </w:rPr>
        <w:t>Foreign Currency Matters</w:t>
      </w:r>
      <w:r>
        <w:rPr>
          <w:rFonts w:ascii="Arial" w:cs="Arial" w:eastAsia="Arial" w:hAnsi="Arial"/>
          <w:sz w:val="14"/>
          <w:szCs w:val="14"/>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8" w:name="page79"/>
    <w:bookmarkEnd w:id="7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majority of our business is conducted through our ACM Shanghai subsidiary that manufactures and sells our products in various global markets, and we also have operations in South Korea, the Taiwan Region, the United States, and other countries. We sell the majority of our products in transactions denominated in U.S. dollars; however, we purchase raw materials, pay wages, and make payments to our supply chain in foreign currencies, primarily RMB, and also the KRW. As a result, our earnings, cash flows and cash balances are exposed to fluctuations in foreign currency exchange rates. For example, because of our significant manufacturing operations in the PRC, a weakening RMB is advantageous and a strengthening RMB is disadvantageous to our financial results. At this time, we have not established a formal hedging policy to attempt to reduce the inherent risks of potential currency fluctuations on our global operations. We report the impact of foreign exchange fluctuations in the other income (expense) line item of our Consolidated Statements of Operations and Comprehensive Income statements. For 2021, 2020, and 2019, the effect of fluctuations of foreign currencies contributed realized gains (losses) of ($0.6 million), ($4.4 million), and $1.0 million respectively.</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Risk</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As of December 31, 2021 and 2020, the balance of our short term bank borrowings (see note 9 in the Notes to Consolidated Financial Statements included herein under “Item 8. Financial Statements and Supplementary Data.”), matured at various dates within the following year and did not expose the Company to interest rate risk. As of December 31, 2021, the balance of our long-term borrowings (see note 12 in the Notes to Consolidated Financial Statements included herein under “Item 8. Financial Statements and Supplementary Data.”) carries a fixed interest rated and we may be exposed to fair value interest rate risk.</w:t>
      </w:r>
    </w:p>
    <w:p>
      <w:pPr>
        <w:spacing w:after="0" w:line="158"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We have implemented policies and procedures to measure, manage, monitor and report risk exposures, which are reviewed regularly by management and the board of directors. We identify risk exposures and monitor and manage such risks on an ongoing basis.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9" w:name="page80"/>
    <w:bookmarkEnd w:id="7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color w:val="auto"/>
        </w:rPr>
        <w:t>Financial Statements and Supplementary Data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07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center"/>
              <w:ind w:right="200"/>
              <w:spacing w:after="0" w:line="151" w:lineRule="exact"/>
              <w:rPr>
                <w:sz w:val="20"/>
                <w:szCs w:val="20"/>
                <w:color w:val="auto"/>
              </w:rPr>
            </w:pPr>
            <w:r>
              <w:rPr>
                <w:rFonts w:ascii="Arial" w:cs="Arial" w:eastAsia="Arial" w:hAnsi="Arial"/>
                <w:sz w:val="15"/>
                <w:szCs w:val="15"/>
                <w:b w:val="1"/>
                <w:bCs w:val="1"/>
                <w:color w:val="auto"/>
                <w:w w:val="89"/>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5"/>
                <w:szCs w:val="15"/>
                <w:color w:val="auto"/>
              </w:rPr>
              <w:t>Consolidated Financial Statements</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80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5"/>
                <w:szCs w:val="15"/>
                <w:color w:val="auto"/>
              </w:rPr>
              <w:t>Report of Independent Registered Public Accounting Firm (BDO China Shu Lun Pan Certified Public Accountants LLP, Shenzhen, China, PCAOB ID#1818)</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81</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5"/>
                <w:szCs w:val="15"/>
                <w:color w:val="auto"/>
              </w:rPr>
              <w:t>Consolidated Balance Sheets as of December 31, 2021 and 2020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Operations and Comprehensive Income for the Years ended December 31, 2021, 2020 and 2019</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85</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Changes in Stockholders’ Equity for the Years ended December 31, 2021, 2020 and 2019</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Cash Flows for the Years ended December 31, 2021, 2020 and 2019</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87</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5"/>
                <w:szCs w:val="15"/>
                <w:color w:val="auto"/>
              </w:rPr>
              <w:t>Notes to Consolidated Financial Statements</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88</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77"/>
        </w:trPr>
        <w:tc>
          <w:tcPr>
            <w:tcW w:w="10740" w:type="dxa"/>
            <w:vAlign w:val="bottom"/>
            <w:gridSpan w:val="2"/>
          </w:tcPr>
          <w:p>
            <w:pPr>
              <w:jc w:val="right"/>
              <w:ind w:right="4985"/>
              <w:spacing w:after="0"/>
              <w:rPr>
                <w:sz w:val="20"/>
                <w:szCs w:val="20"/>
                <w:color w:val="auto"/>
              </w:rPr>
            </w:pPr>
            <w:r>
              <w:rPr>
                <w:rFonts w:ascii="Arial" w:cs="Arial" w:eastAsia="Arial" w:hAnsi="Arial"/>
                <w:sz w:val="12"/>
                <w:szCs w:val="12"/>
                <w:color w:val="auto"/>
              </w:rPr>
              <w:t>80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3"/>
                <w:szCs w:val="3"/>
                <w:color w:val="auto"/>
              </w:rPr>
            </w:pPr>
          </w:p>
        </w:tc>
        <w:tc>
          <w:tcPr>
            <w:tcW w:w="107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80" w:name="page81"/>
    <w:bookmarkEnd w:id="8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94615</wp:posOffset>
            </wp:positionV>
            <wp:extent cx="4274185" cy="423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74185" cy="42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Shareholders and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ACM Research,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Fremont, California</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Consolidated Financial Statements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have audited the accompanying consolidated balance sheets of ACM Research, Inc. and subsidiaries (the “Company”) as of December 31, 2021 and 2020, the related consolidated statements of operations and comprehensive income, changes in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w:t>
      </w:r>
      <w:r>
        <w:rPr>
          <w:rFonts w:ascii="Arial" w:cs="Arial" w:eastAsia="Arial" w:hAnsi="Arial"/>
          <w:sz w:val="15"/>
          <w:szCs w:val="15"/>
          <w:b w:val="1"/>
          <w:bCs w:val="1"/>
          <w:color w:val="auto"/>
        </w:rPr>
        <w:t>,</w:t>
      </w:r>
      <w:r>
        <w:rPr>
          <w:rFonts w:ascii="Arial" w:cs="Arial" w:eastAsia="Arial" w:hAnsi="Arial"/>
          <w:sz w:val="15"/>
          <w:szCs w:val="15"/>
          <w:color w:val="auto"/>
        </w:rPr>
        <w:t xml:space="preserve"> in conformity with accounting principles generally accepted in the United States of America.</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 (“COSO”) and our report dated March 1, 2022 expressed an unqualified opinion thereon.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94"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1" w:name="page82"/>
    <w:bookmarkEnd w:id="8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 related to sale of semiconductor capital equipment</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As described in Notes 2 and 3 to the consolidated financial statements, the Company derives revenue principally from the sale of semiconductor capital equipment. Revenue of sale of semiconductor capital equipment is recognized when the Company satisfies performance obligations by transferring the control over products promised in the contract with customer, which is the point of time when the equipment has been demonstrated to meet the customer’s predetermined specifications and is accepted by the customer. For revenue contracts that provide for a lapsing customer acceptance period, the Company recognizes revenue as of the earlier of the expiration of the lapsing acceptance period or customer acceptance.</w:t>
      </w:r>
    </w:p>
    <w:p>
      <w:pPr>
        <w:spacing w:after="0" w:line="128"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We identified the timing of revenue recognition as a critical audit matter because the Company’s revenue contracts have a variety of specifications, payment terms and customer acceptance clauses. Auditing these elements involved especially challenging auditor judgment in evaluating the appropriateness of the Company’s revenue recognition.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2" w:name="page83"/>
    <w:bookmarkEnd w:id="8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The primary procedures we performed to address this critical audit matter included:</w:t>
      </w:r>
    </w:p>
    <w:p>
      <w:pPr>
        <w:spacing w:after="0" w:line="190" w:lineRule="exact"/>
        <w:rPr>
          <w:sz w:val="20"/>
          <w:szCs w:val="20"/>
          <w:color w:val="auto"/>
        </w:rPr>
      </w:pPr>
    </w:p>
    <w:p>
      <w:pPr>
        <w:ind w:left="540" w:right="20" w:hanging="278"/>
        <w:spacing w:after="0" w:line="258" w:lineRule="auto"/>
        <w:tabs>
          <w:tab w:leader="none" w:pos="5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Testing the design and operating effectiveness of controls over revenue recognition including management’s controls related to the identification and evaluation of performance obligations in contracts with customers and assessment of contract terms.</w:t>
      </w:r>
    </w:p>
    <w:p>
      <w:pPr>
        <w:ind w:left="540" w:hanging="278"/>
        <w:spacing w:after="0" w:line="251" w:lineRule="auto"/>
        <w:tabs>
          <w:tab w:leader="none" w:pos="5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Evaluating management’s accounting policies and practices including the reasonableness of management’s judgments and assumptions relating to the Company’s revenue recognition including evaluation of customer acceptance clauses.</w:t>
      </w:r>
    </w:p>
    <w:p>
      <w:pPr>
        <w:spacing w:after="0" w:line="1" w:lineRule="exact"/>
        <w:rPr>
          <w:rFonts w:ascii="Arial" w:cs="Arial" w:eastAsia="Arial" w:hAnsi="Arial"/>
          <w:sz w:val="15"/>
          <w:szCs w:val="15"/>
          <w:color w:val="auto"/>
        </w:rPr>
      </w:pPr>
    </w:p>
    <w:p>
      <w:pPr>
        <w:ind w:left="540" w:hanging="278"/>
        <w:spacing w:after="0" w:line="263" w:lineRule="auto"/>
        <w:tabs>
          <w:tab w:leader="none" w:pos="5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Testing a sample of revenue contracts and underlying order documents to evaluate appropriateness of management’s revenue recognition including assessment of customer acceptance clauses.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BDO China Shu Lun Pan Certified Public Accountants LLP</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2015.</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Shenzhen, The People’s Republic of China</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March 1, 2022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38"/>
        </w:trPr>
        <w:tc>
          <w:tcPr>
            <w:tcW w:w="8660" w:type="dxa"/>
            <w:vAlign w:val="bottom"/>
            <w:gridSpan w:val="3"/>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48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820" w:type="dxa"/>
            <w:vAlign w:val="bottom"/>
          </w:tcPr>
          <w:p>
            <w:pPr>
              <w:jc w:val="center"/>
              <w:ind w:left="1685"/>
              <w:spacing w:after="0"/>
              <w:rPr>
                <w:sz w:val="20"/>
                <w:szCs w:val="20"/>
                <w:color w:val="auto"/>
              </w:rPr>
            </w:pPr>
            <w:r>
              <w:rPr>
                <w:rFonts w:ascii="Arial" w:cs="Arial" w:eastAsia="Arial" w:hAnsi="Arial"/>
                <w:sz w:val="15"/>
                <w:szCs w:val="15"/>
                <w:b w:val="1"/>
                <w:bCs w:val="1"/>
                <w:color w:val="auto"/>
              </w:rPr>
              <w:t>ACM RESEARCH, INC.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20" w:type="dxa"/>
            <w:vAlign w:val="bottom"/>
          </w:tcPr>
          <w:p>
            <w:pPr>
              <w:jc w:val="center"/>
              <w:ind w:left="1665"/>
              <w:spacing w:after="0"/>
              <w:rPr>
                <w:sz w:val="20"/>
                <w:szCs w:val="20"/>
                <w:color w:val="auto"/>
              </w:rPr>
            </w:pPr>
            <w:r>
              <w:rPr>
                <w:rFonts w:ascii="Arial" w:cs="Arial" w:eastAsia="Arial" w:hAnsi="Arial"/>
                <w:sz w:val="15"/>
                <w:szCs w:val="15"/>
                <w:b w:val="1"/>
                <w:bCs w:val="1"/>
                <w:color w:val="auto"/>
                <w:w w:val="87"/>
              </w:rPr>
              <w:t>Consolidated Balance Sheets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20" w:type="dxa"/>
            <w:vAlign w:val="bottom"/>
          </w:tcPr>
          <w:p>
            <w:pPr>
              <w:ind w:left="3600"/>
              <w:spacing w:after="0"/>
              <w:rPr>
                <w:sz w:val="20"/>
                <w:szCs w:val="20"/>
                <w:color w:val="auto"/>
              </w:rPr>
            </w:pPr>
            <w:r>
              <w:rPr>
                <w:rFonts w:ascii="Arial" w:cs="Arial" w:eastAsia="Arial" w:hAnsi="Arial"/>
                <w:sz w:val="15"/>
                <w:szCs w:val="15"/>
                <w:i w:val="1"/>
                <w:iCs w:val="1"/>
                <w:color w:val="auto"/>
              </w:rPr>
              <w:t>(In thousands, except per share data)</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20" w:type="dxa"/>
            <w:vAlign w:val="bottom"/>
          </w:tcPr>
          <w:p>
            <w:pPr>
              <w:jc w:val="center"/>
              <w:ind w:right="865"/>
              <w:spacing w:after="0" w:line="171" w:lineRule="exact"/>
              <w:rPr>
                <w:sz w:val="20"/>
                <w:szCs w:val="20"/>
                <w:color w:val="auto"/>
              </w:rPr>
            </w:pPr>
            <w:r>
              <w:rPr>
                <w:rFonts w:ascii="Arial" w:cs="Arial" w:eastAsia="Arial" w:hAnsi="Arial"/>
                <w:sz w:val="15"/>
                <w:szCs w:val="15"/>
                <w:b w:val="1"/>
                <w:bCs w:val="1"/>
                <w:color w:val="auto"/>
                <w:w w:val="81"/>
              </w:rPr>
              <w:t>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8660" w:type="dxa"/>
            <w:vAlign w:val="bottom"/>
            <w:gridSpan w:val="3"/>
          </w:tcPr>
          <w:p>
            <w:pPr>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563,067</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71,766</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Trading securities (note 16)</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29,498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28,239</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Accounts receivable, less allowance for doubtful accounts of $0 as of December 31, 2021 and December 31, 2020 (note 4)</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56,441</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Income tax recoverable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receivables</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18,979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9,679</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Inventories (note 5)</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218,116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88,639</w:t>
            </w:r>
          </w:p>
        </w:tc>
      </w:tr>
      <w:tr>
        <w:trPr>
          <w:trHeight w:val="184"/>
        </w:trPr>
        <w:tc>
          <w:tcPr>
            <w:tcW w:w="20" w:type="dxa"/>
            <w:vAlign w:val="bottom"/>
          </w:tcPr>
          <w:p>
            <w:pPr>
              <w:spacing w:after="0"/>
              <w:rPr>
                <w:sz w:val="15"/>
                <w:szCs w:val="15"/>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Prepaid expenses</w:t>
            </w: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16,639</w:t>
            </w: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5,892</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tcPr>
          <w:p>
            <w:pPr>
              <w:ind w:left="520"/>
              <w:spacing w:after="0"/>
              <w:rPr>
                <w:sz w:val="20"/>
                <w:szCs w:val="20"/>
                <w:color w:val="auto"/>
              </w:rPr>
            </w:pPr>
            <w:r>
              <w:rPr>
                <w:rFonts w:ascii="Arial" w:cs="Arial" w:eastAsia="Arial" w:hAnsi="Arial"/>
                <w:sz w:val="15"/>
                <w:szCs w:val="15"/>
                <w:color w:val="auto"/>
              </w:rPr>
              <w:t>Total current assets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952,934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260,656</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plant and equipment, net (note 6)</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8,192</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Land use right, net (note 7)</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9,667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9,646</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 net (note 11)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4,297</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Intangible assets, net</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477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554</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tax assets (note 21)</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13,166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11,076</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Long-term investments (note 14)</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12,694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6,340</w:t>
            </w:r>
          </w:p>
        </w:tc>
      </w:tr>
      <w:tr>
        <w:trPr>
          <w:trHeight w:val="184"/>
        </w:trPr>
        <w:tc>
          <w:tcPr>
            <w:tcW w:w="20" w:type="dxa"/>
            <w:vAlign w:val="bottom"/>
          </w:tcPr>
          <w:p>
            <w:pPr>
              <w:spacing w:after="0"/>
              <w:rPr>
                <w:sz w:val="15"/>
                <w:szCs w:val="15"/>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 long-term assets (note 8)</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45,017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40,496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8640" w:type="dxa"/>
            <w:vAlign w:val="bottom"/>
            <w:gridSpan w:val="2"/>
          </w:tcPr>
          <w:p>
            <w:pPr>
              <w:ind w:left="78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1,052,179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341,257</w:t>
            </w:r>
          </w:p>
        </w:tc>
      </w:tr>
      <w:tr>
        <w:trPr>
          <w:trHeight w:val="181"/>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20" w:type="dxa"/>
            <w:vAlign w:val="bottom"/>
            <w:shd w:val="clear" w:color="auto" w:fill="CCEEFF"/>
          </w:tcPr>
          <w:p>
            <w:pPr>
              <w:jc w:val="center"/>
              <w:ind w:right="885"/>
              <w:spacing w:after="0"/>
              <w:rPr>
                <w:sz w:val="20"/>
                <w:szCs w:val="20"/>
                <w:color w:val="auto"/>
              </w:rPr>
            </w:pPr>
            <w:r>
              <w:rPr>
                <w:rFonts w:ascii="Arial" w:cs="Arial" w:eastAsia="Arial" w:hAnsi="Arial"/>
                <w:sz w:val="15"/>
                <w:szCs w:val="15"/>
                <w:b w:val="1"/>
                <w:bCs w:val="1"/>
                <w:color w:val="auto"/>
                <w:w w:val="92"/>
              </w:rPr>
              <w:t>Liabilities and Stockholders’ Equity</w:t>
            </w: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Current liabilities: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borrowings (note 9)</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26,147</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Current portion of long-term borrowings (note 12)</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1,591</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101,350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35,603</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Advances from customers</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52,824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17,888</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revenue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1,343</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Income taxes payable (note 21)</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31</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FIN-48 payable (note 21)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Other payables and accrued expenses (note 10)</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31,735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18,805</w:t>
            </w:r>
          </w:p>
        </w:tc>
      </w:tr>
      <w:tr>
        <w:trPr>
          <w:trHeight w:val="184"/>
        </w:trPr>
        <w:tc>
          <w:tcPr>
            <w:tcW w:w="20" w:type="dxa"/>
            <w:vAlign w:val="bottom"/>
          </w:tcPr>
          <w:p>
            <w:pPr>
              <w:spacing w:after="0"/>
              <w:rPr>
                <w:sz w:val="15"/>
                <w:szCs w:val="15"/>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Current portion of operating lease liability (note 11)</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tcPr>
          <w:p>
            <w:pPr>
              <w:ind w:left="38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205,939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102,908</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borrowings (note 12)</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22,957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17,979</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Long-term operating lease liability (note 11)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2,880</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tax liability (note 21)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1,286</w:t>
            </w:r>
          </w:p>
        </w:tc>
      </w:tr>
      <w:tr>
        <w:trPr>
          <w:trHeight w:val="184"/>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Other long-term liabilities (note 13)</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8,447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8,034</w:t>
            </w:r>
          </w:p>
        </w:tc>
      </w:tr>
      <w:tr>
        <w:trPr>
          <w:trHeight w:val="184"/>
        </w:trPr>
        <w:tc>
          <w:tcPr>
            <w:tcW w:w="2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240,514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133,087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b w:val="1"/>
                <w:bCs w:val="1"/>
                <w:color w:val="auto"/>
              </w:rPr>
              <w:t>Commitments and contingencies (note 23)</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8640" w:type="dxa"/>
            <w:vAlign w:val="bottom"/>
            <w:gridSpan w:val="2"/>
          </w:tcPr>
          <w:p>
            <w:pPr>
              <w:spacing w:after="0" w:line="171" w:lineRule="exact"/>
              <w:rPr>
                <w:sz w:val="20"/>
                <w:szCs w:val="20"/>
                <w:color w:val="auto"/>
              </w:rPr>
            </w:pPr>
            <w:r>
              <w:rPr>
                <w:rFonts w:ascii="Arial" w:cs="Arial" w:eastAsia="Arial" w:hAnsi="Arial"/>
                <w:sz w:val="15"/>
                <w:szCs w:val="15"/>
                <w:color w:val="auto"/>
                <w:w w:val="90"/>
              </w:rPr>
              <w:t>Common stock – Class A, par value $0.0001: 150,000,000 shares authorized as of December 31, 2021 and 50,000,000 shares authorized as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8660" w:type="dxa"/>
            <w:vAlign w:val="bottom"/>
            <w:gridSpan w:val="3"/>
          </w:tcPr>
          <w:p>
            <w:pPr>
              <w:spacing w:after="0"/>
              <w:rPr>
                <w:sz w:val="20"/>
                <w:szCs w:val="20"/>
                <w:color w:val="auto"/>
              </w:rPr>
            </w:pPr>
            <w:r>
              <w:rPr>
                <w:rFonts w:ascii="Arial" w:cs="Arial" w:eastAsia="Arial" w:hAnsi="Arial"/>
                <w:sz w:val="15"/>
                <w:szCs w:val="15"/>
                <w:color w:val="auto"/>
                <w:w w:val="91"/>
              </w:rPr>
              <w:t>December 31, 2020; 17,869,643 shares issued and outstanding as of December 31, 2021 and 16,896,693 shares issued and outstanding as of</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8660" w:type="dxa"/>
            <w:vAlign w:val="bottom"/>
            <w:gridSpan w:val="3"/>
          </w:tcPr>
          <w:p>
            <w:pPr>
              <w:spacing w:after="0"/>
              <w:rPr>
                <w:sz w:val="20"/>
                <w:szCs w:val="20"/>
                <w:color w:val="auto"/>
              </w:rPr>
            </w:pPr>
            <w:r>
              <w:rPr>
                <w:rFonts w:ascii="Arial" w:cs="Arial" w:eastAsia="Arial" w:hAnsi="Arial"/>
                <w:sz w:val="15"/>
                <w:szCs w:val="15"/>
                <w:color w:val="auto"/>
              </w:rPr>
              <w:t>December 31, 2020 (note 18)</w:t>
            </w: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r>
      <w:tr>
        <w:trPr>
          <w:trHeight w:val="172"/>
        </w:trPr>
        <w:tc>
          <w:tcPr>
            <w:tcW w:w="20" w:type="dxa"/>
            <w:vAlign w:val="bottom"/>
          </w:tcPr>
          <w:p>
            <w:pPr>
              <w:spacing w:after="0"/>
              <w:rPr>
                <w:sz w:val="14"/>
                <w:szCs w:val="14"/>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3"/>
              </w:rPr>
              <w:t>Common stock–Class B, par value $0.0001: 5,307,816 shares authorized as of December 31, 2021 and 2,409,738 shares authorized as of</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2"/>
              </w:rPr>
              <w:t>December 31, 2020; 1,695,938 shares issued and outstanding as of December 31, 2021 and 1,802,606 shares issued and outstanding as of</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31, 2020 (note 18)</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Additional paid in capital</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595,049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102,004</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Accumulated surplus</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72,044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34,287</w:t>
            </w:r>
          </w:p>
        </w:tc>
      </w:tr>
      <w:tr>
        <w:trPr>
          <w:trHeight w:val="184"/>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Accumulated other comprehensive income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9,109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4,857</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 ACM Research, Inc. stockholders’ equity</w:t>
            </w: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676,204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141,150</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Non-controlling interests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135,461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67,020</w:t>
            </w:r>
          </w:p>
        </w:tc>
      </w:tr>
      <w:tr>
        <w:trPr>
          <w:trHeight w:val="184"/>
        </w:trPr>
        <w:tc>
          <w:tcPr>
            <w:tcW w:w="20" w:type="dxa"/>
            <w:vAlign w:val="bottom"/>
          </w:tcPr>
          <w:p>
            <w:pPr>
              <w:spacing w:after="0"/>
              <w:rPr>
                <w:sz w:val="15"/>
                <w:szCs w:val="15"/>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811,665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208,170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tcPr>
          <w:p>
            <w:pPr>
              <w:ind w:left="500"/>
              <w:spacing w:after="0"/>
              <w:rPr>
                <w:sz w:val="20"/>
                <w:szCs w:val="20"/>
                <w:color w:val="auto"/>
              </w:rPr>
            </w:pPr>
            <w:r>
              <w:rPr>
                <w:rFonts w:ascii="Arial" w:cs="Arial" w:eastAsia="Arial" w:hAnsi="Arial"/>
                <w:sz w:val="15"/>
                <w:szCs w:val="15"/>
                <w:b w:val="1"/>
                <w:bCs w:val="1"/>
                <w:color w:val="auto"/>
              </w:rPr>
              <w:t>Total liabilities and stockholders’ equity</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1,052,179</w:t>
            </w:r>
          </w:p>
        </w:tc>
        <w:tc>
          <w:tcPr>
            <w:tcW w:w="120" w:type="dxa"/>
            <w:vAlign w:val="bottom"/>
          </w:tcPr>
          <w:p>
            <w:pPr>
              <w:spacing w:after="0"/>
              <w:rPr>
                <w:sz w:val="15"/>
                <w:szCs w:val="15"/>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341,257</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38"/>
        </w:trPr>
        <w:tc>
          <w:tcPr>
            <w:tcW w:w="7040" w:type="dxa"/>
            <w:vAlign w:val="bottom"/>
            <w:gridSpan w:val="3"/>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200" w:type="dxa"/>
            <w:vAlign w:val="bottom"/>
          </w:tcPr>
          <w:p>
            <w:pPr>
              <w:jc w:val="center"/>
              <w:ind w:left="3305"/>
              <w:spacing w:after="0"/>
              <w:rPr>
                <w:sz w:val="20"/>
                <w:szCs w:val="20"/>
                <w:color w:val="auto"/>
              </w:rPr>
            </w:pPr>
            <w:r>
              <w:rPr>
                <w:rFonts w:ascii="Arial" w:cs="Arial" w:eastAsia="Arial" w:hAnsi="Arial"/>
                <w:sz w:val="15"/>
                <w:szCs w:val="15"/>
                <w:b w:val="1"/>
                <w:bCs w:val="1"/>
                <w:color w:val="auto"/>
              </w:rPr>
              <w:t>ACM RESEARCH, INC.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40" w:type="dxa"/>
            <w:vAlign w:val="bottom"/>
            <w:gridSpan w:val="5"/>
          </w:tcPr>
          <w:p>
            <w:pPr>
              <w:jc w:val="center"/>
              <w:ind w:left="1645"/>
              <w:spacing w:after="0"/>
              <w:rPr>
                <w:sz w:val="20"/>
                <w:szCs w:val="20"/>
                <w:color w:val="auto"/>
              </w:rPr>
            </w:pPr>
            <w:r>
              <w:rPr>
                <w:rFonts w:ascii="Arial" w:cs="Arial" w:eastAsia="Arial" w:hAnsi="Arial"/>
                <w:sz w:val="15"/>
                <w:szCs w:val="15"/>
                <w:b w:val="1"/>
                <w:bCs w:val="1"/>
                <w:color w:val="auto"/>
                <w:w w:val="89"/>
              </w:rPr>
              <w:t>Consolidated Statements of Operations and Comprehensive Income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0" w:type="dxa"/>
            <w:vAlign w:val="bottom"/>
          </w:tcPr>
          <w:p>
            <w:pPr>
              <w:jc w:val="center"/>
              <w:ind w:left="3285"/>
              <w:spacing w:after="0"/>
              <w:rPr>
                <w:sz w:val="20"/>
                <w:szCs w:val="20"/>
                <w:color w:val="auto"/>
              </w:rPr>
            </w:pPr>
            <w:r>
              <w:rPr>
                <w:rFonts w:ascii="Arial" w:cs="Arial" w:eastAsia="Arial" w:hAnsi="Arial"/>
                <w:sz w:val="15"/>
                <w:szCs w:val="15"/>
                <w:i w:val="1"/>
                <w:iCs w:val="1"/>
                <w:color w:val="auto"/>
                <w:w w:val="89"/>
              </w:rPr>
              <w:t>(In thousands, except per share data)</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 (note 3)</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259,751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156,624</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107,524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5"/>
                <w:szCs w:val="15"/>
                <w:color w:val="auto"/>
              </w:rPr>
              <w:t>Cost of revenue</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144,895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87,025</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56,870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Gross profit</w:t>
            </w: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114,856</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69,599</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50,654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Sales and marketing</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26,733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16,773</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11,902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ind w:left="80"/>
              <w:spacing w:after="0"/>
              <w:rPr>
                <w:sz w:val="20"/>
                <w:szCs w:val="20"/>
                <w:color w:val="auto"/>
              </w:rPr>
            </w:pPr>
            <w:r>
              <w:rPr>
                <w:rFonts w:ascii="Arial" w:cs="Arial" w:eastAsia="Arial" w:hAnsi="Arial"/>
                <w:sz w:val="15"/>
                <w:szCs w:val="15"/>
                <w:color w:val="auto"/>
              </w:rPr>
              <w:t>Research and development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34,207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19,119</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12,900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General and administrative</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12,215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8,061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7020" w:type="dxa"/>
            <w:vAlign w:val="bottom"/>
            <w:gridSpan w:val="2"/>
          </w:tcPr>
          <w:p>
            <w:pPr>
              <w:ind w:left="240"/>
              <w:spacing w:after="0"/>
              <w:rPr>
                <w:sz w:val="20"/>
                <w:szCs w:val="20"/>
                <w:color w:val="auto"/>
              </w:rPr>
            </w:pPr>
            <w:r>
              <w:rPr>
                <w:rFonts w:ascii="Arial" w:cs="Arial" w:eastAsia="Arial" w:hAnsi="Arial"/>
                <w:sz w:val="15"/>
                <w:szCs w:val="15"/>
                <w:b w:val="1"/>
                <w:bCs w:val="1"/>
                <w:color w:val="auto"/>
              </w:rPr>
              <w:t>Total operating expenses, net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76,154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48,107</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32,863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Income from operations</w:t>
            </w:r>
          </w:p>
        </w:tc>
        <w:tc>
          <w:tcPr>
            <w:tcW w:w="2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38,702</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21,492</w:t>
            </w: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17,791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5"/>
                <w:szCs w:val="15"/>
                <w:color w:val="auto"/>
              </w:rPr>
              <w:t>Interest income</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897</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(765)</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(982)</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5"/>
                <w:szCs w:val="15"/>
                <w:color w:val="auto"/>
              </w:rPr>
              <w:t>Change in fair value of financial liability</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(11,964)</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Unrealized gain on trading securities</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12,574</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5"/>
                <w:szCs w:val="15"/>
                <w:color w:val="auto"/>
              </w:rPr>
              <w:t>Other income (expense), net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(631)</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(3,377)</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1,393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income in net income of affiliates</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655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ind w:left="240"/>
              <w:spacing w:after="0"/>
              <w:rPr>
                <w:sz w:val="20"/>
                <w:szCs w:val="20"/>
                <w:color w:val="auto"/>
              </w:rPr>
            </w:pPr>
            <w:r>
              <w:rPr>
                <w:rFonts w:ascii="Arial" w:cs="Arial" w:eastAsia="Arial" w:hAnsi="Arial"/>
                <w:sz w:val="15"/>
                <w:szCs w:val="15"/>
                <w:b w:val="1"/>
                <w:bCs w:val="1"/>
                <w:color w:val="auto"/>
              </w:rPr>
              <w:t>Income before income taxes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43,055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19,295</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18,940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benefit (expense) (note 21)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(134)</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2,382</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ind w:left="240"/>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42,921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21,677</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19,458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Net income attributable to non-controlling interests and redeemable non-controlling interests</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2,897</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ind w:left="240"/>
              <w:spacing w:after="0"/>
              <w:rPr>
                <w:sz w:val="20"/>
                <w:szCs w:val="20"/>
                <w:color w:val="auto"/>
              </w:rPr>
            </w:pPr>
            <w:r>
              <w:rPr>
                <w:rFonts w:ascii="Arial" w:cs="Arial" w:eastAsia="Arial" w:hAnsi="Arial"/>
                <w:sz w:val="15"/>
                <w:szCs w:val="15"/>
                <w:b w:val="1"/>
                <w:bCs w:val="1"/>
                <w:color w:val="auto"/>
              </w:rPr>
              <w:t>Net income attributable to ACM Research, Inc.</w:t>
            </w:r>
          </w:p>
        </w:tc>
        <w:tc>
          <w:tcPr>
            <w:tcW w:w="28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37,757</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18,780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18,894</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Comprehensive income:</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ind w:left="80"/>
              <w:spacing w:after="0"/>
              <w:rPr>
                <w:sz w:val="20"/>
                <w:szCs w:val="20"/>
                <w:color w:val="auto"/>
              </w:rPr>
            </w:pPr>
            <w:r>
              <w:rPr>
                <w:rFonts w:ascii="Arial" w:cs="Arial" w:eastAsia="Arial" w:hAnsi="Arial"/>
                <w:sz w:val="15"/>
                <w:szCs w:val="15"/>
                <w:color w:val="auto"/>
              </w:rPr>
              <w:t>Net income</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42,921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21,677</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19,458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Foreign currency translation adjustment</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10,493</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(899)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ind w:left="240"/>
              <w:spacing w:after="0"/>
              <w:rPr>
                <w:sz w:val="20"/>
                <w:szCs w:val="20"/>
                <w:color w:val="auto"/>
              </w:rPr>
            </w:pPr>
            <w:r>
              <w:rPr>
                <w:rFonts w:ascii="Arial" w:cs="Arial" w:eastAsia="Arial" w:hAnsi="Arial"/>
                <w:sz w:val="15"/>
                <w:szCs w:val="15"/>
                <w:b w:val="1"/>
                <w:bCs w:val="1"/>
                <w:color w:val="auto"/>
              </w:rPr>
              <w:t>Comprehensive Income</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47,616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32,170</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18,559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Less: Comprehensive income attributable to non-controlling interests and redeemable non-controlling interests</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6,858</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020" w:type="dxa"/>
            <w:vAlign w:val="bottom"/>
            <w:gridSpan w:val="2"/>
          </w:tcPr>
          <w:p>
            <w:pPr>
              <w:ind w:left="240"/>
              <w:spacing w:after="0"/>
              <w:rPr>
                <w:sz w:val="20"/>
                <w:szCs w:val="20"/>
                <w:color w:val="auto"/>
              </w:rPr>
            </w:pPr>
            <w:r>
              <w:rPr>
                <w:rFonts w:ascii="Arial" w:cs="Arial" w:eastAsia="Arial" w:hAnsi="Arial"/>
                <w:sz w:val="15"/>
                <w:szCs w:val="15"/>
                <w:b w:val="1"/>
                <w:bCs w:val="1"/>
                <w:color w:val="auto"/>
              </w:rPr>
              <w:t>Comprehensive income attributable to ACM Research, Inc.</w:t>
            </w:r>
          </w:p>
        </w:tc>
        <w:tc>
          <w:tcPr>
            <w:tcW w:w="28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42,009</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25,312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18,076</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restart"/>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5"/>
                <w:szCs w:val="15"/>
                <w:color w:val="auto"/>
              </w:rPr>
              <w:t>Net income attributable to ACM Research, Inc. per common share (note 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Basic</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gridSpan w:val="2"/>
          </w:tcPr>
          <w:p>
            <w:pPr>
              <w:ind w:left="80"/>
              <w:spacing w:after="0" w:line="167" w:lineRule="exact"/>
              <w:rPr>
                <w:sz w:val="20"/>
                <w:szCs w:val="20"/>
                <w:color w:val="auto"/>
              </w:rPr>
            </w:pPr>
            <w:r>
              <w:rPr>
                <w:rFonts w:ascii="Arial" w:cs="Arial" w:eastAsia="Arial" w:hAnsi="Arial"/>
                <w:sz w:val="15"/>
                <w:szCs w:val="15"/>
                <w:color w:val="auto"/>
              </w:rPr>
              <w:t>Diluted</w:t>
            </w:r>
          </w:p>
        </w:tc>
        <w:tc>
          <w:tcPr>
            <w:tcW w:w="280" w:type="dxa"/>
            <w:vAlign w:val="bottom"/>
          </w:tcPr>
          <w:p>
            <w:pPr>
              <w:spacing w:after="0"/>
              <w:rPr>
                <w:sz w:val="14"/>
                <w:szCs w:val="14"/>
                <w:color w:val="auto"/>
              </w:rPr>
            </w:pPr>
          </w:p>
        </w:tc>
        <w:tc>
          <w:tcPr>
            <w:tcW w:w="240" w:type="dxa"/>
            <w:vAlign w:val="bottom"/>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1.73</w:t>
            </w:r>
          </w:p>
        </w:tc>
        <w:tc>
          <w:tcPr>
            <w:tcW w:w="220" w:type="dxa"/>
            <w:vAlign w:val="bottom"/>
          </w:tcPr>
          <w:p>
            <w:pPr>
              <w:spacing w:after="0"/>
              <w:rPr>
                <w:sz w:val="14"/>
                <w:szCs w:val="14"/>
                <w:color w:val="auto"/>
              </w:rPr>
            </w:pPr>
          </w:p>
        </w:tc>
        <w:tc>
          <w:tcPr>
            <w:tcW w:w="240" w:type="dxa"/>
            <w:vAlign w:val="bottom"/>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0.89</w:t>
            </w:r>
          </w:p>
        </w:tc>
        <w:tc>
          <w:tcPr>
            <w:tcW w:w="220" w:type="dxa"/>
            <w:vAlign w:val="bottom"/>
          </w:tcPr>
          <w:p>
            <w:pPr>
              <w:jc w:val="right"/>
              <w:ind w:right="65"/>
              <w:spacing w:after="0" w:line="167"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0.99</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restart"/>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5"/>
                <w:szCs w:val="15"/>
                <w:color w:val="auto"/>
              </w:rPr>
              <w:t>Weighted average common shares outstanding used in computing per share amounts (note 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Basic</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19,218,236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18,233,361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16,800,623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gridSpan w:val="2"/>
          </w:tcPr>
          <w:p>
            <w:pPr>
              <w:ind w:left="80"/>
              <w:spacing w:after="0" w:line="167" w:lineRule="exact"/>
              <w:rPr>
                <w:sz w:val="20"/>
                <w:szCs w:val="20"/>
                <w:color w:val="auto"/>
              </w:rPr>
            </w:pPr>
            <w:r>
              <w:rPr>
                <w:rFonts w:ascii="Arial" w:cs="Arial" w:eastAsia="Arial" w:hAnsi="Arial"/>
                <w:sz w:val="15"/>
                <w:szCs w:val="15"/>
                <w:color w:val="auto"/>
              </w:rPr>
              <w:t>Diluted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21,785,572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21,183,469</w:t>
            </w:r>
          </w:p>
        </w:tc>
        <w:tc>
          <w:tcPr>
            <w:tcW w:w="220" w:type="dxa"/>
            <w:vAlign w:val="bottom"/>
          </w:tcPr>
          <w:p>
            <w:pPr>
              <w:spacing w:after="0"/>
              <w:rPr>
                <w:sz w:val="14"/>
                <w:szCs w:val="14"/>
                <w:color w:val="auto"/>
              </w:rPr>
            </w:pPr>
          </w:p>
        </w:tc>
        <w:tc>
          <w:tcPr>
            <w:tcW w:w="100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19,135,497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5" w:name="page86"/>
    <w:bookmarkEnd w:id="8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ACM RESEARCH, INC.</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Consolidated Statement of Changes in Stockholders’ Equity</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5"/>
          <w:szCs w:val="15"/>
          <w:i w:val="1"/>
          <w:iCs w:val="1"/>
          <w:color w:val="auto"/>
        </w:rPr>
        <w:t>(In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20" w:type="dxa"/>
            <w:vAlign w:val="bottom"/>
            <w:gridSpan w:val="2"/>
          </w:tcPr>
          <w:p>
            <w:pPr>
              <w:jc w:val="center"/>
              <w:ind w:left="105"/>
              <w:spacing w:after="0"/>
              <w:rPr>
                <w:sz w:val="20"/>
                <w:szCs w:val="20"/>
                <w:color w:val="auto"/>
              </w:rPr>
            </w:pPr>
            <w:r>
              <w:rPr>
                <w:rFonts w:ascii="Arial" w:cs="Arial" w:eastAsia="Arial" w:hAnsi="Arial"/>
                <w:sz w:val="15"/>
                <w:szCs w:val="15"/>
                <w:b w:val="1"/>
                <w:bCs w:val="1"/>
                <w:color w:val="auto"/>
                <w:w w:val="92"/>
              </w:rPr>
              <w:t>Common</w:t>
            </w:r>
          </w:p>
        </w:tc>
        <w:tc>
          <w:tcPr>
            <w:tcW w:w="240" w:type="dxa"/>
            <w:vAlign w:val="bottom"/>
          </w:tcPr>
          <w:p>
            <w:pPr>
              <w:spacing w:after="0"/>
              <w:rPr>
                <w:sz w:val="15"/>
                <w:szCs w:val="15"/>
                <w:color w:val="auto"/>
              </w:rPr>
            </w:pPr>
          </w:p>
        </w:tc>
        <w:tc>
          <w:tcPr>
            <w:tcW w:w="1180" w:type="dxa"/>
            <w:vAlign w:val="bottom"/>
            <w:gridSpan w:val="2"/>
          </w:tcPr>
          <w:p>
            <w:pPr>
              <w:jc w:val="center"/>
              <w:ind w:left="65"/>
              <w:spacing w:after="0"/>
              <w:rPr>
                <w:sz w:val="20"/>
                <w:szCs w:val="20"/>
                <w:color w:val="auto"/>
              </w:rPr>
            </w:pPr>
            <w:r>
              <w:rPr>
                <w:rFonts w:ascii="Arial" w:cs="Arial" w:eastAsia="Arial" w:hAnsi="Arial"/>
                <w:sz w:val="15"/>
                <w:szCs w:val="15"/>
                <w:b w:val="1"/>
                <w:bCs w:val="1"/>
                <w:color w:val="auto"/>
                <w:w w:val="92"/>
              </w:rPr>
              <w:t>Common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20" w:type="dxa"/>
            <w:vAlign w:val="bottom"/>
            <w:tcBorders>
              <w:bottom w:val="single" w:sz="8" w:color="auto"/>
            </w:tcBorders>
            <w:gridSpan w:val="2"/>
          </w:tcPr>
          <w:p>
            <w:pPr>
              <w:jc w:val="center"/>
              <w:ind w:left="105"/>
              <w:spacing w:after="0"/>
              <w:rPr>
                <w:sz w:val="20"/>
                <w:szCs w:val="20"/>
                <w:color w:val="auto"/>
              </w:rPr>
            </w:pPr>
            <w:r>
              <w:rPr>
                <w:rFonts w:ascii="Arial" w:cs="Arial" w:eastAsia="Arial" w:hAnsi="Arial"/>
                <w:sz w:val="15"/>
                <w:szCs w:val="15"/>
                <w:b w:val="1"/>
                <w:bCs w:val="1"/>
                <w:color w:val="auto"/>
                <w:w w:val="87"/>
              </w:rPr>
              <w:t>Stock Class A</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left="65"/>
              <w:spacing w:after="0"/>
              <w:rPr>
                <w:sz w:val="20"/>
                <w:szCs w:val="20"/>
                <w:color w:val="auto"/>
              </w:rPr>
            </w:pPr>
            <w:r>
              <w:rPr>
                <w:rFonts w:ascii="Arial" w:cs="Arial" w:eastAsia="Arial" w:hAnsi="Arial"/>
                <w:sz w:val="15"/>
                <w:szCs w:val="15"/>
                <w:b w:val="1"/>
                <w:bCs w:val="1"/>
                <w:color w:val="auto"/>
                <w:w w:val="87"/>
              </w:rPr>
              <w:t>Stock Class B</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6"/>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2"/>
          </w:tcPr>
          <w:p>
            <w:pPr>
              <w:jc w:val="center"/>
              <w:spacing w:after="0" w:line="167" w:lineRule="exact"/>
              <w:rPr>
                <w:sz w:val="20"/>
                <w:szCs w:val="20"/>
                <w:color w:val="auto"/>
              </w:rPr>
            </w:pPr>
            <w:r>
              <w:rPr>
                <w:rFonts w:ascii="Arial" w:cs="Arial" w:eastAsia="Arial" w:hAnsi="Arial"/>
                <w:sz w:val="15"/>
                <w:szCs w:val="15"/>
                <w:b w:val="1"/>
                <w:bCs w:val="1"/>
                <w:color w:val="auto"/>
                <w:w w:val="91"/>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b w:val="1"/>
                <w:bCs w:val="1"/>
                <w:color w:val="auto"/>
              </w:rPr>
              <w:t>Additional</w:t>
            </w:r>
          </w:p>
        </w:tc>
        <w:tc>
          <w:tcPr>
            <w:tcW w:w="940" w:type="dxa"/>
            <w:vAlign w:val="bottom"/>
            <w:gridSpan w:val="2"/>
          </w:tcPr>
          <w:p>
            <w:pPr>
              <w:ind w:left="20"/>
              <w:spacing w:after="0"/>
              <w:rPr>
                <w:sz w:val="20"/>
                <w:szCs w:val="20"/>
                <w:color w:val="auto"/>
              </w:rPr>
            </w:pPr>
            <w:r>
              <w:rPr>
                <w:rFonts w:ascii="Arial" w:cs="Arial" w:eastAsia="Arial" w:hAnsi="Arial"/>
                <w:sz w:val="15"/>
                <w:szCs w:val="15"/>
                <w:b w:val="1"/>
                <w:bCs w:val="1"/>
                <w:color w:val="auto"/>
                <w:w w:val="95"/>
              </w:rPr>
              <w:t>Accumulated</w:t>
            </w:r>
          </w:p>
        </w:tc>
        <w:tc>
          <w:tcPr>
            <w:tcW w:w="220" w:type="dxa"/>
            <w:vAlign w:val="bottom"/>
          </w:tcPr>
          <w:p>
            <w:pPr>
              <w:spacing w:after="0"/>
              <w:rPr>
                <w:sz w:val="15"/>
                <w:szCs w:val="15"/>
                <w:color w:val="auto"/>
              </w:rPr>
            </w:pPr>
          </w:p>
        </w:tc>
        <w:tc>
          <w:tcPr>
            <w:tcW w:w="880" w:type="dxa"/>
            <w:vAlign w:val="bottom"/>
          </w:tcPr>
          <w:p>
            <w:pPr>
              <w:jc w:val="center"/>
              <w:ind w:right="185"/>
              <w:spacing w:after="0"/>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5"/>
                <w:szCs w:val="15"/>
                <w:color w:val="auto"/>
              </w:rPr>
            </w:pPr>
          </w:p>
        </w:tc>
        <w:tc>
          <w:tcPr>
            <w:tcW w:w="660" w:type="dxa"/>
            <w:vAlign w:val="bottom"/>
          </w:tcPr>
          <w:p>
            <w:pPr>
              <w:jc w:val="right"/>
              <w:ind w:right="145"/>
              <w:spacing w:after="0"/>
              <w:rPr>
                <w:sz w:val="20"/>
                <w:szCs w:val="20"/>
                <w:color w:val="auto"/>
              </w:rPr>
            </w:pPr>
            <w:r>
              <w:rPr>
                <w:rFonts w:ascii="Arial" w:cs="Arial" w:eastAsia="Arial" w:hAnsi="Arial"/>
                <w:sz w:val="15"/>
                <w:szCs w:val="15"/>
                <w:b w:val="1"/>
                <w:bCs w:val="1"/>
                <w:color w:val="auto"/>
              </w:rPr>
              <w:t>Non-</w:t>
            </w:r>
          </w:p>
        </w:tc>
        <w:tc>
          <w:tcPr>
            <w:tcW w:w="20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Total</w:t>
            </w: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65"/>
              <w:spacing w:after="0"/>
              <w:rPr>
                <w:sz w:val="20"/>
                <w:szCs w:val="20"/>
                <w:color w:val="auto"/>
              </w:rPr>
            </w:pPr>
            <w:r>
              <w:rPr>
                <w:rFonts w:ascii="Arial" w:cs="Arial" w:eastAsia="Arial" w:hAnsi="Arial"/>
                <w:sz w:val="15"/>
                <w:szCs w:val="15"/>
                <w:b w:val="1"/>
                <w:bCs w:val="1"/>
                <w:color w:val="auto"/>
              </w:rPr>
              <w:t>Paid-</w:t>
            </w:r>
          </w:p>
        </w:tc>
        <w:tc>
          <w:tcPr>
            <w:tcW w:w="140" w:type="dxa"/>
            <w:vAlign w:val="bottom"/>
          </w:tcPr>
          <w:p>
            <w:pPr>
              <w:spacing w:after="0"/>
              <w:rPr>
                <w:sz w:val="15"/>
                <w:szCs w:val="15"/>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b w:val="1"/>
                <w:bCs w:val="1"/>
                <w:color w:val="auto"/>
                <w:w w:val="96"/>
              </w:rPr>
              <w:t>Surplus</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Comprehensive</w:t>
            </w: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w w:val="92"/>
              </w:rPr>
              <w:t>controlling</w:t>
            </w:r>
          </w:p>
        </w:tc>
        <w:tc>
          <w:tcPr>
            <w:tcW w:w="980" w:type="dxa"/>
            <w:vAlign w:val="bottom"/>
            <w:gridSpan w:val="3"/>
          </w:tcPr>
          <w:p>
            <w:pPr>
              <w:ind w:left="40"/>
              <w:spacing w:after="0"/>
              <w:rPr>
                <w:sz w:val="20"/>
                <w:szCs w:val="20"/>
                <w:color w:val="auto"/>
              </w:rPr>
            </w:pPr>
            <w:r>
              <w:rPr>
                <w:rFonts w:ascii="Arial" w:cs="Arial" w:eastAsia="Arial" w:hAnsi="Arial"/>
                <w:sz w:val="15"/>
                <w:szCs w:val="15"/>
                <w:b w:val="1"/>
                <w:bCs w:val="1"/>
                <w:color w:val="auto"/>
                <w:w w:val="92"/>
              </w:rPr>
              <w:t>Stockholders’</w:t>
            </w:r>
          </w:p>
        </w:tc>
      </w:tr>
      <w:tr>
        <w:trPr>
          <w:trHeight w:val="194"/>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0" w:type="dxa"/>
            <w:vAlign w:val="bottom"/>
          </w:tcPr>
          <w:p>
            <w:pPr>
              <w:jc w:val="right"/>
              <w:ind w:right="145"/>
              <w:spacing w:after="0"/>
              <w:rPr>
                <w:sz w:val="20"/>
                <w:szCs w:val="20"/>
                <w:color w:val="auto"/>
              </w:rPr>
            </w:pPr>
            <w:r>
              <w:rPr>
                <w:rFonts w:ascii="Arial" w:cs="Arial" w:eastAsia="Arial" w:hAnsi="Arial"/>
                <w:sz w:val="15"/>
                <w:szCs w:val="15"/>
                <w:b w:val="1"/>
                <w:bCs w:val="1"/>
                <w:color w:val="auto"/>
              </w:rPr>
              <w:t>Shares</w:t>
            </w:r>
          </w:p>
        </w:tc>
        <w:tc>
          <w:tcPr>
            <w:tcW w:w="6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740" w:type="dxa"/>
            <w:vAlign w:val="bottom"/>
          </w:tcPr>
          <w:p>
            <w:pPr>
              <w:jc w:val="right"/>
              <w:ind w:right="105"/>
              <w:spacing w:after="0"/>
              <w:rPr>
                <w:sz w:val="20"/>
                <w:szCs w:val="20"/>
                <w:color w:val="auto"/>
              </w:rPr>
            </w:pPr>
            <w:r>
              <w:rPr>
                <w:rFonts w:ascii="Arial" w:cs="Arial" w:eastAsia="Arial" w:hAnsi="Arial"/>
                <w:sz w:val="15"/>
                <w:szCs w:val="15"/>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5"/>
                <w:szCs w:val="15"/>
                <w:b w:val="1"/>
                <w:bCs w:val="1"/>
                <w:color w:val="auto"/>
                <w:w w:val="98"/>
              </w:rPr>
              <w:t>Amount</w:t>
            </w:r>
          </w:p>
        </w:tc>
        <w:tc>
          <w:tcPr>
            <w:tcW w:w="80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in Capital</w:t>
            </w:r>
          </w:p>
        </w:tc>
        <w:tc>
          <w:tcPr>
            <w:tcW w:w="140" w:type="dxa"/>
            <w:vAlign w:val="bottom"/>
          </w:tcPr>
          <w:p>
            <w:pPr>
              <w:spacing w:after="0"/>
              <w:rPr>
                <w:sz w:val="16"/>
                <w:szCs w:val="16"/>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b w:val="1"/>
                <w:bCs w:val="1"/>
                <w:color w:val="auto"/>
                <w:w w:val="96"/>
              </w:rPr>
              <w:t>(Deficit)</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Income (Loss)</w:t>
            </w:r>
          </w:p>
        </w:tc>
        <w:tc>
          <w:tcPr>
            <w:tcW w:w="100" w:type="dxa"/>
            <w:vAlign w:val="bottom"/>
          </w:tcPr>
          <w:p>
            <w:pPr>
              <w:spacing w:after="0"/>
              <w:rPr>
                <w:sz w:val="16"/>
                <w:szCs w:val="16"/>
                <w:color w:val="auto"/>
              </w:rPr>
            </w:pPr>
          </w:p>
        </w:tc>
        <w:tc>
          <w:tcPr>
            <w:tcW w:w="660" w:type="dxa"/>
            <w:vAlign w:val="bottom"/>
          </w:tcPr>
          <w:p>
            <w:pPr>
              <w:jc w:val="right"/>
              <w:ind w:right="45"/>
              <w:spacing w:after="0"/>
              <w:rPr>
                <w:sz w:val="20"/>
                <w:szCs w:val="20"/>
                <w:color w:val="auto"/>
              </w:rPr>
            </w:pPr>
            <w:r>
              <w:rPr>
                <w:rFonts w:ascii="Arial" w:cs="Arial" w:eastAsia="Arial" w:hAnsi="Arial"/>
                <w:sz w:val="15"/>
                <w:szCs w:val="15"/>
                <w:b w:val="1"/>
                <w:bCs w:val="1"/>
                <w:color w:val="auto"/>
                <w:w w:val="83"/>
              </w:rPr>
              <w:t>interests</w:t>
            </w:r>
          </w:p>
        </w:tc>
        <w:tc>
          <w:tcPr>
            <w:tcW w:w="20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Equity</w:t>
            </w:r>
          </w:p>
        </w:tc>
      </w:tr>
      <w:tr>
        <w:trPr>
          <w:trHeight w:val="182"/>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14,110,315</w:t>
            </w:r>
          </w:p>
        </w:tc>
        <w:tc>
          <w:tcPr>
            <w:tcW w:w="4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1</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1,898,423</w:t>
            </w:r>
          </w:p>
        </w:tc>
        <w:tc>
          <w:tcPr>
            <w:tcW w:w="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56,567</w:t>
            </w: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(3,387)</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(857)</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52,324</w:t>
            </w: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Net income attributable to ACM Research, Inc.</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18,894</w:t>
            </w:r>
          </w:p>
        </w:tc>
        <w:tc>
          <w:tcPr>
            <w:tcW w:w="2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18,894</w:t>
            </w:r>
          </w:p>
        </w:tc>
      </w:tr>
      <w:tr>
        <w:trPr>
          <w:trHeight w:val="181"/>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(818)</w:t>
            </w: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5"/>
                <w:szCs w:val="15"/>
                <w:color w:val="auto"/>
              </w:rPr>
              <w:t>195,297</w:t>
            </w:r>
          </w:p>
        </w:tc>
        <w:tc>
          <w:tcPr>
            <w:tcW w:w="420" w:type="dxa"/>
            <w:vAlign w:val="bottom"/>
          </w:tcPr>
          <w:p>
            <w:pPr>
              <w:spacing w:after="0"/>
              <w:rPr>
                <w:sz w:val="15"/>
                <w:szCs w:val="15"/>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317</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317</w:t>
            </w:r>
          </w:p>
        </w:tc>
      </w:tr>
      <w:tr>
        <w:trPr>
          <w:trHeight w:val="181"/>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Cancellation of stock options</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(576)</w:t>
            </w: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3,572</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3,572</w:t>
            </w:r>
          </w:p>
        </w:tc>
        <w:tc>
          <w:tcPr>
            <w:tcW w:w="4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92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7"/>
              </w:rPr>
              <w:t>Issuance of Class A common stock in connection with public</w:t>
            </w: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3920" w:type="dxa"/>
            <w:vAlign w:val="bottom"/>
            <w:shd w:val="clear" w:color="auto" w:fill="CCEEFF"/>
          </w:tcPr>
          <w:p>
            <w:pPr>
              <w:ind w:left="80"/>
              <w:spacing w:after="0"/>
              <w:rPr>
                <w:sz w:val="20"/>
                <w:szCs w:val="20"/>
                <w:color w:val="auto"/>
              </w:rPr>
            </w:pPr>
            <w:r>
              <w:rPr>
                <w:rFonts w:ascii="Arial" w:cs="Arial" w:eastAsia="Arial" w:hAnsi="Arial"/>
                <w:sz w:val="15"/>
                <w:szCs w:val="15"/>
                <w:color w:val="auto"/>
              </w:rPr>
              <w:t>offering</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2,053,572</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26,434</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26,435</w:t>
            </w: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Share repurchase</w:t>
            </w:r>
          </w:p>
        </w:tc>
        <w:tc>
          <w:tcPr>
            <w:tcW w:w="800" w:type="dxa"/>
            <w:vAlign w:val="bottom"/>
          </w:tcPr>
          <w:p>
            <w:pPr>
              <w:jc w:val="right"/>
              <w:spacing w:after="0"/>
              <w:rPr>
                <w:sz w:val="20"/>
                <w:szCs w:val="20"/>
                <w:color w:val="auto"/>
              </w:rPr>
            </w:pPr>
            <w:r>
              <w:rPr>
                <w:rFonts w:ascii="Arial" w:cs="Arial" w:eastAsia="Arial" w:hAnsi="Arial"/>
                <w:sz w:val="15"/>
                <w:szCs w:val="15"/>
                <w:color w:val="auto"/>
              </w:rPr>
              <w:t>(214,286)</w:t>
            </w:r>
          </w:p>
        </w:tc>
        <w:tc>
          <w:tcPr>
            <w:tcW w:w="420" w:type="dxa"/>
            <w:vAlign w:val="bottom"/>
          </w:tcPr>
          <w:p>
            <w:pPr>
              <w:spacing w:after="0"/>
              <w:rPr>
                <w:sz w:val="15"/>
                <w:szCs w:val="15"/>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(2,827)</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(2,827)</w:t>
            </w:r>
          </w:p>
        </w:tc>
      </w:tr>
      <w:tr>
        <w:trPr>
          <w:trHeight w:val="181"/>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w w:val="92"/>
              </w:rPr>
              <w:t>Conversion of Class B common stock to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35,815</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(35,815)</w:t>
            </w:r>
          </w:p>
        </w:tc>
        <w:tc>
          <w:tcPr>
            <w:tcW w:w="4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r>
      <w:tr>
        <w:trPr>
          <w:trHeight w:val="184"/>
        </w:trPr>
        <w:tc>
          <w:tcPr>
            <w:tcW w:w="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Exercise of stock warrants issued to HFG</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1,438</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2019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16,182,151</w:t>
            </w:r>
          </w:p>
        </w:tc>
        <w:tc>
          <w:tcPr>
            <w:tcW w:w="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2</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1,862,608</w:t>
            </w:r>
          </w:p>
        </w:tc>
        <w:tc>
          <w:tcPr>
            <w:tcW w:w="4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83,487</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15,507</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(1,675)</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97,321</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3920" w:type="dxa"/>
            <w:vAlign w:val="bottom"/>
          </w:tcPr>
          <w:p>
            <w:pPr>
              <w:spacing w:after="0" w:line="167" w:lineRule="exact"/>
              <w:rPr>
                <w:sz w:val="20"/>
                <w:szCs w:val="20"/>
                <w:color w:val="auto"/>
              </w:rPr>
            </w:pPr>
            <w:r>
              <w:rPr>
                <w:rFonts w:ascii="Arial" w:cs="Arial" w:eastAsia="Arial" w:hAnsi="Arial"/>
                <w:sz w:val="15"/>
                <w:szCs w:val="15"/>
                <w:color w:val="auto"/>
              </w:rPr>
              <w:t>Net income</w:t>
            </w:r>
          </w:p>
        </w:tc>
        <w:tc>
          <w:tcPr>
            <w:tcW w:w="80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240" w:type="dxa"/>
            <w:vAlign w:val="bottom"/>
          </w:tcPr>
          <w:p>
            <w:pPr>
              <w:jc w:val="right"/>
              <w:ind w:right="5"/>
              <w:spacing w:after="0" w:line="167"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line="167" w:lineRule="exact"/>
              <w:rPr>
                <w:sz w:val="20"/>
                <w:szCs w:val="20"/>
                <w:color w:val="auto"/>
              </w:rPr>
            </w:pPr>
            <w:r>
              <w:rPr>
                <w:rFonts w:ascii="Arial" w:cs="Arial" w:eastAsia="Arial" w:hAnsi="Arial"/>
                <w:sz w:val="15"/>
                <w:szCs w:val="15"/>
                <w:color w:val="auto"/>
              </w:rPr>
              <w:t>-</w:t>
            </w:r>
          </w:p>
        </w:tc>
        <w:tc>
          <w:tcPr>
            <w:tcW w:w="440" w:type="dxa"/>
            <w:vAlign w:val="bottom"/>
          </w:tcPr>
          <w:p>
            <w:pPr>
              <w:spacing w:after="0"/>
              <w:rPr>
                <w:sz w:val="14"/>
                <w:szCs w:val="14"/>
                <w:color w:val="auto"/>
              </w:rPr>
            </w:pPr>
          </w:p>
        </w:tc>
        <w:tc>
          <w:tcPr>
            <w:tcW w:w="180" w:type="dxa"/>
            <w:vAlign w:val="bottom"/>
            <w:gridSpan w:val="2"/>
          </w:tcPr>
          <w:p>
            <w:pPr>
              <w:jc w:val="right"/>
              <w:ind w:right="40"/>
              <w:spacing w:after="0" w:line="167"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40" w:type="dxa"/>
            <w:vAlign w:val="bottom"/>
          </w:tcPr>
          <w:p>
            <w:pPr>
              <w:jc w:val="right"/>
              <w:ind w:right="5"/>
              <w:spacing w:after="0" w:line="167"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5"/>
              <w:spacing w:after="0" w:line="167" w:lineRule="exact"/>
              <w:rPr>
                <w:sz w:val="20"/>
                <w:szCs w:val="20"/>
                <w:color w:val="auto"/>
              </w:rPr>
            </w:pPr>
            <w:r>
              <w:rPr>
                <w:rFonts w:ascii="Arial" w:cs="Arial" w:eastAsia="Arial" w:hAnsi="Arial"/>
                <w:sz w:val="15"/>
                <w:szCs w:val="15"/>
                <w:color w:val="auto"/>
              </w:rPr>
              <w:t>18,780</w:t>
            </w:r>
          </w:p>
        </w:tc>
        <w:tc>
          <w:tcPr>
            <w:tcW w:w="220" w:type="dxa"/>
            <w:vAlign w:val="bottom"/>
          </w:tcPr>
          <w:p>
            <w:pPr>
              <w:spacing w:after="0"/>
              <w:rPr>
                <w:sz w:val="14"/>
                <w:szCs w:val="14"/>
                <w:color w:val="auto"/>
              </w:rPr>
            </w:pPr>
          </w:p>
        </w:tc>
        <w:tc>
          <w:tcPr>
            <w:tcW w:w="880" w:type="dxa"/>
            <w:vAlign w:val="bottom"/>
          </w:tcPr>
          <w:p>
            <w:pPr>
              <w:jc w:val="right"/>
              <w:ind w:right="5"/>
              <w:spacing w:after="0" w:line="167"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5"/>
                <w:szCs w:val="15"/>
                <w:color w:val="auto"/>
              </w:rPr>
              <w:t>2,254</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line="167" w:lineRule="exact"/>
              <w:rPr>
                <w:sz w:val="20"/>
                <w:szCs w:val="20"/>
                <w:color w:val="auto"/>
              </w:rPr>
            </w:pPr>
            <w:r>
              <w:rPr>
                <w:rFonts w:ascii="Arial" w:cs="Arial" w:eastAsia="Arial" w:hAnsi="Arial"/>
                <w:sz w:val="15"/>
                <w:szCs w:val="15"/>
                <w:color w:val="auto"/>
              </w:rPr>
              <w:t>21,034</w:t>
            </w:r>
          </w:p>
        </w:tc>
      </w:tr>
      <w:tr>
        <w:trPr>
          <w:trHeight w:val="181"/>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6,532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11,340</w:t>
            </w:r>
          </w:p>
        </w:tc>
        <w:tc>
          <w:tcPr>
            <w:tcW w:w="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5"/>
                <w:szCs w:val="15"/>
                <w:color w:val="auto"/>
              </w:rPr>
              <w:t>832,504</w:t>
            </w:r>
          </w:p>
        </w:tc>
        <w:tc>
          <w:tcPr>
            <w:tcW w:w="420" w:type="dxa"/>
            <w:vAlign w:val="bottom"/>
          </w:tcPr>
          <w:p>
            <w:pPr>
              <w:spacing w:after="0"/>
              <w:rPr>
                <w:sz w:val="15"/>
                <w:szCs w:val="15"/>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2,745</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2,745</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5,628</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5,628</w:t>
            </w:r>
          </w:p>
        </w:tc>
        <w:tc>
          <w:tcPr>
            <w:tcW w:w="40" w:type="dxa"/>
            <w:vAlign w:val="bottom"/>
            <w:shd w:val="clear" w:color="auto" w:fill="CCEEFF"/>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3920" w:type="dxa"/>
            <w:vAlign w:val="bottom"/>
          </w:tcPr>
          <w:p>
            <w:pPr>
              <w:spacing w:after="0" w:line="171" w:lineRule="exact"/>
              <w:rPr>
                <w:sz w:val="20"/>
                <w:szCs w:val="20"/>
                <w:color w:val="auto"/>
              </w:rPr>
            </w:pPr>
            <w:r>
              <w:rPr>
                <w:rFonts w:ascii="Arial" w:cs="Arial" w:eastAsia="Arial" w:hAnsi="Arial"/>
                <w:sz w:val="15"/>
                <w:szCs w:val="15"/>
                <w:color w:val="auto"/>
                <w:w w:val="99"/>
              </w:rPr>
              <w:t>Conversion of class B common shares to Class A common</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3920" w:type="dxa"/>
            <w:vAlign w:val="bottom"/>
          </w:tcPr>
          <w:p>
            <w:pPr>
              <w:ind w:left="80"/>
              <w:spacing w:after="0"/>
              <w:rPr>
                <w:sz w:val="20"/>
                <w:szCs w:val="20"/>
                <w:color w:val="auto"/>
              </w:rPr>
            </w:pPr>
            <w:r>
              <w:rPr>
                <w:rFonts w:ascii="Arial" w:cs="Arial" w:eastAsia="Arial" w:hAnsi="Arial"/>
                <w:sz w:val="15"/>
                <w:szCs w:val="15"/>
                <w:color w:val="auto"/>
              </w:rPr>
              <w:t>shares</w:t>
            </w:r>
          </w:p>
        </w:tc>
        <w:tc>
          <w:tcPr>
            <w:tcW w:w="800" w:type="dxa"/>
            <w:vAlign w:val="bottom"/>
          </w:tcPr>
          <w:p>
            <w:pPr>
              <w:jc w:val="right"/>
              <w:spacing w:after="0"/>
              <w:rPr>
                <w:sz w:val="20"/>
                <w:szCs w:val="20"/>
                <w:color w:val="auto"/>
              </w:rPr>
            </w:pPr>
            <w:r>
              <w:rPr>
                <w:rFonts w:ascii="Arial" w:cs="Arial" w:eastAsia="Arial" w:hAnsi="Arial"/>
                <w:sz w:val="15"/>
                <w:szCs w:val="15"/>
                <w:color w:val="auto"/>
              </w:rPr>
              <w:t>60,002</w:t>
            </w:r>
          </w:p>
        </w:tc>
        <w:tc>
          <w:tcPr>
            <w:tcW w:w="420" w:type="dxa"/>
            <w:vAlign w:val="bottom"/>
          </w:tcPr>
          <w:p>
            <w:pPr>
              <w:spacing w:after="0"/>
              <w:rPr>
                <w:sz w:val="16"/>
                <w:szCs w:val="16"/>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(60,002)</w:t>
            </w:r>
          </w:p>
        </w:tc>
        <w:tc>
          <w:tcPr>
            <w:tcW w:w="44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Share cancellation (note 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(242,681)</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(9,715)</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(9,715)</w:t>
            </w: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Issuance of warrants (note 16)</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19,859</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19,859</w:t>
            </w:r>
          </w:p>
        </w:tc>
      </w:tr>
      <w:tr>
        <w:trPr>
          <w:trHeight w:val="181"/>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Exercise of stock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64,717</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Reclassification of redeemable non-controlling interest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59,958</w:t>
            </w: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59,958</w:t>
            </w:r>
          </w:p>
        </w:tc>
      </w:tr>
      <w:tr>
        <w:trPr>
          <w:trHeight w:val="221"/>
        </w:trPr>
        <w:tc>
          <w:tcPr>
            <w:tcW w:w="20" w:type="dxa"/>
            <w:vAlign w:val="bottom"/>
            <w:tcBorders>
              <w:top w:val="single" w:sz="8" w:color="auto"/>
            </w:tcBorders>
          </w:tcPr>
          <w:p>
            <w:pPr>
              <w:spacing w:after="0"/>
              <w:rPr>
                <w:sz w:val="19"/>
                <w:szCs w:val="19"/>
                <w:color w:val="auto"/>
              </w:rPr>
            </w:pPr>
          </w:p>
        </w:tc>
        <w:tc>
          <w:tcPr>
            <w:tcW w:w="39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16,896,693</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2</w:t>
            </w:r>
          </w:p>
        </w:tc>
        <w:tc>
          <w:tcPr>
            <w:tcW w:w="7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1,802,606</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9"/>
              </w:rPr>
              <w:t>102,004</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34,287</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4,857</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67,020</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208,170</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3920" w:type="dxa"/>
            <w:vAlign w:val="bottom"/>
          </w:tcPr>
          <w:p>
            <w:pPr>
              <w:spacing w:after="0" w:line="167" w:lineRule="exact"/>
              <w:rPr>
                <w:sz w:val="20"/>
                <w:szCs w:val="20"/>
                <w:color w:val="auto"/>
              </w:rPr>
            </w:pPr>
            <w:r>
              <w:rPr>
                <w:rFonts w:ascii="Arial" w:cs="Arial" w:eastAsia="Arial" w:hAnsi="Arial"/>
                <w:sz w:val="15"/>
                <w:szCs w:val="15"/>
                <w:color w:val="auto"/>
              </w:rPr>
              <w:t>Net income</w:t>
            </w:r>
          </w:p>
        </w:tc>
        <w:tc>
          <w:tcPr>
            <w:tcW w:w="80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240" w:type="dxa"/>
            <w:vAlign w:val="bottom"/>
          </w:tcPr>
          <w:p>
            <w:pPr>
              <w:jc w:val="right"/>
              <w:ind w:right="5"/>
              <w:spacing w:after="0" w:line="167"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line="167" w:lineRule="exact"/>
              <w:rPr>
                <w:sz w:val="20"/>
                <w:szCs w:val="20"/>
                <w:color w:val="auto"/>
              </w:rPr>
            </w:pPr>
            <w:r>
              <w:rPr>
                <w:rFonts w:ascii="Arial" w:cs="Arial" w:eastAsia="Arial" w:hAnsi="Arial"/>
                <w:sz w:val="15"/>
                <w:szCs w:val="15"/>
                <w:color w:val="auto"/>
              </w:rPr>
              <w:t>-</w:t>
            </w:r>
          </w:p>
        </w:tc>
        <w:tc>
          <w:tcPr>
            <w:tcW w:w="440" w:type="dxa"/>
            <w:vAlign w:val="bottom"/>
          </w:tcPr>
          <w:p>
            <w:pPr>
              <w:spacing w:after="0"/>
              <w:rPr>
                <w:sz w:val="14"/>
                <w:szCs w:val="14"/>
                <w:color w:val="auto"/>
              </w:rPr>
            </w:pPr>
          </w:p>
        </w:tc>
        <w:tc>
          <w:tcPr>
            <w:tcW w:w="180" w:type="dxa"/>
            <w:vAlign w:val="bottom"/>
            <w:gridSpan w:val="2"/>
          </w:tcPr>
          <w:p>
            <w:pPr>
              <w:jc w:val="right"/>
              <w:ind w:right="40"/>
              <w:spacing w:after="0" w:line="167"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40" w:type="dxa"/>
            <w:vAlign w:val="bottom"/>
          </w:tcPr>
          <w:p>
            <w:pPr>
              <w:jc w:val="right"/>
              <w:ind w:right="5"/>
              <w:spacing w:after="0" w:line="167"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5"/>
              <w:spacing w:after="0" w:line="167" w:lineRule="exact"/>
              <w:rPr>
                <w:sz w:val="20"/>
                <w:szCs w:val="20"/>
                <w:color w:val="auto"/>
              </w:rPr>
            </w:pPr>
            <w:r>
              <w:rPr>
                <w:rFonts w:ascii="Arial" w:cs="Arial" w:eastAsia="Arial" w:hAnsi="Arial"/>
                <w:sz w:val="15"/>
                <w:szCs w:val="15"/>
                <w:color w:val="auto"/>
              </w:rPr>
              <w:t>37,757</w:t>
            </w:r>
          </w:p>
        </w:tc>
        <w:tc>
          <w:tcPr>
            <w:tcW w:w="220" w:type="dxa"/>
            <w:vAlign w:val="bottom"/>
          </w:tcPr>
          <w:p>
            <w:pPr>
              <w:spacing w:after="0"/>
              <w:rPr>
                <w:sz w:val="14"/>
                <w:szCs w:val="14"/>
                <w:color w:val="auto"/>
              </w:rPr>
            </w:pPr>
          </w:p>
        </w:tc>
        <w:tc>
          <w:tcPr>
            <w:tcW w:w="880" w:type="dxa"/>
            <w:vAlign w:val="bottom"/>
          </w:tcPr>
          <w:p>
            <w:pPr>
              <w:jc w:val="right"/>
              <w:ind w:right="5"/>
              <w:spacing w:after="0" w:line="167"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5"/>
                <w:szCs w:val="15"/>
                <w:color w:val="auto"/>
              </w:rPr>
              <w:t>5,164</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line="167" w:lineRule="exact"/>
              <w:rPr>
                <w:sz w:val="20"/>
                <w:szCs w:val="20"/>
                <w:color w:val="auto"/>
              </w:rPr>
            </w:pPr>
            <w:r>
              <w:rPr>
                <w:rFonts w:ascii="Arial" w:cs="Arial" w:eastAsia="Arial" w:hAnsi="Arial"/>
                <w:sz w:val="15"/>
                <w:szCs w:val="15"/>
                <w:color w:val="auto"/>
              </w:rPr>
              <w:t>42,921</w:t>
            </w:r>
          </w:p>
        </w:tc>
      </w:tr>
      <w:tr>
        <w:trPr>
          <w:trHeight w:val="181"/>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4,252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4,695</w:t>
            </w:r>
          </w:p>
        </w:tc>
        <w:tc>
          <w:tcPr>
            <w:tcW w:w="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5"/>
                <w:szCs w:val="15"/>
                <w:color w:val="auto"/>
              </w:rPr>
              <w:t>623,601</w:t>
            </w:r>
          </w:p>
        </w:tc>
        <w:tc>
          <w:tcPr>
            <w:tcW w:w="420" w:type="dxa"/>
            <w:vAlign w:val="bottom"/>
          </w:tcPr>
          <w:p>
            <w:pPr>
              <w:spacing w:after="0"/>
              <w:rPr>
                <w:sz w:val="15"/>
                <w:szCs w:val="15"/>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3,430</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3,430</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5,117</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5,117</w:t>
            </w:r>
          </w:p>
        </w:tc>
      </w:tr>
      <w:tr>
        <w:trPr>
          <w:trHeight w:val="181"/>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Exercise of warrants</w:t>
            </w:r>
          </w:p>
        </w:tc>
        <w:tc>
          <w:tcPr>
            <w:tcW w:w="800" w:type="dxa"/>
            <w:vAlign w:val="bottom"/>
          </w:tcPr>
          <w:p>
            <w:pPr>
              <w:jc w:val="right"/>
              <w:spacing w:after="0"/>
              <w:rPr>
                <w:sz w:val="20"/>
                <w:szCs w:val="20"/>
                <w:color w:val="auto"/>
              </w:rPr>
            </w:pPr>
            <w:r>
              <w:rPr>
                <w:rFonts w:ascii="Arial" w:cs="Arial" w:eastAsia="Arial" w:hAnsi="Arial"/>
                <w:sz w:val="15"/>
                <w:szCs w:val="15"/>
                <w:color w:val="auto"/>
              </w:rPr>
              <w:t>242,681</w:t>
            </w:r>
          </w:p>
        </w:tc>
        <w:tc>
          <w:tcPr>
            <w:tcW w:w="420" w:type="dxa"/>
            <w:vAlign w:val="bottom"/>
          </w:tcPr>
          <w:p>
            <w:pPr>
              <w:spacing w:after="0"/>
              <w:rPr>
                <w:sz w:val="15"/>
                <w:szCs w:val="15"/>
                <w:color w:val="auto"/>
              </w:rPr>
            </w:pPr>
          </w:p>
        </w:tc>
        <w:tc>
          <w:tcPr>
            <w:tcW w:w="2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1,820</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1,820</w:t>
            </w: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w w:val="92"/>
              </w:rPr>
              <w:t>Conversion of Class B common stock to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106,668</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(106,668)</w:t>
            </w:r>
          </w:p>
        </w:tc>
        <w:tc>
          <w:tcPr>
            <w:tcW w:w="4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r>
      <w:tr>
        <w:trPr>
          <w:trHeight w:val="184"/>
        </w:trPr>
        <w:tc>
          <w:tcPr>
            <w:tcW w:w="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9"/>
              </w:rPr>
              <w:t>Proceeds from a subsidiary equity issuance, net of issuance costs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9"/>
              </w:rPr>
              <w:t>482,678</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62,834</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545,512</w:t>
            </w:r>
          </w:p>
        </w:tc>
        <w:tc>
          <w:tcPr>
            <w:tcW w:w="4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17,869,643</w:t>
            </w:r>
          </w:p>
        </w:tc>
        <w:tc>
          <w:tcPr>
            <w:tcW w:w="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1,695,938</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9"/>
              </w:rPr>
              <w:t>595,049</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72,044</w:t>
            </w: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9,109</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135,461</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811,665</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sectPr>
      </w:pPr>
    </w:p>
    <w:bookmarkStart w:id="86" w:name="page87"/>
    <w:bookmarkEnd w:id="8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gridSpan w:val="2"/>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42,921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21,677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19,458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Adjustments to reconcile net income from operations to net cash used in operating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Depreciation and amortization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1,055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788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80"/>
              <w:spacing w:after="0"/>
              <w:rPr>
                <w:sz w:val="20"/>
                <w:szCs w:val="20"/>
                <w:color w:val="auto"/>
              </w:rPr>
            </w:pPr>
            <w:r>
              <w:rPr>
                <w:rFonts w:ascii="Arial" w:cs="Arial" w:eastAsia="Arial" w:hAnsi="Arial"/>
                <w:sz w:val="15"/>
                <w:szCs w:val="15"/>
                <w:color w:val="auto"/>
              </w:rPr>
              <w:t>Loss on disposals of property, plant and equipment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25</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Equity income in net income of affiliates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(4,637)</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80"/>
              <w:spacing w:after="0"/>
              <w:rPr>
                <w:sz w:val="20"/>
                <w:szCs w:val="20"/>
                <w:color w:val="auto"/>
              </w:rPr>
            </w:pPr>
            <w:r>
              <w:rPr>
                <w:rFonts w:ascii="Arial" w:cs="Arial" w:eastAsia="Arial" w:hAnsi="Arial"/>
                <w:sz w:val="15"/>
                <w:szCs w:val="15"/>
                <w:color w:val="auto"/>
              </w:rPr>
              <w:t>Unrealized gain on trading securities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(607)</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(12,574)</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Deferred income taxes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(1,840)</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(4,085)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(3,719)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80"/>
              <w:spacing w:after="0"/>
              <w:rPr>
                <w:sz w:val="20"/>
                <w:szCs w:val="20"/>
                <w:color w:val="auto"/>
              </w:rPr>
            </w:pPr>
            <w:r>
              <w:rPr>
                <w:rFonts w:ascii="Arial" w:cs="Arial" w:eastAsia="Arial" w:hAnsi="Arial"/>
                <w:sz w:val="15"/>
                <w:szCs w:val="15"/>
                <w:color w:val="auto"/>
              </w:rPr>
              <w:t>Stock-based compensation</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5,117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5,628</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3,572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Change in fair value of financial liability</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11,964</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80"/>
              <w:spacing w:after="0"/>
              <w:rPr>
                <w:sz w:val="20"/>
                <w:szCs w:val="20"/>
                <w:color w:val="auto"/>
              </w:rPr>
            </w:pPr>
            <w:r>
              <w:rPr>
                <w:rFonts w:ascii="Arial" w:cs="Arial" w:eastAsia="Arial" w:hAnsi="Arial"/>
                <w:sz w:val="15"/>
                <w:szCs w:val="15"/>
                <w:color w:val="auto"/>
              </w:rPr>
              <w:t>Net changes in operating assets and liabilities: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Accounts receivable</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(47,624)</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(22,085)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Arial" w:cs="Arial" w:eastAsia="Arial" w:hAnsi="Arial"/>
                <w:sz w:val="15"/>
                <w:szCs w:val="15"/>
                <w:color w:val="auto"/>
              </w:rPr>
              <w:t>Income tax recoverable</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(1,082)</w:t>
            </w: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receivables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(8,420)</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(6,882)</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Arial" w:cs="Arial" w:eastAsia="Arial" w:hAnsi="Arial"/>
                <w:sz w:val="15"/>
                <w:szCs w:val="15"/>
                <w:color w:val="auto"/>
              </w:rPr>
              <w:t>Inventory</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(127,656)</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(40,768)</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(6,658)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Prepaid expenses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(10,606)</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(3,518)</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Arial" w:cs="Arial" w:eastAsia="Arial" w:hAnsi="Arial"/>
                <w:sz w:val="15"/>
                <w:szCs w:val="15"/>
                <w:color w:val="auto"/>
              </w:rPr>
              <w:t>Other long-term assets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(4,521)</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(99)</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Accounts payable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65,211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21,275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Arial" w:cs="Arial" w:eastAsia="Arial" w:hAnsi="Arial"/>
                <w:sz w:val="15"/>
                <w:szCs w:val="15"/>
                <w:color w:val="auto"/>
              </w:rPr>
              <w:t>Advances from customers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34,831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8,578</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tax payable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(3,137)</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1,952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Arial" w:cs="Arial" w:eastAsia="Arial" w:hAnsi="Arial"/>
                <w:sz w:val="15"/>
                <w:szCs w:val="15"/>
                <w:color w:val="auto"/>
              </w:rPr>
              <w:t>FIN-48 payable</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2,200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(83)</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payables and accrued expenses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5,236</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2,865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Arial" w:cs="Arial" w:eastAsia="Arial" w:hAnsi="Arial"/>
                <w:sz w:val="15"/>
                <w:szCs w:val="15"/>
                <w:color w:val="auto"/>
              </w:rPr>
              <w:t>Deferred revenue</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3,180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1,343</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long-term liabilities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3,558</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Pr>
          <w:p>
            <w:pPr>
              <w:ind w:left="380"/>
              <w:spacing w:after="0"/>
              <w:rPr>
                <w:sz w:val="20"/>
                <w:szCs w:val="20"/>
                <w:color w:val="auto"/>
              </w:rPr>
            </w:pPr>
            <w:r>
              <w:rPr>
                <w:rFonts w:ascii="Arial" w:cs="Arial" w:eastAsia="Arial" w:hAnsi="Arial"/>
                <w:sz w:val="15"/>
                <w:szCs w:val="15"/>
                <w:b w:val="1"/>
                <w:bCs w:val="1"/>
                <w:color w:val="auto"/>
              </w:rPr>
              <w:t>Net cash flow (used in) provided by operating activities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(40,093)</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(13,547)</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9,403</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Purchase of property and equipment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(9,153)</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(5,211)</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Purchase of intangible assets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(559)</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(324)</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Purchase of land-use-right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(9,744)</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Purchase of trading securities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(15,020)</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Prepayment for property</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(40,206)</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Investments in unconsolidated affiliates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(1,568)</w:t>
            </w: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(4,406)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Dividends from unconsolidated affiliates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555</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Pr>
          <w:p>
            <w:pPr>
              <w:ind w:left="380"/>
              <w:spacing w:after="0"/>
              <w:rPr>
                <w:sz w:val="20"/>
                <w:szCs w:val="20"/>
                <w:color w:val="auto"/>
              </w:rPr>
            </w:pPr>
            <w:r>
              <w:rPr>
                <w:rFonts w:ascii="Arial" w:cs="Arial" w:eastAsia="Arial" w:hAnsi="Arial"/>
                <w:sz w:val="15"/>
                <w:szCs w:val="15"/>
                <w:b w:val="1"/>
                <w:bCs w:val="1"/>
                <w:color w:val="auto"/>
              </w:rPr>
              <w:t>Net cash used in investing activities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(11,280)</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(69,950)</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(5,531)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Proceeds from short-term borrowings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22,884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32,573</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18,423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Repayments of short-term borrowings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(39,809)</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(20,234)</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(14,005)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Proceeds from long-term borrowings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19,699</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Repayments of long-term borrowings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(2,127)</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(129)</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Repayments of notes payable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(1,820)</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Proceeds from stock option exercise to common stock</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2,745</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w w:val="92"/>
              </w:rPr>
              <w:t>Proceeds from issuance of Class A common stock in connection with public offering, net of direct issuance expenses of</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$2,287</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26,434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Payment for repurchase of Class A common stock</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(2,827)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Payment for cancellation of stock option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Proceeds from issuance of common stock to redeemable Non-controlling interest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59,679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Proceeds from a subsidiary equity issuance, net of issuance costs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545,512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Proceeds from warrant exercise to common stock</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1,820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538,766</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32,834</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87,445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Effect of exchange rate changes on cash, cash equivalents and restricted cash</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4,570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300" w:type="dxa"/>
            <w:vAlign w:val="bottom"/>
          </w:tcPr>
          <w:p>
            <w:pPr>
              <w:spacing w:after="0" w:line="167" w:lineRule="exact"/>
              <w:rPr>
                <w:sz w:val="20"/>
                <w:szCs w:val="20"/>
                <w:color w:val="auto"/>
              </w:rPr>
            </w:pPr>
            <w:r>
              <w:rPr>
                <w:rFonts w:ascii="Arial" w:cs="Arial" w:eastAsia="Arial" w:hAnsi="Arial"/>
                <w:sz w:val="15"/>
                <w:szCs w:val="15"/>
                <w:color w:val="auto"/>
              </w:rPr>
              <w:t>Net increase (decrease) in cash, cash equivalents and restricted cash</w:t>
            </w:r>
          </w:p>
        </w:tc>
        <w:tc>
          <w:tcPr>
            <w:tcW w:w="240" w:type="dxa"/>
            <w:vAlign w:val="bottom"/>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491,301</w:t>
            </w:r>
          </w:p>
        </w:tc>
        <w:tc>
          <w:tcPr>
            <w:tcW w:w="220" w:type="dxa"/>
            <w:vAlign w:val="bottom"/>
          </w:tcPr>
          <w:p>
            <w:pPr>
              <w:spacing w:after="0"/>
              <w:rPr>
                <w:sz w:val="14"/>
                <w:szCs w:val="14"/>
                <w:color w:val="auto"/>
              </w:rPr>
            </w:pPr>
          </w:p>
        </w:tc>
        <w:tc>
          <w:tcPr>
            <w:tcW w:w="240" w:type="dxa"/>
            <w:vAlign w:val="bottom"/>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line="167" w:lineRule="exact"/>
              <w:rPr>
                <w:sz w:val="20"/>
                <w:szCs w:val="20"/>
                <w:color w:val="auto"/>
              </w:rPr>
            </w:pPr>
            <w:r>
              <w:rPr>
                <w:rFonts w:ascii="Arial" w:cs="Arial" w:eastAsia="Arial" w:hAnsi="Arial"/>
                <w:sz w:val="15"/>
                <w:szCs w:val="15"/>
                <w:color w:val="auto"/>
              </w:rPr>
              <w:t>(46,093)</w:t>
            </w:r>
          </w:p>
        </w:tc>
        <w:tc>
          <w:tcPr>
            <w:tcW w:w="220" w:type="dxa"/>
            <w:vAlign w:val="bottom"/>
          </w:tcPr>
          <w:p>
            <w:pPr>
              <w:jc w:val="right"/>
              <w:ind w:right="65"/>
              <w:spacing w:after="0" w:line="167"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90,735</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71,766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117,859</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27,124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563,067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71,766</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117,859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Arial" w:cs="Arial" w:eastAsia="Arial" w:hAnsi="Arial"/>
                <w:sz w:val="15"/>
                <w:szCs w:val="15"/>
                <w:color w:val="auto"/>
              </w:rPr>
              <w:t>Interest paid, net of capitalized interest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765</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982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ind w:left="240"/>
              <w:spacing w:after="0" w:line="167" w:lineRule="exact"/>
              <w:rPr>
                <w:sz w:val="20"/>
                <w:szCs w:val="20"/>
                <w:color w:val="auto"/>
              </w:rPr>
            </w:pPr>
            <w:r>
              <w:rPr>
                <w:rFonts w:ascii="Arial" w:cs="Arial" w:eastAsia="Arial" w:hAnsi="Arial"/>
                <w:sz w:val="15"/>
                <w:szCs w:val="15"/>
                <w:color w:val="auto"/>
              </w:rPr>
              <w:t>Cash paid for income taxes</w:t>
            </w:r>
          </w:p>
        </w:tc>
        <w:tc>
          <w:tcPr>
            <w:tcW w:w="240" w:type="dxa"/>
            <w:vAlign w:val="bottom"/>
            <w:tcBorders>
              <w:bottom w:val="single" w:sz="8" w:color="auto"/>
            </w:tcBorders>
            <w:shd w:val="clear" w:color="auto" w:fill="CCEEFF"/>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1,132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4,971</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1,156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89"/>
              </w:rPr>
              <w:t>Reconciliation of cash, cash equivalents and restricted cash in condensed consolidated statements of cash flows: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563,067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71,766</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58,261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Restricted cash</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59,598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Arial" w:cs="Arial" w:eastAsia="Arial" w:hAnsi="Arial"/>
                <w:sz w:val="15"/>
                <w:szCs w:val="15"/>
                <w:color w:val="auto"/>
              </w:rPr>
              <w:t>Cash, cash equivalents and restricted cash</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563,067</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71,766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117,859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7300" w:type="dxa"/>
            <w:vAlign w:val="bottom"/>
            <w:shd w:val="clear" w:color="auto" w:fill="CCEEFF"/>
          </w:tcPr>
          <w:p>
            <w:pPr>
              <w:spacing w:after="0" w:line="167" w:lineRule="exact"/>
              <w:rPr>
                <w:sz w:val="20"/>
                <w:szCs w:val="20"/>
                <w:color w:val="auto"/>
              </w:rPr>
            </w:pPr>
            <w:r>
              <w:rPr>
                <w:rFonts w:ascii="Arial" w:cs="Arial" w:eastAsia="Arial" w:hAnsi="Arial"/>
                <w:sz w:val="15"/>
                <w:szCs w:val="15"/>
                <w:b w:val="1"/>
                <w:bCs w:val="1"/>
                <w:color w:val="auto"/>
              </w:rPr>
              <w:t>Non-cash financing activities: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Warrant conversion to common 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399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Share cancellation, (note 16)</w:t>
            </w:r>
          </w:p>
        </w:tc>
        <w:tc>
          <w:tcPr>
            <w:tcW w:w="240" w:type="dxa"/>
            <w:vAlign w:val="bottom"/>
            <w:tcBorders>
              <w:bottom w:val="single" w:sz="8" w:color="auto"/>
            </w:tcBorders>
            <w:shd w:val="clear" w:color="auto" w:fill="CCEEFF"/>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9,715</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300" w:type="dxa"/>
            <w:vAlign w:val="bottom"/>
          </w:tcPr>
          <w:p>
            <w:pPr>
              <w:spacing w:after="0" w:line="167" w:lineRule="exact"/>
              <w:rPr>
                <w:sz w:val="20"/>
                <w:szCs w:val="20"/>
                <w:color w:val="auto"/>
              </w:rPr>
            </w:pPr>
            <w:r>
              <w:rPr>
                <w:rFonts w:ascii="Arial" w:cs="Arial" w:eastAsia="Arial" w:hAnsi="Arial"/>
                <w:sz w:val="15"/>
                <w:szCs w:val="15"/>
                <w:color w:val="auto"/>
              </w:rPr>
              <w:t>Cashless exercise of stock options</w:t>
            </w:r>
          </w:p>
        </w:tc>
        <w:tc>
          <w:tcPr>
            <w:tcW w:w="240" w:type="dxa"/>
            <w:vAlign w:val="bottom"/>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137</w:t>
            </w:r>
          </w:p>
        </w:tc>
        <w:tc>
          <w:tcPr>
            <w:tcW w:w="220" w:type="dxa"/>
            <w:vAlign w:val="bottom"/>
          </w:tcPr>
          <w:p>
            <w:pPr>
              <w:spacing w:after="0"/>
              <w:rPr>
                <w:sz w:val="14"/>
                <w:szCs w:val="14"/>
                <w:color w:val="auto"/>
              </w:rPr>
            </w:pPr>
          </w:p>
        </w:tc>
        <w:tc>
          <w:tcPr>
            <w:tcW w:w="240" w:type="dxa"/>
            <w:vAlign w:val="bottom"/>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w:t>
            </w:r>
          </w:p>
        </w:tc>
        <w:tc>
          <w:tcPr>
            <w:tcW w:w="220" w:type="dxa"/>
            <w:vAlign w:val="bottom"/>
          </w:tcPr>
          <w:p>
            <w:pPr>
              <w:jc w:val="right"/>
              <w:ind w:right="65"/>
              <w:spacing w:after="0" w:line="167"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Issuance of warrant for settlement of financial liability and cancellation of note receivable</w:t>
            </w:r>
          </w:p>
        </w:tc>
        <w:tc>
          <w:tcPr>
            <w:tcW w:w="240" w:type="dxa"/>
            <w:vAlign w:val="bottom"/>
            <w:tcBorders>
              <w:bottom w:val="single" w:sz="8" w:color="auto"/>
            </w:tcBorders>
            <w:shd w:val="clear" w:color="auto" w:fill="CCEEFF"/>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19,859</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900" w:h="16838" w:orient="portrait"/>
          <w:cols w:equalWidth="0" w:num="1">
            <w:col w:w="11260"/>
          </w:cols>
          <w:pgMar w:left="320" w:top="124" w:right="319" w:bottom="831"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715454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831" w:gutter="0" w:footer="0" w:header="0"/>
          <w:type w:val="continuous"/>
        </w:sectPr>
      </w:pPr>
    </w:p>
    <w:bookmarkStart w:id="87" w:name="page88"/>
    <w:bookmarkEnd w:id="8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DESCRIPTION OF BUSINESS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ACM was incorporated in California in 1998, and it initially focused on developing tools for manufacturing process steps involving the integration of ultra low-K materials and copper.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The Company’s early efforts focused on stress-free copper-polishing technology, and it sold tools based on that technology in the early 2000s.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In 2011 ACM Shanghai formed a wholly owned subsidiary in the PRC, ACM Research (Wuxi), Inc. (“ACM Wuxi”), to manage sales and service operations.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8" w:name="page89"/>
    <w:bookmarkEnd w:id="8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consolidated financial statements have been adjusted retrospectively to reflect the reverse stock split.</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On November 2, 2017, the Registration Statement on Form S-1 (File No. 333- 220451) for ACM’s initial public offering of Class A common stock (the “IPO”) was declared effective by the U.S. Securities and Exchange Commission. Shares of Class A common stock began trading on the Nasdaq Global Market on November 3, 2017, and the closing for the IPO was held on November 7, 2017.</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March 2019 ACM Shanghai formed a wholly owned subsidiary in the PRC, Shengwei Research (Shanghai), Inc., to manage activities related to addition of future long-term production capacity.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In June 2019 Cleanchip formed a wholly owned subsidiary in California, ACM Research (CA), Inc. (“ACM California”), to provide procurement services on behalf of ACM Shanghai.</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June 2019 ACM announced plans to complete over the next three years a listing (the “STAR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To meet a STAR Listing requirement that it have multiple independent stockholders in the PRC, ACM Shanghai completed private placements of its shares in June and November 2019, following which, as of September 30, 2020, the private placement investors held a total of 8.3% of the outstanding shares of ACM Shanghai and ACM Research held the remaining 91.7%. As part of the STAR Listing process, in June 2020 the ownership interests held by the private investors were reclassified from redeemable non-controlling interests to non-controlling interests as the redemption feature was terminated (note 19).</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In August 2021 ACM formed a wholly owned subsidiary Singapore, ACM research (Singapore) PTE, Ltd. to perform sales, marketing, and other business development activities.</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November 2021, ACM’s operating subsidiary ACM Shanghai, completed its STAR IPO and its shares began trading on the STAR Market. In the STAR IPO, ACM Shanghai issued 43,355,753 shares, representing 10% of the total 433,557,100 shares outstanding after the issuance. The shares were issued at a public offering price of RMB 85.00 per share, and the net proceeds of the STAR IPO, after issuance costs, totaled $545,512. Upon completion of the STAR IPO, ACM owned 82.5% of the outstanding ACM Shanghai shares.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9" w:name="page90"/>
    <w:bookmarkEnd w:id="8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gridSpan w:val="3"/>
          </w:tcPr>
          <w:p>
            <w:pPr>
              <w:spacing w:after="0"/>
              <w:rPr>
                <w:sz w:val="20"/>
                <w:szCs w:val="20"/>
                <w:color w:val="auto"/>
              </w:rPr>
            </w:pPr>
            <w:r>
              <w:rPr>
                <w:rFonts w:ascii="Arial" w:cs="Arial" w:eastAsia="Arial" w:hAnsi="Arial"/>
                <w:sz w:val="15"/>
                <w:szCs w:val="15"/>
                <w:color w:val="auto"/>
              </w:rPr>
              <w:t>The Company has direct or indirect interests in the following subsidiaries:</w:t>
            </w:r>
          </w:p>
        </w:tc>
        <w:tc>
          <w:tcPr>
            <w:tcW w:w="2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640" w:type="dxa"/>
            <w:vAlign w:val="bottom"/>
            <w:gridSpan w:val="3"/>
          </w:tcPr>
          <w:p>
            <w:pPr>
              <w:ind w:left="940"/>
              <w:spacing w:after="0"/>
              <w:rPr>
                <w:sz w:val="20"/>
                <w:szCs w:val="20"/>
                <w:color w:val="auto"/>
              </w:rPr>
            </w:pPr>
            <w:r>
              <w:rPr>
                <w:rFonts w:ascii="Arial" w:cs="Arial" w:eastAsia="Arial" w:hAnsi="Arial"/>
                <w:sz w:val="15"/>
                <w:szCs w:val="15"/>
                <w:b w:val="1"/>
                <w:bCs w:val="1"/>
                <w:color w:val="auto"/>
              </w:rPr>
              <w:t>Effective interest held as at</w:t>
            </w: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300" w:type="dxa"/>
            <w:vAlign w:val="bottom"/>
          </w:tcPr>
          <w:p>
            <w:pPr>
              <w:ind w:left="1060"/>
              <w:spacing w:after="0"/>
              <w:rPr>
                <w:sz w:val="20"/>
                <w:szCs w:val="20"/>
                <w:color w:val="auto"/>
              </w:rPr>
            </w:pPr>
            <w:r>
              <w:rPr>
                <w:rFonts w:ascii="Arial" w:cs="Arial" w:eastAsia="Arial" w:hAnsi="Arial"/>
                <w:sz w:val="15"/>
                <w:szCs w:val="15"/>
                <w:b w:val="1"/>
                <w:bCs w:val="1"/>
                <w:color w:val="auto"/>
              </w:rPr>
              <w:t>Place and date of</w:t>
            </w:r>
          </w:p>
        </w:tc>
        <w:tc>
          <w:tcPr>
            <w:tcW w:w="242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December 31,</w:t>
            </w: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3340" w:type="dxa"/>
            <w:vAlign w:val="bottom"/>
            <w:gridSpan w:val="2"/>
          </w:tcPr>
          <w:p>
            <w:pPr>
              <w:spacing w:after="0"/>
              <w:rPr>
                <w:sz w:val="20"/>
                <w:szCs w:val="20"/>
                <w:color w:val="auto"/>
              </w:rPr>
            </w:pPr>
            <w:r>
              <w:rPr>
                <w:rFonts w:ascii="Arial" w:cs="Arial" w:eastAsia="Arial" w:hAnsi="Arial"/>
                <w:sz w:val="15"/>
                <w:szCs w:val="15"/>
                <w:b w:val="1"/>
                <w:bCs w:val="1"/>
                <w:color w:val="auto"/>
              </w:rPr>
              <w:t>Name of subsidiaries</w:t>
            </w:r>
          </w:p>
        </w:tc>
        <w:tc>
          <w:tcPr>
            <w:tcW w:w="4300" w:type="dxa"/>
            <w:vAlign w:val="bottom"/>
          </w:tcPr>
          <w:p>
            <w:pPr>
              <w:ind w:left="1060"/>
              <w:spacing w:after="0"/>
              <w:rPr>
                <w:sz w:val="20"/>
                <w:szCs w:val="20"/>
                <w:color w:val="auto"/>
              </w:rPr>
            </w:pPr>
            <w:r>
              <w:rPr>
                <w:rFonts w:ascii="Arial" w:cs="Arial" w:eastAsia="Arial" w:hAnsi="Arial"/>
                <w:sz w:val="15"/>
                <w:szCs w:val="15"/>
                <w:b w:val="1"/>
                <w:bCs w:val="1"/>
                <w:color w:val="auto"/>
              </w:rPr>
              <w:t>incorporation</w:t>
            </w:r>
          </w:p>
        </w:tc>
        <w:tc>
          <w:tcPr>
            <w:tcW w:w="2420" w:type="dxa"/>
            <w:vAlign w:val="bottom"/>
          </w:tcPr>
          <w:p>
            <w:pPr>
              <w:jc w:val="right"/>
              <w:ind w:right="1285"/>
              <w:spacing w:after="0"/>
              <w:rPr>
                <w:sz w:val="20"/>
                <w:szCs w:val="20"/>
                <w:color w:val="auto"/>
              </w:rPr>
            </w:pPr>
            <w:r>
              <w:rPr>
                <w:rFonts w:ascii="Arial" w:cs="Arial" w:eastAsia="Arial" w:hAnsi="Arial"/>
                <w:sz w:val="15"/>
                <w:szCs w:val="15"/>
                <w:b w:val="1"/>
                <w:bCs w:val="1"/>
                <w:color w:val="auto"/>
              </w:rPr>
              <w:t>2021</w:t>
            </w:r>
          </w:p>
        </w:tc>
        <w:tc>
          <w:tcPr>
            <w:tcW w:w="1200" w:type="dxa"/>
            <w:vAlign w:val="bottom"/>
          </w:tcPr>
          <w:p>
            <w:pPr>
              <w:jc w:val="right"/>
              <w:ind w:right="665"/>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ACM Research (Shanghai), Inc.</w:t>
            </w:r>
          </w:p>
        </w:tc>
        <w:tc>
          <w:tcPr>
            <w:tcW w:w="4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5"/>
                <w:szCs w:val="15"/>
                <w:color w:val="auto"/>
              </w:rPr>
              <w:t>PRC, May 2005</w:t>
            </w:r>
          </w:p>
        </w:tc>
        <w:tc>
          <w:tcPr>
            <w:tcW w:w="242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rPr>
              <w:t>82.5%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5"/>
                <w:szCs w:val="15"/>
                <w:color w:val="auto"/>
              </w:rPr>
              <w:t>ACM Research (Wuxi), Inc.</w:t>
            </w:r>
          </w:p>
        </w:tc>
        <w:tc>
          <w:tcPr>
            <w:tcW w:w="4300" w:type="dxa"/>
            <w:vAlign w:val="bottom"/>
          </w:tcPr>
          <w:p>
            <w:pPr>
              <w:ind w:left="1060"/>
              <w:spacing w:after="0"/>
              <w:rPr>
                <w:sz w:val="20"/>
                <w:szCs w:val="20"/>
                <w:color w:val="auto"/>
              </w:rPr>
            </w:pPr>
            <w:r>
              <w:rPr>
                <w:rFonts w:ascii="Arial" w:cs="Arial" w:eastAsia="Arial" w:hAnsi="Arial"/>
                <w:sz w:val="15"/>
                <w:szCs w:val="15"/>
                <w:color w:val="auto"/>
              </w:rPr>
              <w:t>PRC, July 2011</w:t>
            </w:r>
          </w:p>
        </w:tc>
        <w:tc>
          <w:tcPr>
            <w:tcW w:w="2420" w:type="dxa"/>
            <w:vAlign w:val="bottom"/>
          </w:tcPr>
          <w:p>
            <w:pPr>
              <w:jc w:val="right"/>
              <w:ind w:right="505"/>
              <w:spacing w:after="0"/>
              <w:rPr>
                <w:sz w:val="20"/>
                <w:szCs w:val="20"/>
                <w:color w:val="auto"/>
              </w:rPr>
            </w:pPr>
            <w:r>
              <w:rPr>
                <w:rFonts w:ascii="Arial" w:cs="Arial" w:eastAsia="Arial" w:hAnsi="Arial"/>
                <w:sz w:val="15"/>
                <w:szCs w:val="15"/>
                <w:color w:val="auto"/>
              </w:rPr>
              <w:t>82.5%</w:t>
            </w:r>
          </w:p>
        </w:tc>
        <w:tc>
          <w:tcPr>
            <w:tcW w:w="1200" w:type="dxa"/>
            <w:vAlign w:val="bottom"/>
          </w:tcPr>
          <w:p>
            <w:pPr>
              <w:jc w:val="right"/>
              <w:spacing w:after="0"/>
              <w:rPr>
                <w:sz w:val="20"/>
                <w:szCs w:val="20"/>
                <w:color w:val="auto"/>
              </w:rPr>
            </w:pPr>
            <w:r>
              <w:rPr>
                <w:rFonts w:ascii="Arial" w:cs="Arial" w:eastAsia="Arial" w:hAnsi="Arial"/>
                <w:sz w:val="15"/>
                <w:szCs w:val="15"/>
                <w:color w:val="auto"/>
              </w:rPr>
              <w:t>91.7%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CleanChip Technologies Limited</w:t>
            </w:r>
          </w:p>
        </w:tc>
        <w:tc>
          <w:tcPr>
            <w:tcW w:w="430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Hong Kong, September 2017</w:t>
            </w:r>
          </w:p>
        </w:tc>
        <w:tc>
          <w:tcPr>
            <w:tcW w:w="242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82.5%</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5"/>
                <w:szCs w:val="15"/>
                <w:color w:val="auto"/>
              </w:rPr>
              <w:t>ACM Research Korea CO., LTD.</w:t>
            </w:r>
          </w:p>
        </w:tc>
        <w:tc>
          <w:tcPr>
            <w:tcW w:w="4300" w:type="dxa"/>
            <w:vAlign w:val="bottom"/>
          </w:tcPr>
          <w:p>
            <w:pPr>
              <w:ind w:left="1060"/>
              <w:spacing w:after="0"/>
              <w:rPr>
                <w:sz w:val="20"/>
                <w:szCs w:val="20"/>
                <w:color w:val="auto"/>
              </w:rPr>
            </w:pPr>
            <w:r>
              <w:rPr>
                <w:rFonts w:ascii="Arial" w:cs="Arial" w:eastAsia="Arial" w:hAnsi="Arial"/>
                <w:sz w:val="15"/>
                <w:szCs w:val="15"/>
                <w:color w:val="auto"/>
              </w:rPr>
              <w:t>Korea, December 2017</w:t>
            </w:r>
          </w:p>
        </w:tc>
        <w:tc>
          <w:tcPr>
            <w:tcW w:w="2420" w:type="dxa"/>
            <w:vAlign w:val="bottom"/>
          </w:tcPr>
          <w:p>
            <w:pPr>
              <w:jc w:val="right"/>
              <w:ind w:right="505"/>
              <w:spacing w:after="0"/>
              <w:rPr>
                <w:sz w:val="20"/>
                <w:szCs w:val="20"/>
                <w:color w:val="auto"/>
              </w:rPr>
            </w:pPr>
            <w:r>
              <w:rPr>
                <w:rFonts w:ascii="Arial" w:cs="Arial" w:eastAsia="Arial" w:hAnsi="Arial"/>
                <w:sz w:val="15"/>
                <w:szCs w:val="15"/>
                <w:color w:val="auto"/>
              </w:rPr>
              <w:t>82.5%</w:t>
            </w:r>
          </w:p>
        </w:tc>
        <w:tc>
          <w:tcPr>
            <w:tcW w:w="1200" w:type="dxa"/>
            <w:vAlign w:val="bottom"/>
          </w:tcPr>
          <w:p>
            <w:pPr>
              <w:jc w:val="right"/>
              <w:spacing w:after="0"/>
              <w:rPr>
                <w:sz w:val="20"/>
                <w:szCs w:val="20"/>
                <w:color w:val="auto"/>
              </w:rPr>
            </w:pPr>
            <w:r>
              <w:rPr>
                <w:rFonts w:ascii="Arial" w:cs="Arial" w:eastAsia="Arial" w:hAnsi="Arial"/>
                <w:sz w:val="15"/>
                <w:szCs w:val="15"/>
                <w:color w:val="auto"/>
              </w:rPr>
              <w:t>91.7%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Shengwei Research (Shanghai), Inc.</w:t>
            </w:r>
          </w:p>
        </w:tc>
        <w:tc>
          <w:tcPr>
            <w:tcW w:w="430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PRC, March 2019</w:t>
            </w:r>
          </w:p>
        </w:tc>
        <w:tc>
          <w:tcPr>
            <w:tcW w:w="242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82.5%</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5"/>
                <w:szCs w:val="15"/>
                <w:color w:val="auto"/>
              </w:rPr>
              <w:t>ACM Research (CA), Inc.</w:t>
            </w:r>
          </w:p>
        </w:tc>
        <w:tc>
          <w:tcPr>
            <w:tcW w:w="4300" w:type="dxa"/>
            <w:vAlign w:val="bottom"/>
          </w:tcPr>
          <w:p>
            <w:pPr>
              <w:ind w:left="1060"/>
              <w:spacing w:after="0"/>
              <w:rPr>
                <w:sz w:val="20"/>
                <w:szCs w:val="20"/>
                <w:color w:val="auto"/>
              </w:rPr>
            </w:pPr>
            <w:r>
              <w:rPr>
                <w:rFonts w:ascii="Arial" w:cs="Arial" w:eastAsia="Arial" w:hAnsi="Arial"/>
                <w:sz w:val="15"/>
                <w:szCs w:val="15"/>
                <w:color w:val="auto"/>
              </w:rPr>
              <w:t>USA, April 2019</w:t>
            </w:r>
          </w:p>
        </w:tc>
        <w:tc>
          <w:tcPr>
            <w:tcW w:w="2420" w:type="dxa"/>
            <w:vAlign w:val="bottom"/>
          </w:tcPr>
          <w:p>
            <w:pPr>
              <w:jc w:val="right"/>
              <w:ind w:right="505"/>
              <w:spacing w:after="0"/>
              <w:rPr>
                <w:sz w:val="20"/>
                <w:szCs w:val="20"/>
                <w:color w:val="auto"/>
              </w:rPr>
            </w:pPr>
            <w:r>
              <w:rPr>
                <w:rFonts w:ascii="Arial" w:cs="Arial" w:eastAsia="Arial" w:hAnsi="Arial"/>
                <w:sz w:val="15"/>
                <w:szCs w:val="15"/>
                <w:color w:val="auto"/>
              </w:rPr>
              <w:t>82.5%</w:t>
            </w:r>
          </w:p>
        </w:tc>
        <w:tc>
          <w:tcPr>
            <w:tcW w:w="1200" w:type="dxa"/>
            <w:vAlign w:val="bottom"/>
          </w:tcPr>
          <w:p>
            <w:pPr>
              <w:jc w:val="right"/>
              <w:spacing w:after="0"/>
              <w:rPr>
                <w:sz w:val="20"/>
                <w:szCs w:val="20"/>
                <w:color w:val="auto"/>
              </w:rPr>
            </w:pPr>
            <w:r>
              <w:rPr>
                <w:rFonts w:ascii="Arial" w:cs="Arial" w:eastAsia="Arial" w:hAnsi="Arial"/>
                <w:sz w:val="15"/>
                <w:szCs w:val="15"/>
                <w:color w:val="auto"/>
              </w:rPr>
              <w:t>91.7%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ACM Research (Cayman), Inc.</w:t>
            </w:r>
          </w:p>
        </w:tc>
        <w:tc>
          <w:tcPr>
            <w:tcW w:w="4300" w:type="dxa"/>
            <w:vAlign w:val="bottom"/>
            <w:shd w:val="clear" w:color="auto" w:fill="CCEEFF"/>
          </w:tcPr>
          <w:p>
            <w:pPr>
              <w:ind w:left="1060"/>
              <w:spacing w:after="0"/>
              <w:rPr>
                <w:sz w:val="20"/>
                <w:szCs w:val="20"/>
                <w:color w:val="auto"/>
              </w:rPr>
            </w:pPr>
            <w:r>
              <w:rPr>
                <w:rFonts w:ascii="Arial" w:cs="Arial" w:eastAsia="Arial" w:hAnsi="Arial"/>
                <w:sz w:val="15"/>
                <w:szCs w:val="15"/>
                <w:color w:val="auto"/>
              </w:rPr>
              <w:t>Cayman Islands, April 2019</w:t>
            </w:r>
          </w:p>
        </w:tc>
        <w:tc>
          <w:tcPr>
            <w:tcW w:w="242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rPr>
              <w:t>100.0%</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5"/>
                <w:szCs w:val="15"/>
                <w:color w:val="auto"/>
              </w:rPr>
              <w:t>ACM Research (Singapore) PTE. Ltd.</w:t>
            </w:r>
          </w:p>
        </w:tc>
        <w:tc>
          <w:tcPr>
            <w:tcW w:w="4300" w:type="dxa"/>
            <w:vAlign w:val="bottom"/>
          </w:tcPr>
          <w:p>
            <w:pPr>
              <w:ind w:left="1060"/>
              <w:spacing w:after="0"/>
              <w:rPr>
                <w:sz w:val="20"/>
                <w:szCs w:val="20"/>
                <w:color w:val="auto"/>
              </w:rPr>
            </w:pPr>
            <w:r>
              <w:rPr>
                <w:rFonts w:ascii="Arial" w:cs="Arial" w:eastAsia="Arial" w:hAnsi="Arial"/>
                <w:sz w:val="15"/>
                <w:szCs w:val="15"/>
                <w:color w:val="auto"/>
              </w:rPr>
              <w:t>Singapore, August 2021</w:t>
            </w:r>
          </w:p>
        </w:tc>
        <w:tc>
          <w:tcPr>
            <w:tcW w:w="2420" w:type="dxa"/>
            <w:vAlign w:val="bottom"/>
          </w:tcPr>
          <w:p>
            <w:pPr>
              <w:jc w:val="right"/>
              <w:ind w:right="505"/>
              <w:spacing w:after="0"/>
              <w:rPr>
                <w:sz w:val="20"/>
                <w:szCs w:val="20"/>
                <w:color w:val="auto"/>
              </w:rPr>
            </w:pPr>
            <w:r>
              <w:rPr>
                <w:rFonts w:ascii="Arial" w:cs="Arial" w:eastAsia="Arial" w:hAnsi="Arial"/>
                <w:sz w:val="15"/>
                <w:szCs w:val="15"/>
                <w:color w:val="auto"/>
              </w:rPr>
              <w:t>100.0%</w:t>
            </w:r>
          </w:p>
        </w:tc>
        <w:tc>
          <w:tcPr>
            <w:tcW w:w="1200" w:type="dxa"/>
            <w:vAlign w:val="bottom"/>
          </w:tcPr>
          <w:p>
            <w:pPr>
              <w:jc w:val="right"/>
              <w:spacing w:after="0"/>
              <w:rPr>
                <w:sz w:val="20"/>
                <w:szCs w:val="20"/>
                <w:color w:val="auto"/>
              </w:rPr>
            </w:pPr>
            <w:r>
              <w:rPr>
                <w:rFonts w:ascii="Arial" w:cs="Arial" w:eastAsia="Arial" w:hAnsi="Arial"/>
                <w:sz w:val="15"/>
                <w:szCs w:val="15"/>
                <w:color w:val="auto"/>
              </w:rPr>
              <w:t>NM</w:t>
            </w:r>
          </w:p>
        </w:tc>
        <w:tc>
          <w:tcPr>
            <w:tcW w:w="20" w:type="dxa"/>
            <w:vAlign w:val="bottom"/>
          </w:tcPr>
          <w:p>
            <w:pPr>
              <w:spacing w:after="0"/>
              <w:rPr>
                <w:sz w:val="16"/>
                <w:szCs w:val="16"/>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SUMMARY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Basis of Presentation and Principles of Consolidation</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Company’s consolidated financial statements include the accounts of ACM and its subsidiaries, including ACM Shanghai and its subsidiaries, which include ACM Wuxi, ACM Shengwei and CleanChip (the subsidiaries of which include ACM California and ACM Korea). ACM’s subsidiaries are those entities in which ACM, directly and indirectly, controls more than one half of the voting power. All significant intercompany transactions and balances have been eliminated upon consolidation.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COVID-19 Assessment</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outbreak of COVID-19, the coronavirus, has grown both in the United States and globally, and related government and private sector responsive actions have adversely affected the Company’s business operations. In December 2019 a series of emergency quarantine measures taken by the PRC government disrupted domestic business activities during the weeks after the initial outbreak of COVID-19. Since that time, an increasing number of countries, including the United States, have imposed restrictions on travel to and from the PRC and elsewhere, as well as general movement restrictions, business closures and other measures imposed to slow the spread of COVID-19. The situation continues to develop, however, and it is impossible to predict the effect and ultimate impact of the COVID-19 pandemic on the Company’s business operations and results. While the quarantine, social distancing and other regulatory measures instituted or recommended in response to COVID-19 are expected to be temporary, the duration of the business disruptions, and related financial impact, cannot be estimated at this time. COVID-19 has been declared a worldwide health pandemic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 Through December 31, 2021, the Company had not experienced a significant negative impact from COVID-19 on its operations, capital and financial resources, including overall liquidity position.</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 conducts substantially all of its product development, manufacturing, support and services in the PRC, and those activities have been directly impacted by the COVID-19 pandemic and related restrictions on transportation and public appearances. The Company cannot assure that closures or reductions of its PRC operations or production may not be necessary in upcoming months as the result of business interruptions arising from protective measures being taken by the PRC and other governmental agencies or of other consequences of the COVID-19 pandemic.</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The Company’s corporate headquarters are located in San Mateo County in the San Francisco Bay Area. The effects of actions taken by local governmental agencies in the future may negatively impact productivity, disrupt the business of the Company and delay timelines, the magnitude of which will depend, in part, on the length and severity of the restrictions and other limitations on the Company’s ability to conduct its business in the ordinary course.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0" w:name="page91"/>
    <w:bookmarkEnd w:id="9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prolonged and broad-based shift to a remote working environment continues to create inherent productivity, connectivity, and oversight challenges and could affect our ability to enhance, develop and support existing products and services, detect and prevent spam and problematic content, hold product sales and marketing events, and generate new sales leads, among others. In addition, the changed environment under which the Company is operating could have an effect on its internal controls over financial reporting as well as our ability to meet a number of its compliance requirements in a timely or quality manner. Additional and/or extended, governmental lockdowns, restrictions or new regulations could significantly impact the ability of our employees and vendors to work productively. Governmental restrictions have been globally inconsistent and it remains unclear when a return to worksite locations or travel will be permitted or what restrictions will be in place in those environments. As the Company prepares to return its workforce in more locations back to the office in 2022, it may experience increased costs as it prepares its facilities for a safe return to work environment and experiment with hybrid work models, in addition to potential effects on its ability to compete effectively and maintain its corporate culture.</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Extended periods of interruption to our corporate, development or manufacturing facilities due to the COVID-19 pandemic could cause the Company to lose revenue and market share, which would depress its financial performance and could be difficult to recapture. The Company’s business may also be harmed if travel to or from the PRC or the United States continues to be restricted or inadvisable or if members of management and other employees are absent because they contract the coronavirus, they elect not to come to work due to the illness affecting others in the Company’s office or laboratory facilities, or they are subject to quarantines or other governmentally imposed restrictions.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Use of Estimates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fair value of trading securities,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Management evaluates these estimates and assumptions on a regular basis. Actual results could differ from those estimates and assumptions.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Reclassifications</w:t>
      </w:r>
    </w:p>
    <w:p>
      <w:pPr>
        <w:spacing w:after="0" w:line="190"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color w:val="auto"/>
        </w:rPr>
        <w:t>Certain prior year amounts in the notes to the Consolidated Financial Statements, have been reclassified to conform with the current year presentation. These classifications within the statements had no impact on the Company’s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Cash and Cash Equivalents</w:t>
      </w:r>
    </w:p>
    <w:p>
      <w:pPr>
        <w:spacing w:after="0" w:line="19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1" w:name="page92"/>
    <w:bookmarkEnd w:id="91"/>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3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9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Restricted cash</w:t>
      </w:r>
    </w:p>
    <w:p>
      <w:pPr>
        <w:spacing w:after="0" w:line="190"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Restricted cash represents deposits not readily available to ACM. Restricted cash as of December 31, 2019 represented cash hold in reserve, all of the proceeds received from issuance of common stock to redeemable non-controlling interest in segregated cash and cash-equivalent accounts. There was no restricted cash as of December 31, 2020, as the redemption feature of these proceeds was terminated during the second quarter of 2020.</w:t>
      </w:r>
    </w:p>
    <w:p>
      <w:pPr>
        <w:spacing w:after="0" w:line="155"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Accounts Receivable</w:t>
      </w:r>
    </w:p>
    <w:p>
      <w:pPr>
        <w:spacing w:after="0" w:line="190"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current economic trends and reasonable and supportable forecasts. Accounts are written off after all collection efforts have been exhausted. At December 31, 2021, and 2020, the Company, based on a review of its outstanding balances and its customers, determined the allowance for doubtful accounts in the amount of $0 and $0 respectively.</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Land use right, net</w:t>
      </w:r>
    </w:p>
    <w:p>
      <w:pPr>
        <w:spacing w:after="0" w:line="190" w:lineRule="exact"/>
        <w:rPr>
          <w:sz w:val="20"/>
          <w:szCs w:val="20"/>
          <w:color w:val="auto"/>
        </w:rPr>
      </w:pPr>
    </w:p>
    <w:p>
      <w:pPr>
        <w:jc w:val="both"/>
        <w:ind w:left="10"/>
        <w:spacing w:after="0" w:line="313" w:lineRule="auto"/>
        <w:rPr>
          <w:sz w:val="20"/>
          <w:szCs w:val="20"/>
          <w:color w:val="auto"/>
        </w:rPr>
      </w:pPr>
      <w:r>
        <w:rPr>
          <w:rFonts w:ascii="Arial" w:cs="Arial" w:eastAsia="Arial" w:hAnsi="Arial"/>
          <w:sz w:val="14"/>
          <w:szCs w:val="14"/>
          <w:color w:val="auto"/>
        </w:rPr>
        <w:t>The land use right represents the cost to purchase a right to use state-owned land in the PRC with lease terms of 50 years expiring in 2070, for which an upfront lump-sum payment was made during the year ended December 31, 2020. The Company classifies the land use right as non-current assets on the consolidated balance sheets (note 7).</w:t>
      </w:r>
    </w:p>
    <w:p>
      <w:pPr>
        <w:spacing w:after="0" w:line="123"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The land use right is carried at cost less accumulated amortization and impairment losses, if any. Amortization is computed using the straight-line method over the term specified in the land use right certificate, which is 50 years.</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Inventory</w:t>
      </w:r>
    </w:p>
    <w:p>
      <w:pPr>
        <w:spacing w:after="0" w:line="19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color w:val="auto"/>
        </w:rPr>
        <w:t>Inventory was recorded at the lower of cost or net realizable value at December 31, 2021 and 2020.</w:t>
      </w:r>
    </w:p>
    <w:p>
      <w:pPr>
        <w:spacing w:after="0" w:line="18" w:lineRule="exact"/>
        <w:rPr>
          <w:sz w:val="20"/>
          <w:szCs w:val="20"/>
          <w:color w:val="auto"/>
        </w:rPr>
      </w:pPr>
    </w:p>
    <w:p>
      <w:pPr>
        <w:jc w:val="both"/>
        <w:ind w:left="410" w:hanging="410"/>
        <w:spacing w:after="0" w:line="251" w:lineRule="auto"/>
        <w:tabs>
          <w:tab w:leader="none" w:pos="41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2" w:lineRule="exact"/>
        <w:rPr>
          <w:rFonts w:ascii="Arial" w:cs="Arial" w:eastAsia="Arial" w:hAnsi="Arial"/>
          <w:sz w:val="15"/>
          <w:szCs w:val="15"/>
          <w:color w:val="auto"/>
        </w:rPr>
      </w:pPr>
    </w:p>
    <w:p>
      <w:pPr>
        <w:ind w:left="410" w:hanging="410"/>
        <w:spacing w:after="0"/>
        <w:tabs>
          <w:tab w:leader="none" w:pos="410" w:val="left"/>
        </w:tabs>
        <w:numPr>
          <w:ilvl w:val="0"/>
          <w:numId w:val="74"/>
        </w:numPr>
        <w:rPr>
          <w:rFonts w:ascii="Arial" w:cs="Arial" w:eastAsia="Arial" w:hAnsi="Arial"/>
          <w:sz w:val="15"/>
          <w:szCs w:val="15"/>
          <w:color w:val="auto"/>
        </w:rPr>
      </w:pPr>
      <w:r>
        <w:rPr>
          <w:rFonts w:ascii="Arial" w:cs="Arial" w:eastAsia="Arial" w:hAnsi="Arial"/>
          <w:sz w:val="15"/>
          <w:szCs w:val="15"/>
          <w:color w:val="auto"/>
        </w:rPr>
        <w:t>Net realizable value is the estimated selling price, in the ordinary course of business, less estimated costs to complete or dispose.</w:t>
      </w:r>
    </w:p>
    <w:p>
      <w:pPr>
        <w:spacing w:after="0" w:line="18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Property, Plant and Equipment, Net</w:t>
      </w:r>
    </w:p>
    <w:p>
      <w:pPr>
        <w:spacing w:after="0" w:line="190" w:lineRule="exact"/>
        <w:rPr>
          <w:sz w:val="20"/>
          <w:szCs w:val="20"/>
          <w:color w:val="auto"/>
        </w:rPr>
      </w:pPr>
    </w:p>
    <w:p>
      <w:pPr>
        <w:jc w:val="both"/>
        <w:ind w:left="10"/>
        <w:spacing w:after="0" w:line="323" w:lineRule="auto"/>
        <w:rPr>
          <w:sz w:val="20"/>
          <w:szCs w:val="20"/>
          <w:color w:val="auto"/>
        </w:rPr>
      </w:pPr>
      <w:r>
        <w:rPr>
          <w:rFonts w:ascii="Arial" w:cs="Arial" w:eastAsia="Arial" w:hAnsi="Arial"/>
          <w:sz w:val="13"/>
          <w:szCs w:val="13"/>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274"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92" w:name="page93"/>
    <w:bookmarkEnd w:id="9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Estimated useful lives of assets in the United States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Computer and office equipment</w:t>
            </w:r>
          </w:p>
        </w:tc>
        <w:tc>
          <w:tcPr>
            <w:tcW w:w="8440" w:type="dxa"/>
            <w:vAlign w:val="bottom"/>
            <w:shd w:val="clear" w:color="auto" w:fill="CCEEFF"/>
          </w:tcPr>
          <w:p>
            <w:pPr>
              <w:ind w:left="920"/>
              <w:spacing w:after="0"/>
              <w:rPr>
                <w:sz w:val="20"/>
                <w:szCs w:val="20"/>
                <w:color w:val="auto"/>
              </w:rPr>
            </w:pPr>
            <w:r>
              <w:rPr>
                <w:rFonts w:ascii="Arial" w:cs="Arial" w:eastAsia="Arial" w:hAnsi="Arial"/>
                <w:sz w:val="15"/>
                <w:szCs w:val="15"/>
                <w:color w:val="auto"/>
              </w:rPr>
              <w:t>3 to 5 years</w:t>
            </w:r>
          </w:p>
        </w:tc>
      </w:tr>
      <w:tr>
        <w:trPr>
          <w:trHeight w:val="181"/>
        </w:trPr>
        <w:tc>
          <w:tcPr>
            <w:tcW w:w="2820" w:type="dxa"/>
            <w:vAlign w:val="bottom"/>
          </w:tcPr>
          <w:p>
            <w:pPr>
              <w:spacing w:after="0"/>
              <w:rPr>
                <w:sz w:val="20"/>
                <w:szCs w:val="20"/>
                <w:color w:val="auto"/>
              </w:rPr>
            </w:pPr>
            <w:r>
              <w:rPr>
                <w:rFonts w:ascii="Arial" w:cs="Arial" w:eastAsia="Arial" w:hAnsi="Arial"/>
                <w:sz w:val="15"/>
                <w:szCs w:val="15"/>
                <w:color w:val="auto"/>
              </w:rPr>
              <w:t>Furniture and fixtures</w:t>
            </w:r>
          </w:p>
        </w:tc>
        <w:tc>
          <w:tcPr>
            <w:tcW w:w="8440" w:type="dxa"/>
            <w:vAlign w:val="bottom"/>
          </w:tcPr>
          <w:p>
            <w:pPr>
              <w:ind w:left="920"/>
              <w:spacing w:after="0"/>
              <w:rPr>
                <w:sz w:val="20"/>
                <w:szCs w:val="20"/>
                <w:color w:val="auto"/>
              </w:rPr>
            </w:pPr>
            <w:r>
              <w:rPr>
                <w:rFonts w:ascii="Arial" w:cs="Arial" w:eastAsia="Arial" w:hAnsi="Arial"/>
                <w:sz w:val="15"/>
                <w:szCs w:val="15"/>
                <w:color w:val="auto"/>
              </w:rPr>
              <w:t>5 years</w:t>
            </w:r>
          </w:p>
        </w:tc>
      </w:tr>
      <w:tr>
        <w:trPr>
          <w:trHeight w:val="181"/>
        </w:trPr>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8440" w:type="dxa"/>
            <w:vAlign w:val="bottom"/>
            <w:shd w:val="clear" w:color="auto" w:fill="CCEEFF"/>
          </w:tcPr>
          <w:p>
            <w:pPr>
              <w:ind w:left="920"/>
              <w:spacing w:after="0"/>
              <w:rPr>
                <w:sz w:val="20"/>
                <w:szCs w:val="20"/>
                <w:color w:val="auto"/>
              </w:rPr>
            </w:pPr>
            <w:r>
              <w:rPr>
                <w:rFonts w:ascii="Arial" w:cs="Arial" w:eastAsia="Arial" w:hAnsi="Arial"/>
                <w:sz w:val="15"/>
                <w:szCs w:val="15"/>
                <w:color w:val="auto"/>
              </w:rPr>
              <w:t>shorter of lease term or estimated useful life</w:t>
            </w:r>
          </w:p>
        </w:tc>
      </w:tr>
    </w:tbl>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ACM’s subsidiaries follow regulations for depreciation of fixed assets implemented under the PRC’s Enterprise Income Tax Law, which state that the minimum useful lives used for calculating depreciation for fixed assets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Manufacturing equipment</w:t>
            </w:r>
          </w:p>
        </w:tc>
        <w:tc>
          <w:tcPr>
            <w:tcW w:w="860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for small to medium-sized equipment, 5 years; for large equipment,</w:t>
            </w:r>
          </w:p>
        </w:tc>
      </w:tr>
      <w:tr>
        <w:trPr>
          <w:trHeight w:val="192"/>
        </w:trPr>
        <w:tc>
          <w:tcPr>
            <w:tcW w:w="2660" w:type="dxa"/>
            <w:vAlign w:val="bottom"/>
            <w:shd w:val="clear" w:color="auto" w:fill="CCEEFF"/>
          </w:tcPr>
          <w:p>
            <w:pPr>
              <w:spacing w:after="0"/>
              <w:rPr>
                <w:sz w:val="16"/>
                <w:szCs w:val="16"/>
                <w:color w:val="auto"/>
              </w:rPr>
            </w:pPr>
          </w:p>
        </w:tc>
        <w:tc>
          <w:tcPr>
            <w:tcW w:w="860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estimated by purchasing department at time of acceptance</w:t>
            </w:r>
          </w:p>
        </w:tc>
      </w:tr>
      <w:tr>
        <w:trPr>
          <w:trHeight w:val="181"/>
        </w:trPr>
        <w:tc>
          <w:tcPr>
            <w:tcW w:w="2660" w:type="dxa"/>
            <w:vAlign w:val="bottom"/>
          </w:tcPr>
          <w:p>
            <w:pPr>
              <w:spacing w:after="0"/>
              <w:rPr>
                <w:sz w:val="20"/>
                <w:szCs w:val="20"/>
                <w:color w:val="auto"/>
              </w:rPr>
            </w:pPr>
            <w:r>
              <w:rPr>
                <w:rFonts w:ascii="Arial" w:cs="Arial" w:eastAsia="Arial" w:hAnsi="Arial"/>
                <w:sz w:val="15"/>
                <w:szCs w:val="15"/>
                <w:color w:val="auto"/>
              </w:rPr>
              <w:t>Furniture and fixtures</w:t>
            </w:r>
          </w:p>
        </w:tc>
        <w:tc>
          <w:tcPr>
            <w:tcW w:w="8600" w:type="dxa"/>
            <w:vAlign w:val="bottom"/>
          </w:tcPr>
          <w:p>
            <w:pPr>
              <w:ind w:left="1080"/>
              <w:spacing w:after="0"/>
              <w:rPr>
                <w:sz w:val="20"/>
                <w:szCs w:val="20"/>
                <w:color w:val="auto"/>
              </w:rPr>
            </w:pPr>
            <w:r>
              <w:rPr>
                <w:rFonts w:ascii="Arial" w:cs="Arial" w:eastAsia="Arial" w:hAnsi="Arial"/>
                <w:sz w:val="15"/>
                <w:szCs w:val="15"/>
                <w:color w:val="auto"/>
              </w:rPr>
              <w:t>5 years</w:t>
            </w:r>
          </w:p>
        </w:tc>
      </w:tr>
      <w:tr>
        <w:trPr>
          <w:trHeight w:val="181"/>
        </w:trPr>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Transportation equipment</w:t>
            </w:r>
          </w:p>
        </w:tc>
        <w:tc>
          <w:tcPr>
            <w:tcW w:w="860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4 to 5 years</w:t>
            </w:r>
          </w:p>
        </w:tc>
      </w:tr>
      <w:tr>
        <w:trPr>
          <w:trHeight w:val="181"/>
        </w:trPr>
        <w:tc>
          <w:tcPr>
            <w:tcW w:w="2660" w:type="dxa"/>
            <w:vAlign w:val="bottom"/>
          </w:tcPr>
          <w:p>
            <w:pPr>
              <w:spacing w:after="0"/>
              <w:rPr>
                <w:sz w:val="20"/>
                <w:szCs w:val="20"/>
                <w:color w:val="auto"/>
              </w:rPr>
            </w:pPr>
            <w:r>
              <w:rPr>
                <w:rFonts w:ascii="Arial" w:cs="Arial" w:eastAsia="Arial" w:hAnsi="Arial"/>
                <w:sz w:val="15"/>
                <w:szCs w:val="15"/>
                <w:color w:val="auto"/>
              </w:rPr>
              <w:t>Electronic equipment</w:t>
            </w:r>
          </w:p>
        </w:tc>
        <w:tc>
          <w:tcPr>
            <w:tcW w:w="8600" w:type="dxa"/>
            <w:vAlign w:val="bottom"/>
          </w:tcPr>
          <w:p>
            <w:pPr>
              <w:ind w:left="1080"/>
              <w:spacing w:after="0"/>
              <w:rPr>
                <w:sz w:val="20"/>
                <w:szCs w:val="20"/>
                <w:color w:val="auto"/>
              </w:rPr>
            </w:pPr>
            <w:r>
              <w:rPr>
                <w:rFonts w:ascii="Arial" w:cs="Arial" w:eastAsia="Arial" w:hAnsi="Arial"/>
                <w:sz w:val="15"/>
                <w:szCs w:val="15"/>
                <w:color w:val="auto"/>
              </w:rPr>
              <w:t>3 to 5 years</w:t>
            </w:r>
          </w:p>
        </w:tc>
      </w:tr>
      <w:tr>
        <w:trPr>
          <w:trHeight w:val="170"/>
        </w:trPr>
        <w:tc>
          <w:tcPr>
            <w:tcW w:w="266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Leasehold improvements</w:t>
            </w:r>
          </w:p>
        </w:tc>
        <w:tc>
          <w:tcPr>
            <w:tcW w:w="8600" w:type="dxa"/>
            <w:vAlign w:val="bottom"/>
            <w:shd w:val="clear" w:color="auto" w:fill="CCEEFF"/>
          </w:tcPr>
          <w:p>
            <w:pPr>
              <w:ind w:left="1080"/>
              <w:spacing w:after="0" w:line="171" w:lineRule="exact"/>
              <w:rPr>
                <w:sz w:val="20"/>
                <w:szCs w:val="20"/>
                <w:color w:val="auto"/>
              </w:rPr>
            </w:pPr>
            <w:r>
              <w:rPr>
                <w:rFonts w:ascii="Arial" w:cs="Arial" w:eastAsia="Arial" w:hAnsi="Arial"/>
                <w:sz w:val="15"/>
                <w:szCs w:val="15"/>
                <w:color w:val="auto"/>
              </w:rPr>
              <w:t>remaining lease term for improvements on leased fixed assets or,</w:t>
            </w:r>
          </w:p>
        </w:tc>
      </w:tr>
      <w:tr>
        <w:trPr>
          <w:trHeight w:val="181"/>
        </w:trPr>
        <w:tc>
          <w:tcPr>
            <w:tcW w:w="2660" w:type="dxa"/>
            <w:vAlign w:val="bottom"/>
            <w:shd w:val="clear" w:color="auto" w:fill="CCEEFF"/>
          </w:tcPr>
          <w:p>
            <w:pPr>
              <w:spacing w:after="0"/>
              <w:rPr>
                <w:sz w:val="15"/>
                <w:szCs w:val="15"/>
                <w:color w:val="auto"/>
              </w:rPr>
            </w:pPr>
          </w:p>
        </w:tc>
        <w:tc>
          <w:tcPr>
            <w:tcW w:w="860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for large improvements, estimated useful life;</w:t>
            </w:r>
          </w:p>
        </w:tc>
      </w:tr>
      <w:tr>
        <w:trPr>
          <w:trHeight w:val="192"/>
        </w:trPr>
        <w:tc>
          <w:tcPr>
            <w:tcW w:w="2660" w:type="dxa"/>
            <w:vAlign w:val="bottom"/>
            <w:shd w:val="clear" w:color="auto" w:fill="CCEEFF"/>
          </w:tcPr>
          <w:p>
            <w:pPr>
              <w:spacing w:after="0"/>
              <w:rPr>
                <w:sz w:val="16"/>
                <w:szCs w:val="16"/>
                <w:color w:val="auto"/>
              </w:rPr>
            </w:pPr>
          </w:p>
        </w:tc>
        <w:tc>
          <w:tcPr>
            <w:tcW w:w="860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not less than 3 years for non-fixed asset repairs</w:t>
            </w:r>
          </w:p>
        </w:tc>
      </w:tr>
    </w:tbl>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Intangible Assets, Net</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for between two and ten-years, based on its functionality and useful life in accordance with the policy described above.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Investments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The Company uses the equity method of accounting for its investment in, and earning or loss of, companies that it does not control but over which it does exert significant influence. The Company considers whether the fair value of its equity method investment has declined below its carrying value whenever adverse events or changes in circumstances indicate that recorded value may not be recoverable. The Company reviews its investments for other-than-temporary impairment whenever events or changes in business circumstances indicate that the carrying value of the investment may not be fully recoverable. Investments identified as having an indication of impairment are subject to further analysis to determine if the impairment is other-than-temporary and this analysis requires estimating the fair value of the investment. The determination of fair value of the investment involves considering factors such as current economic and market conditions, the operating performance of the entities including current earnings trends and forecasted cash flows, and other company and industry specific information. If the Company considers any decline to be other than temporary (based on various factors, including historical financial results and the overall health of the investee), then a write-down would be recorded to estimated fair value. See note 14 for discussion of equity method investment.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3" w:name="page94"/>
    <w:bookmarkEnd w:id="93"/>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3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9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The Company elects to measure its investments in other equity securities that the Company does not have control nor significant influence on the investee at cost minus impairment, if any for those equity securities without a readily determinable fair value.</w:t>
      </w:r>
    </w:p>
    <w:p>
      <w:pPr>
        <w:spacing w:after="0" w:line="146" w:lineRule="exact"/>
        <w:rPr>
          <w:sz w:val="20"/>
          <w:szCs w:val="20"/>
          <w:color w:val="auto"/>
        </w:rPr>
      </w:pPr>
    </w:p>
    <w:p>
      <w:pPr>
        <w:jc w:val="both"/>
        <w:ind w:left="10"/>
        <w:spacing w:after="0" w:line="260" w:lineRule="auto"/>
        <w:rPr>
          <w:sz w:val="20"/>
          <w:szCs w:val="20"/>
          <w:color w:val="auto"/>
        </w:rPr>
      </w:pPr>
      <w:r>
        <w:rPr>
          <w:rFonts w:ascii="Arial" w:cs="Arial" w:eastAsia="Arial" w:hAnsi="Arial"/>
          <w:sz w:val="15"/>
          <w:szCs w:val="15"/>
          <w:color w:val="auto"/>
        </w:rPr>
        <w:t>All marketable securities are classified as trading securities and trading securities and are stated at fair market value, less a discount applied to reflect the remaining lock-up period when the securities are subject to lock-up period. Fair market value is determined by the most recently traded price of the security at the balance sheet date. Net realized and unrealized gains and losses on trading securities are included in the consolidated statements of operations. The cost of investments sold is based on the average cost method. Interest and dividend income earned are included in other income (expense), net.</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Valuation of Long-Lived Assets</w:t>
      </w:r>
    </w:p>
    <w:p>
      <w:pPr>
        <w:spacing w:after="0" w:line="190" w:lineRule="exact"/>
        <w:rPr>
          <w:sz w:val="20"/>
          <w:szCs w:val="20"/>
          <w:color w:val="auto"/>
        </w:rPr>
      </w:pPr>
    </w:p>
    <w:p>
      <w:pPr>
        <w:jc w:val="both"/>
        <w:ind w:left="10"/>
        <w:spacing w:after="0" w:line="258" w:lineRule="auto"/>
        <w:rPr>
          <w:sz w:val="20"/>
          <w:szCs w:val="20"/>
          <w:color w:val="auto"/>
        </w:rPr>
      </w:pPr>
      <w:r>
        <w:rPr>
          <w:rFonts w:ascii="Arial" w:cs="Arial" w:eastAsia="Arial" w:hAnsi="Arial"/>
          <w:sz w:val="15"/>
          <w:szCs w:val="15"/>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Leases</w:t>
      </w:r>
    </w:p>
    <w:p>
      <w:pPr>
        <w:spacing w:after="0" w:line="19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The Company determines if an arrangement is a lease at inception. Operating leases are included in operating lease right-of-use (“ROU”) assets, other current liabilities and operating lease liabilities in the consolidated balance sheets.</w:t>
      </w:r>
    </w:p>
    <w:p>
      <w:pPr>
        <w:spacing w:after="0" w:line="146" w:lineRule="exact"/>
        <w:rPr>
          <w:sz w:val="20"/>
          <w:szCs w:val="20"/>
          <w:color w:val="auto"/>
        </w:rPr>
      </w:pPr>
    </w:p>
    <w:p>
      <w:pPr>
        <w:jc w:val="both"/>
        <w:ind w:left="10"/>
        <w:spacing w:after="0" w:line="256" w:lineRule="auto"/>
        <w:rPr>
          <w:sz w:val="20"/>
          <w:szCs w:val="20"/>
          <w:color w:val="auto"/>
        </w:rPr>
      </w:pPr>
      <w:r>
        <w:rPr>
          <w:rFonts w:ascii="Arial" w:cs="Arial" w:eastAsia="Arial" w:hAnsi="Arial"/>
          <w:sz w:val="15"/>
          <w:szCs w:val="15"/>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It uses the 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Revenue Recognition</w:t>
      </w:r>
    </w:p>
    <w:p>
      <w:pPr>
        <w:spacing w:after="0" w:line="190" w:lineRule="exact"/>
        <w:rPr>
          <w:sz w:val="20"/>
          <w:szCs w:val="20"/>
          <w:color w:val="auto"/>
        </w:rPr>
      </w:pPr>
    </w:p>
    <w:p>
      <w:pPr>
        <w:ind w:left="10"/>
        <w:spacing w:after="0"/>
        <w:rPr>
          <w:sz w:val="20"/>
          <w:szCs w:val="20"/>
          <w:color w:val="auto"/>
        </w:rPr>
      </w:pPr>
      <w:r>
        <w:rPr>
          <w:rFonts w:ascii="Arial" w:cs="Arial" w:eastAsia="Arial" w:hAnsi="Arial"/>
          <w:sz w:val="13"/>
          <w:szCs w:val="13"/>
          <w:color w:val="auto"/>
        </w:rPr>
        <w:t>The Company derives revenue principally from the sale of semiconductor capital equipment. Revenue from contracts with customers is recognized using the following five steps pursuant</w:t>
      </w:r>
    </w:p>
    <w:p>
      <w:pPr>
        <w:spacing w:after="0" w:line="41" w:lineRule="exact"/>
        <w:rPr>
          <w:sz w:val="20"/>
          <w:szCs w:val="20"/>
          <w:color w:val="auto"/>
        </w:rPr>
      </w:pPr>
    </w:p>
    <w:p>
      <w:pPr>
        <w:ind w:left="10"/>
        <w:spacing w:after="0"/>
        <w:rPr>
          <w:sz w:val="20"/>
          <w:szCs w:val="20"/>
          <w:color w:val="auto"/>
        </w:rPr>
      </w:pPr>
      <w:r>
        <w:rPr>
          <w:rFonts w:ascii="Arial" w:cs="Arial" w:eastAsia="Arial" w:hAnsi="Arial"/>
          <w:sz w:val="15"/>
          <w:szCs w:val="15"/>
          <w:color w:val="auto"/>
        </w:rPr>
        <w:t xml:space="preserve">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w:t>
      </w:r>
    </w:p>
    <w:p>
      <w:pPr>
        <w:spacing w:after="0" w:line="9" w:lineRule="exact"/>
        <w:rPr>
          <w:sz w:val="20"/>
          <w:szCs w:val="20"/>
          <w:color w:val="auto"/>
        </w:rPr>
      </w:pPr>
    </w:p>
    <w:p>
      <w:pPr>
        <w:ind w:left="410" w:hanging="410"/>
        <w:spacing w:after="0"/>
        <w:tabs>
          <w:tab w:leader="none" w:pos="41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Identify the contract(s) with a customer;</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Identify the performance obligations in the contract;</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Determine the transaction price;</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Allocate the transaction price to the performance obligations in the contract; and</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75"/>
        </w:numPr>
        <w:rPr>
          <w:rFonts w:ascii="Arial" w:cs="Arial" w:eastAsia="Arial" w:hAnsi="Arial"/>
          <w:sz w:val="15"/>
          <w:szCs w:val="15"/>
          <w:color w:val="auto"/>
        </w:rPr>
      </w:pPr>
      <w:r>
        <w:rPr>
          <w:rFonts w:ascii="Arial" w:cs="Arial" w:eastAsia="Arial" w:hAnsi="Arial"/>
          <w:sz w:val="15"/>
          <w:szCs w:val="15"/>
          <w:color w:val="auto"/>
        </w:rPr>
        <w:t>Recognize revenue when (or as) the entity satisfies a performance obligation.</w:t>
      </w: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94" w:name="page95"/>
    <w:bookmarkEnd w:id="94"/>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3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9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146" w:lineRule="exact"/>
        <w:rPr>
          <w:sz w:val="20"/>
          <w:szCs w:val="20"/>
          <w:color w:val="auto"/>
        </w:rPr>
      </w:pPr>
    </w:p>
    <w:p>
      <w:pPr>
        <w:jc w:val="both"/>
        <w:ind w:left="10"/>
        <w:spacing w:after="0" w:line="275" w:lineRule="auto"/>
        <w:rPr>
          <w:sz w:val="20"/>
          <w:szCs w:val="20"/>
          <w:color w:val="auto"/>
        </w:rPr>
      </w:pPr>
      <w:r>
        <w:rPr>
          <w:rFonts w:ascii="Arial" w:cs="Arial" w:eastAsia="Arial" w:hAnsi="Arial"/>
          <w:sz w:val="14"/>
          <w:szCs w:val="14"/>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606-10-25-16 through 18 in order to verify which promises should be assessed for classification as distinct performance obligations. The Company’s contracts with customers include more than one performance obligation. For example, the delivery of a piece of equipment generally includes the promise to install the equipment in the customer’s facility. The Company’s performance obligations in connection with a sale of equipment generally include production, delivery and installation, together with the provision of a warranty.</w:t>
      </w:r>
    </w:p>
    <w:p>
      <w:pPr>
        <w:spacing w:after="0" w:line="150" w:lineRule="exact"/>
        <w:rPr>
          <w:sz w:val="20"/>
          <w:szCs w:val="20"/>
          <w:color w:val="auto"/>
        </w:rPr>
      </w:pPr>
    </w:p>
    <w:p>
      <w:pPr>
        <w:jc w:val="both"/>
        <w:ind w:left="10"/>
        <w:spacing w:after="0" w:line="277" w:lineRule="auto"/>
        <w:rPr>
          <w:sz w:val="20"/>
          <w:szCs w:val="20"/>
          <w:color w:val="auto"/>
        </w:rPr>
      </w:pPr>
      <w:r>
        <w:rPr>
          <w:rFonts w:ascii="Arial" w:cs="Arial" w:eastAsia="Arial" w:hAnsi="Arial"/>
          <w:sz w:val="14"/>
          <w:szCs w:val="14"/>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The Company does not have observable SSPs for most performance obligations as the obligations are not regularly sold on a standalone basis. Production, delivery and installation of a product, together with provision of a warranty, are a single unit of accounting.</w:t>
      </w:r>
    </w:p>
    <w:p>
      <w:pPr>
        <w:spacing w:after="0" w:line="147" w:lineRule="exact"/>
        <w:rPr>
          <w:sz w:val="20"/>
          <w:szCs w:val="20"/>
          <w:color w:val="auto"/>
        </w:rPr>
      </w:pPr>
    </w:p>
    <w:p>
      <w:pPr>
        <w:jc w:val="both"/>
        <w:ind w:left="10"/>
        <w:spacing w:after="0" w:line="272" w:lineRule="auto"/>
        <w:rPr>
          <w:sz w:val="20"/>
          <w:szCs w:val="20"/>
          <w:color w:val="auto"/>
        </w:rPr>
      </w:pPr>
      <w:r>
        <w:rPr>
          <w:rFonts w:ascii="Arial" w:cs="Arial" w:eastAsia="Arial" w:hAnsi="Arial"/>
          <w:sz w:val="14"/>
          <w:szCs w:val="14"/>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2" w:lineRule="exact"/>
        <w:rPr>
          <w:sz w:val="20"/>
          <w:szCs w:val="20"/>
          <w:color w:val="auto"/>
        </w:rPr>
      </w:pPr>
    </w:p>
    <w:p>
      <w:pPr>
        <w:ind w:left="410" w:hanging="410"/>
        <w:spacing w:after="0" w:line="251" w:lineRule="auto"/>
        <w:tabs>
          <w:tab w:leader="none" w:pos="41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When the customer has previously accepted the same tool with the same specifications and the Company can objectively demonstrate that the tool meets all of the required acceptance criteria;</w:t>
      </w:r>
    </w:p>
    <w:p>
      <w:pPr>
        <w:spacing w:after="0" w:line="1"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When the sales contract or purchase order contains no acceptance agreement or lapsing acceptance provision and the Company can objectively demonstrate that the tool meets all of the required acceptance criteria;</w:t>
      </w:r>
    </w:p>
    <w:p>
      <w:pPr>
        <w:spacing w:after="0" w:line="1" w:lineRule="exact"/>
        <w:rPr>
          <w:rFonts w:ascii="Arial" w:cs="Arial" w:eastAsia="Arial" w:hAnsi="Arial"/>
          <w:sz w:val="15"/>
          <w:szCs w:val="15"/>
          <w:color w:val="auto"/>
        </w:rPr>
      </w:pPr>
    </w:p>
    <w:p>
      <w:pPr>
        <w:ind w:left="410" w:hanging="410"/>
        <w:spacing w:after="0" w:line="251" w:lineRule="auto"/>
        <w:tabs>
          <w:tab w:leader="none" w:pos="41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When the customer withholds acceptance due to issues unrelated to product performance, in which case revenue is recognized when the system is performing as intended and meets predetermined specifications; or</w:t>
      </w:r>
    </w:p>
    <w:p>
      <w:pPr>
        <w:spacing w:after="0" w:line="1" w:lineRule="exact"/>
        <w:rPr>
          <w:rFonts w:ascii="Arial" w:cs="Arial" w:eastAsia="Arial" w:hAnsi="Arial"/>
          <w:sz w:val="15"/>
          <w:szCs w:val="15"/>
          <w:color w:val="auto"/>
        </w:rPr>
      </w:pPr>
    </w:p>
    <w:p>
      <w:pPr>
        <w:ind w:left="410" w:hanging="410"/>
        <w:spacing w:after="0"/>
        <w:tabs>
          <w:tab w:leader="none" w:pos="41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When the Company’s sales arrangements do not include a general right of return.</w:t>
      </w:r>
    </w:p>
    <w:p>
      <w:pPr>
        <w:spacing w:after="0" w:line="180"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The Company offers post-warranty period services, which consist principally of the installation and replacement of parts and small-scale modifications to the equipment. The related revenue and costs of revenue are recognized when parts have been delivered and installed and the customers have obtained control of the parts. The Company does not expect revenue from extended maintenance service contracts to represent a material portion of its revenue in the future.</w:t>
      </w:r>
    </w:p>
    <w:p>
      <w:pPr>
        <w:spacing w:after="0" w:line="308"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95" w:name="page96"/>
    <w:bookmarkEnd w:id="9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These costs are recorded within sales and marketing expenses.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does not incur any costs to fulfill the contracts with customers that are not already reported in compliance with another applicable standard (for example, inventory or plant, property and equipment).</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Cost of Revenue</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Research and Development Costs</w:t>
      </w:r>
    </w:p>
    <w:p>
      <w:pPr>
        <w:spacing w:after="0" w:line="190" w:lineRule="exact"/>
        <w:rPr>
          <w:sz w:val="20"/>
          <w:szCs w:val="20"/>
          <w:color w:val="auto"/>
        </w:rPr>
      </w:pPr>
    </w:p>
    <w:p>
      <w:pPr>
        <w:jc w:val="both"/>
        <w:ind w:right="20"/>
        <w:spacing w:after="0" w:line="356" w:lineRule="auto"/>
        <w:rPr>
          <w:sz w:val="20"/>
          <w:szCs w:val="20"/>
          <w:color w:val="auto"/>
        </w:rPr>
      </w:pPr>
      <w:r>
        <w:rPr>
          <w:rFonts w:ascii="Arial" w:cs="Arial" w:eastAsia="Arial" w:hAnsi="Arial"/>
          <w:sz w:val="13"/>
          <w:szCs w:val="13"/>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Shipping and Handling Costs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Shipping and handling costs, which relate to transportation of products to customer locations, are charged to selling and marketing expense. For the years ended December 31, 2021, 2020 and 2019, shipping and handling costs included in sales and marketing expenses were $923, $76, and $172,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Borrowing Costs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Warranty</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For each of its products, the Company generally provides a standard assurance type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Warranty obligations are included in other payables and accrued expenses in the consolidated balance sheets. The following table shows changes in the Company’s warranty obligations for the years ended December 31, 2021, 2020 and 2019 respectively.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6" w:name="page97"/>
    <w:bookmarkEnd w:id="96"/>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3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9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center"/>
              <w:ind w:left="105"/>
              <w:spacing w:after="0"/>
              <w:rPr>
                <w:sz w:val="20"/>
                <w:szCs w:val="20"/>
                <w:color w:val="auto"/>
              </w:rPr>
            </w:pPr>
            <w:r>
              <w:rPr>
                <w:rFonts w:ascii="Arial" w:cs="Arial" w:eastAsia="Arial" w:hAnsi="Arial"/>
                <w:sz w:val="15"/>
                <w:szCs w:val="15"/>
                <w:b w:val="1"/>
                <w:bCs w:val="1"/>
                <w:color w:val="auto"/>
                <w:w w:val="91"/>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2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485"/>
              <w:spacing w:after="0"/>
              <w:rPr>
                <w:sz w:val="20"/>
                <w:szCs w:val="20"/>
                <w:color w:val="auto"/>
              </w:rPr>
            </w:pPr>
            <w:r>
              <w:rPr>
                <w:rFonts w:ascii="Arial" w:cs="Arial" w:eastAsia="Arial" w:hAnsi="Arial"/>
                <w:sz w:val="15"/>
                <w:szCs w:val="15"/>
                <w:color w:val="auto"/>
                <w:w w:val="85"/>
              </w:rPr>
              <w:t>2,811</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Additions</w:t>
            </w:r>
          </w:p>
        </w:tc>
        <w:tc>
          <w:tcPr>
            <w:tcW w:w="2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5,026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left="245"/>
              <w:spacing w:after="0"/>
              <w:rPr>
                <w:sz w:val="20"/>
                <w:szCs w:val="20"/>
                <w:color w:val="auto"/>
              </w:rPr>
            </w:pPr>
            <w:r>
              <w:rPr>
                <w:rFonts w:ascii="Arial" w:cs="Arial" w:eastAsia="Arial" w:hAnsi="Arial"/>
                <w:sz w:val="15"/>
                <w:szCs w:val="15"/>
                <w:color w:val="auto"/>
                <w:w w:val="85"/>
              </w:rPr>
              <w:t>3,101</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2,105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Utilized</w:t>
            </w:r>
          </w:p>
        </w:tc>
        <w:tc>
          <w:tcPr>
            <w:tcW w:w="2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(2,370)</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left="245"/>
              <w:spacing w:after="0"/>
              <w:rPr>
                <w:sz w:val="20"/>
                <w:szCs w:val="20"/>
                <w:color w:val="auto"/>
              </w:rPr>
            </w:pPr>
            <w:r>
              <w:rPr>
                <w:rFonts w:ascii="Arial" w:cs="Arial" w:eastAsia="Arial" w:hAnsi="Arial"/>
                <w:sz w:val="15"/>
                <w:szCs w:val="15"/>
                <w:color w:val="auto"/>
                <w:w w:val="92"/>
              </w:rPr>
              <w:t>(1,937)</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Balance at end of period</w:t>
            </w:r>
          </w:p>
        </w:tc>
        <w:tc>
          <w:tcPr>
            <w:tcW w:w="3460" w:type="dxa"/>
            <w:vAlign w:val="bottom"/>
            <w:gridSpan w:val="2"/>
          </w:tcPr>
          <w:p>
            <w:pPr>
              <w:jc w:val="right"/>
              <w:ind w:right="565"/>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6,631</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center"/>
              <w:ind w:left="245"/>
              <w:spacing w:after="0"/>
              <w:rPr>
                <w:sz w:val="20"/>
                <w:szCs w:val="20"/>
                <w:color w:val="auto"/>
              </w:rPr>
            </w:pPr>
            <w:r>
              <w:rPr>
                <w:rFonts w:ascii="Arial" w:cs="Arial" w:eastAsia="Arial" w:hAnsi="Arial"/>
                <w:sz w:val="15"/>
                <w:szCs w:val="15"/>
                <w:color w:val="auto"/>
                <w:w w:val="85"/>
              </w:rPr>
              <w:t>3,975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2,811</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56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Government Subsidies</w:t>
      </w:r>
    </w:p>
    <w:p>
      <w:pPr>
        <w:spacing w:after="0" w:line="190" w:lineRule="exact"/>
        <w:rPr>
          <w:sz w:val="20"/>
          <w:szCs w:val="20"/>
          <w:color w:val="auto"/>
        </w:rPr>
      </w:pPr>
    </w:p>
    <w:p>
      <w:pPr>
        <w:jc w:val="both"/>
        <w:ind w:left="10"/>
        <w:spacing w:after="0" w:line="303" w:lineRule="auto"/>
        <w:rPr>
          <w:sz w:val="20"/>
          <w:szCs w:val="20"/>
          <w:color w:val="auto"/>
        </w:rPr>
      </w:pPr>
      <w:r>
        <w:rPr>
          <w:rFonts w:ascii="Arial" w:cs="Arial" w:eastAsia="Arial" w:hAnsi="Arial"/>
          <w:sz w:val="13"/>
          <w:szCs w:val="13"/>
          <w:color w:val="auto"/>
        </w:rPr>
        <w:t>ACM Shanghai has received seven special government grants.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As of December 31, 2021, the fourth and fifth grants had been fully utilized. The sixth grant was made in 2020, and relates to the development of other cleaning technologies. The seventh grant was made in 2021, and relates to the development of the R&amp;D and production center in the Lin-gang Special Area of Shanghai. These governmental authorities provide significant funding, although ACM Shanghai and ACM Shengwei is also required to invest certain amounts in the projects.</w:t>
      </w:r>
    </w:p>
    <w:p>
      <w:pPr>
        <w:spacing w:after="0" w:line="135" w:lineRule="exact"/>
        <w:rPr>
          <w:sz w:val="20"/>
          <w:szCs w:val="20"/>
          <w:color w:val="auto"/>
        </w:rPr>
      </w:pPr>
    </w:p>
    <w:p>
      <w:pPr>
        <w:jc w:val="both"/>
        <w:ind w:left="10"/>
        <w:spacing w:after="0" w:line="264" w:lineRule="auto"/>
        <w:rPr>
          <w:sz w:val="20"/>
          <w:szCs w:val="20"/>
          <w:color w:val="auto"/>
        </w:rPr>
      </w:pPr>
      <w:r>
        <w:rPr>
          <w:rFonts w:ascii="Arial" w:cs="Arial" w:eastAsia="Arial" w:hAnsi="Arial"/>
          <w:sz w:val="15"/>
          <w:szCs w:val="15"/>
          <w:color w:val="auto"/>
        </w:rPr>
        <w:t>The governmental grants contain certain operating conditions, and the Company is required to go through a government due diligence process once the project is complete. The grants therefore are recorded as long-term liabilities upon receipt, although the Company is not required to return any funds it receives. Grant amounts are recognized in our statements of operations and comprehensive income as follows:</w:t>
      </w:r>
    </w:p>
    <w:p>
      <w:pPr>
        <w:spacing w:after="0" w:line="155" w:lineRule="exact"/>
        <w:rPr>
          <w:sz w:val="20"/>
          <w:szCs w:val="20"/>
          <w:color w:val="auto"/>
        </w:rPr>
      </w:pPr>
    </w:p>
    <w:p>
      <w:pPr>
        <w:jc w:val="both"/>
        <w:ind w:left="670" w:hanging="364"/>
        <w:spacing w:after="0" w:line="256" w:lineRule="auto"/>
        <w:tabs>
          <w:tab w:leader="none" w:pos="670" w:val="left"/>
        </w:tabs>
        <w:numPr>
          <w:ilvl w:val="0"/>
          <w:numId w:val="77"/>
        </w:numPr>
        <w:rPr>
          <w:rFonts w:ascii="Arial" w:cs="Arial" w:eastAsia="Arial" w:hAnsi="Arial"/>
          <w:sz w:val="15"/>
          <w:szCs w:val="15"/>
          <w:color w:val="auto"/>
        </w:rPr>
      </w:pPr>
      <w:r>
        <w:rPr>
          <w:rFonts w:ascii="Arial" w:cs="Arial" w:eastAsia="Arial" w:hAnsi="Arial"/>
          <w:sz w:val="15"/>
          <w:szCs w:val="15"/>
          <w:color w:val="auto"/>
        </w:rPr>
        <w:t>Government subsidies relating to current expenses are recorded as reductions of those expenses in the periods in which the current expenses are recorded. For the years ended December 31, 2021, 2020 and 2019, related government subsidies recognized as reductions of relevant expenses in the consolidated statements of operations and comprehensive income were $11,260, $2,658 and $3,195, respectively.</w:t>
      </w:r>
    </w:p>
    <w:p>
      <w:pPr>
        <w:jc w:val="both"/>
        <w:ind w:left="670" w:hanging="364"/>
        <w:spacing w:after="0" w:line="257" w:lineRule="auto"/>
        <w:tabs>
          <w:tab w:leader="none" w:pos="670" w:val="left"/>
        </w:tabs>
        <w:numPr>
          <w:ilvl w:val="0"/>
          <w:numId w:val="77"/>
        </w:numPr>
        <w:rPr>
          <w:rFonts w:ascii="Arial" w:cs="Arial" w:eastAsia="Arial" w:hAnsi="Arial"/>
          <w:sz w:val="15"/>
          <w:szCs w:val="15"/>
          <w:color w:val="auto"/>
        </w:rPr>
      </w:pPr>
      <w:r>
        <w:rPr>
          <w:rFonts w:ascii="Arial" w:cs="Arial" w:eastAsia="Arial" w:hAnsi="Arial"/>
          <w:sz w:val="15"/>
          <w:szCs w:val="15"/>
          <w:color w:val="auto"/>
        </w:rPr>
        <w:t>Government subsidies related to depreciable assets are credited to income over the useful lives of the related assets for which the grant was received. For the years ended December 31, 2021, 2020 and 2019, related government subsidies recognized as other income in the consolidated statements of operations and comprehensive income were $200, $149, and $147, respectively.</w:t>
      </w:r>
    </w:p>
    <w:p>
      <w:pPr>
        <w:spacing w:after="0" w:line="161"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Unearned government subsidies received are deferred for recognition and recorded as other long-term liabilities (note 13) in the balance sheet until the criteria for such recognition are satisfied.</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u w:val="single" w:color="auto"/>
          <w:color w:val="auto"/>
        </w:rPr>
        <w:t>Stock-based Compensation</w:t>
      </w:r>
    </w:p>
    <w:p>
      <w:pPr>
        <w:spacing w:after="0" w:line="190" w:lineRule="exact"/>
        <w:rPr>
          <w:sz w:val="20"/>
          <w:szCs w:val="20"/>
          <w:color w:val="auto"/>
        </w:rPr>
      </w:pPr>
    </w:p>
    <w:p>
      <w:pPr>
        <w:ind w:left="10"/>
        <w:spacing w:after="0" w:line="276" w:lineRule="auto"/>
        <w:rPr>
          <w:sz w:val="20"/>
          <w:szCs w:val="20"/>
          <w:color w:val="auto"/>
        </w:rPr>
      </w:pPr>
      <w:r>
        <w:rPr>
          <w:rFonts w:ascii="Arial" w:cs="Arial" w:eastAsia="Arial" w:hAnsi="Arial"/>
          <w:sz w:val="15"/>
          <w:szCs w:val="15"/>
          <w:color w:val="auto"/>
        </w:rPr>
        <w:t xml:space="preserve">ACM grants stock options to employees and non-employee consultants and directors and accounts for those stock-based awards in accordance with FASB ASC Topic 718, </w:t>
      </w:r>
      <w:r>
        <w:rPr>
          <w:rFonts w:ascii="Arial" w:cs="Arial" w:eastAsia="Arial" w:hAnsi="Arial"/>
          <w:sz w:val="15"/>
          <w:szCs w:val="15"/>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 Stock Compensation.</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3"/>
          <w:szCs w:val="13"/>
          <w:color w:val="auto"/>
        </w:rPr>
        <w:t>Stock-based awards granted to employees and non-employee consultants and directors are measured at the fair value of the awards on the grant date and are recognized as expenses either</w:t>
      </w:r>
    </w:p>
    <w:p>
      <w:pPr>
        <w:spacing w:after="0" w:line="41" w:lineRule="exact"/>
        <w:rPr>
          <w:sz w:val="20"/>
          <w:szCs w:val="20"/>
          <w:color w:val="auto"/>
        </w:rPr>
      </w:pPr>
    </w:p>
    <w:p>
      <w:pPr>
        <w:jc w:val="both"/>
        <w:ind w:left="10" w:hanging="10"/>
        <w:spacing w:after="0" w:line="255" w:lineRule="auto"/>
        <w:tabs>
          <w:tab w:leader="none" w:pos="226" w:val="left"/>
        </w:tabs>
        <w:numPr>
          <w:ilvl w:val="0"/>
          <w:numId w:val="78"/>
        </w:numPr>
        <w:rPr>
          <w:rFonts w:ascii="Arial" w:cs="Arial" w:eastAsia="Arial" w:hAnsi="Arial"/>
          <w:sz w:val="15"/>
          <w:szCs w:val="15"/>
          <w:color w:val="auto"/>
        </w:rPr>
      </w:pPr>
      <w:r>
        <w:rPr>
          <w:rFonts w:ascii="Arial" w:cs="Arial" w:eastAsia="Arial" w:hAnsi="Arial"/>
          <w:sz w:val="15"/>
          <w:szCs w:val="15"/>
          <w:color w:val="auto"/>
        </w:rPr>
        <w:t>immediately on grant, if no vesting conditions are required or (b) using the graded vesting method, net of estimated forfeitures, over the requisite service period. The fair value of stock options is determined using the Black-Scholes valuation model when there is only service condition attached or the Monte Carlo valuation model when there is performance condition attached. Stock-based compensation expense, when recognized, is charged to the category of operating expense corresponding to the service function of the employees and non-employee consultants and directors.</w:t>
      </w:r>
    </w:p>
    <w:p>
      <w:pPr>
        <w:spacing w:after="0" w:line="316"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97" w:name="page98"/>
    <w:bookmarkEnd w:id="9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Income Taxes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gridSpan w:val="3"/>
          </w:tcPr>
          <w:p>
            <w:pPr>
              <w:spacing w:after="0"/>
              <w:rPr>
                <w:sz w:val="20"/>
                <w:szCs w:val="20"/>
                <w:color w:val="auto"/>
              </w:rPr>
            </w:pPr>
            <w:r>
              <w:rPr>
                <w:rFonts w:ascii="Arial" w:cs="Arial" w:eastAsia="Arial" w:hAnsi="Arial"/>
                <w:sz w:val="15"/>
                <w:szCs w:val="15"/>
                <w:color w:val="auto"/>
              </w:rPr>
              <w:t>Basic and Diluted Net Income per Common Share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20" w:type="dxa"/>
            <w:vAlign w:val="bottom"/>
            <w:gridSpan w:val="2"/>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7320" w:type="dxa"/>
            <w:vAlign w:val="bottom"/>
            <w:gridSpan w:val="3"/>
          </w:tcPr>
          <w:p>
            <w:pPr>
              <w:spacing w:after="0"/>
              <w:rPr>
                <w:sz w:val="20"/>
                <w:szCs w:val="20"/>
                <w:color w:val="auto"/>
              </w:rPr>
            </w:pPr>
            <w:r>
              <w:rPr>
                <w:rFonts w:ascii="Arial" w:cs="Arial" w:eastAsia="Arial" w:hAnsi="Arial"/>
                <w:sz w:val="15"/>
                <w:szCs w:val="15"/>
                <w:color w:val="auto"/>
              </w:rPr>
              <w:t>Basic and diluted net income per common share are calculated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gridSpan w:val="3"/>
          </w:tcPr>
          <w:p>
            <w:pPr>
              <w:spacing w:after="0"/>
              <w:rPr>
                <w:sz w:val="20"/>
                <w:szCs w:val="20"/>
                <w:color w:val="auto"/>
              </w:rPr>
            </w:pPr>
            <w:r>
              <w:rPr>
                <w:rFonts w:ascii="Arial" w:cs="Arial" w:eastAsia="Arial" w:hAnsi="Arial"/>
                <w:sz w:val="15"/>
                <w:szCs w:val="15"/>
                <w:color w:val="auto"/>
              </w:rPr>
              <w:t>Numerator: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42,921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21,677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19,458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gridSpan w:val="2"/>
          </w:tcPr>
          <w:p>
            <w:pPr>
              <w:ind w:left="80"/>
              <w:spacing w:after="0"/>
              <w:rPr>
                <w:sz w:val="20"/>
                <w:szCs w:val="20"/>
                <w:color w:val="auto"/>
              </w:rPr>
            </w:pPr>
            <w:r>
              <w:rPr>
                <w:rFonts w:ascii="Arial" w:cs="Arial" w:eastAsia="Arial" w:hAnsi="Arial"/>
                <w:sz w:val="15"/>
                <w:szCs w:val="15"/>
                <w:color w:val="auto"/>
              </w:rPr>
              <w:t>Less: Net income attributable to non-controlling interests and redeemable non-controlling interests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5,164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2,897</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available to common stockholders, basic</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37,757</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18,780</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18,894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gridSpan w:val="2"/>
          </w:tcPr>
          <w:p>
            <w:pPr>
              <w:ind w:left="100"/>
              <w:spacing w:after="0"/>
              <w:rPr>
                <w:sz w:val="20"/>
                <w:szCs w:val="20"/>
                <w:color w:val="auto"/>
              </w:rPr>
            </w:pPr>
            <w:r>
              <w:rPr>
                <w:rFonts w:ascii="Arial" w:cs="Arial" w:eastAsia="Arial" w:hAnsi="Arial"/>
                <w:sz w:val="15"/>
                <w:szCs w:val="15"/>
                <w:color w:val="auto"/>
              </w:rPr>
              <w:t>Less: Dilutive effect arising from share-based awards by ACM Shanghai</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available to common stockholders, diluted</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37,649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18,780</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300" w:type="dxa"/>
            <w:vAlign w:val="bottom"/>
            <w:gridSpan w:val="2"/>
          </w:tcPr>
          <w:p>
            <w:pPr>
              <w:spacing w:after="0" w:line="167" w:lineRule="exact"/>
              <w:rPr>
                <w:sz w:val="20"/>
                <w:szCs w:val="20"/>
                <w:color w:val="auto"/>
              </w:rPr>
            </w:pPr>
            <w:r>
              <w:rPr>
                <w:rFonts w:ascii="Arial" w:cs="Arial" w:eastAsia="Arial" w:hAnsi="Arial"/>
                <w:sz w:val="15"/>
                <w:szCs w:val="15"/>
                <w:color w:val="auto"/>
              </w:rPr>
              <w:t>Weighted average shares outstanding, basic</w:t>
            </w:r>
          </w:p>
        </w:tc>
        <w:tc>
          <w:tcPr>
            <w:tcW w:w="240" w:type="dxa"/>
            <w:vAlign w:val="bottom"/>
          </w:tcPr>
          <w:p>
            <w:pPr>
              <w:spacing w:after="0"/>
              <w:rPr>
                <w:sz w:val="14"/>
                <w:szCs w:val="14"/>
                <w:color w:val="auto"/>
              </w:rPr>
            </w:pP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19,218,236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18,233,361</w:t>
            </w:r>
          </w:p>
        </w:tc>
        <w:tc>
          <w:tcPr>
            <w:tcW w:w="220" w:type="dxa"/>
            <w:vAlign w:val="bottom"/>
          </w:tcPr>
          <w:p>
            <w:pPr>
              <w:spacing w:after="0"/>
              <w:rPr>
                <w:sz w:val="14"/>
                <w:szCs w:val="14"/>
                <w:color w:val="auto"/>
              </w:rPr>
            </w:pPr>
          </w:p>
        </w:tc>
        <w:tc>
          <w:tcPr>
            <w:tcW w:w="100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16,800,623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Effect of dilutive securities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2,567,336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2,950,108</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2,334,874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gridSpan w:val="2"/>
          </w:tcPr>
          <w:p>
            <w:pPr>
              <w:ind w:left="80"/>
              <w:spacing w:after="0"/>
              <w:rPr>
                <w:sz w:val="20"/>
                <w:szCs w:val="20"/>
                <w:color w:val="auto"/>
              </w:rPr>
            </w:pPr>
            <w:r>
              <w:rPr>
                <w:rFonts w:ascii="Arial" w:cs="Arial" w:eastAsia="Arial" w:hAnsi="Arial"/>
                <w:sz w:val="15"/>
                <w:szCs w:val="15"/>
                <w:color w:val="auto"/>
              </w:rPr>
              <w:t>Weighted average shares outstanding, diluted</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21,785,572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21,183,469</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19,135,497</w:t>
            </w:r>
          </w:p>
        </w:tc>
        <w:tc>
          <w:tcPr>
            <w:tcW w:w="0" w:type="dxa"/>
            <w:vAlign w:val="bottom"/>
          </w:tcPr>
          <w:p>
            <w:pPr>
              <w:spacing w:after="0"/>
              <w:rPr>
                <w:sz w:val="1"/>
                <w:szCs w:val="1"/>
                <w:color w:val="auto"/>
              </w:rPr>
            </w:pPr>
          </w:p>
        </w:tc>
      </w:tr>
      <w:tr>
        <w:trPr>
          <w:trHeight w:val="20"/>
        </w:trPr>
        <w:tc>
          <w:tcPr>
            <w:tcW w:w="302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restart"/>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4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00" w:type="dxa"/>
            <w:vAlign w:val="bottom"/>
            <w:gridSpan w:val="2"/>
          </w:tcPr>
          <w:p>
            <w:pPr>
              <w:spacing w:after="0"/>
              <w:rPr>
                <w:sz w:val="20"/>
                <w:szCs w:val="20"/>
                <w:color w:val="auto"/>
              </w:rPr>
            </w:pPr>
            <w:r>
              <w:rPr>
                <w:rFonts w:ascii="Arial" w:cs="Arial" w:eastAsia="Arial" w:hAnsi="Arial"/>
                <w:sz w:val="15"/>
                <w:szCs w:val="15"/>
                <w:color w:val="auto"/>
              </w:rPr>
              <w:t>Net income per common share: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Basic</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300" w:type="dxa"/>
            <w:vAlign w:val="bottom"/>
            <w:gridSpan w:val="2"/>
          </w:tcPr>
          <w:p>
            <w:pPr>
              <w:ind w:left="80"/>
              <w:spacing w:after="0" w:line="167" w:lineRule="exact"/>
              <w:rPr>
                <w:sz w:val="20"/>
                <w:szCs w:val="20"/>
                <w:color w:val="auto"/>
              </w:rPr>
            </w:pPr>
            <w:r>
              <w:rPr>
                <w:rFonts w:ascii="Arial" w:cs="Arial" w:eastAsia="Arial" w:hAnsi="Arial"/>
                <w:sz w:val="15"/>
                <w:szCs w:val="15"/>
                <w:color w:val="auto"/>
              </w:rPr>
              <w:t>Diluted</w:t>
            </w:r>
          </w:p>
        </w:tc>
        <w:tc>
          <w:tcPr>
            <w:tcW w:w="240" w:type="dxa"/>
            <w:vAlign w:val="bottom"/>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1.73</w:t>
            </w:r>
          </w:p>
        </w:tc>
        <w:tc>
          <w:tcPr>
            <w:tcW w:w="220" w:type="dxa"/>
            <w:vAlign w:val="bottom"/>
          </w:tcPr>
          <w:p>
            <w:pPr>
              <w:spacing w:after="0"/>
              <w:rPr>
                <w:sz w:val="14"/>
                <w:szCs w:val="14"/>
                <w:color w:val="auto"/>
              </w:rPr>
            </w:pPr>
          </w:p>
        </w:tc>
        <w:tc>
          <w:tcPr>
            <w:tcW w:w="240" w:type="dxa"/>
            <w:vAlign w:val="bottom"/>
          </w:tcPr>
          <w:p>
            <w:pPr>
              <w:jc w:val="right"/>
              <w:ind w:right="85"/>
              <w:spacing w:after="0" w:line="167" w:lineRule="exact"/>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0.89</w:t>
            </w:r>
          </w:p>
        </w:tc>
        <w:tc>
          <w:tcPr>
            <w:tcW w:w="220" w:type="dxa"/>
            <w:vAlign w:val="bottom"/>
          </w:tcPr>
          <w:p>
            <w:pPr>
              <w:jc w:val="right"/>
              <w:ind w:right="65"/>
              <w:spacing w:after="0" w:line="167"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Basic and diluted net income per common share are presented using the two-class method, which allocates undistributed earnings to common stock and any participating securities according to dividend rights and participation rights on a proportionate basis. Under the two-class method, basic net income per common share is computed by dividing the sum of distributed and undistributed earnings attributable to common stockholders by the weighted average number of shares of common stock outstanding during the period. ACM did not have any participating securities outstanding during the three-year period ending December 31, 2021.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8" w:name="page99"/>
    <w:bookmarkEnd w:id="9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years ended December 31, 2021, 2020 and 2019, the net income per common share attributable to each class is the same under the “two-class” method. As such, the two classes of common stock have been presented on a combined basis in the consolidated statements of operations and comprehensive income and in the above computation of net income per common share.</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Diluted and diluted net income per common share are presented using the two-class method, which allocates undistributed earnings to common stock and any participating securities according to dividend rights and participation rights on a proportionate basis. Under the two-class method, basic net income (per common share is computed by dividing the sum of distributed and undistributed earnings attributable to common stockholders by the weighted average number of shares of common stock outstanding during the period. ACM did not have any participating securities outstanding during the three-year period ending December 31, 2021.</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Diluted net income per common share reflects the potential dilution from securities, including stock options and issued warrants, that could share in ACM’s earnings. Certain potential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98,800, 78,000 and 606,000 the years ended December 31, 2021, 2020 and 2019,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Comprehensive Income Attributable to the Company</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 xml:space="preserve">The Company applies FASB ASC Topic 220, </w:t>
      </w:r>
      <w:r>
        <w:rPr>
          <w:rFonts w:ascii="Arial" w:cs="Arial" w:eastAsia="Arial" w:hAnsi="Arial"/>
          <w:sz w:val="15"/>
          <w:szCs w:val="15"/>
          <w:i w:val="1"/>
          <w:iCs w:val="1"/>
          <w:color w:val="auto"/>
        </w:rPr>
        <w:t>Comprehensive Income</w:t>
      </w:r>
      <w:r>
        <w:rPr>
          <w:rFonts w:ascii="Arial" w:cs="Arial" w:eastAsia="Arial" w:hAnsi="Arial"/>
          <w:sz w:val="15"/>
          <w:szCs w:val="15"/>
          <w:color w:val="auto"/>
        </w:rPr>
        <w:t>, which establishes standards for the reporting and display of comprehensive income or loss, requiring its components to be reported in a financial statement with the same prominence as other financial statements. The comprehensive income attributable to the Company was $42,009, $25,312, and $18,076 for the years ended December 31, 2021, 2020 and 2019,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Statutory reserves</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ACM Shanghai estimated a statutory surplus reserve of $8,312 and $4,388 based on an accumulated profit as of December 31, 2021 and 2020, respectively, which is included in the accumulated surplus in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Fair Value of Financial Instruments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9" w:name="page100"/>
    <w:bookmarkEnd w:id="9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Level 1: Valuations for assets and liabilities traded in active exchange markets. Valuations are obtained from readily available pricing sources for market transactions involving identical assets or liabilities.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Level 2: Valuations for assets and liabilities traded in less active dealer or broker markets. Valuations are obtained from third party pricing services for identical or similar assets or liabilities.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Measured or Disclosed on a Recurring Basis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i w:val="1"/>
          <w:iCs w:val="1"/>
          <w:color w:val="auto"/>
        </w:rPr>
        <w:t xml:space="preserve">Trading securities - </w:t>
      </w:r>
      <w:r>
        <w:rPr>
          <w:rFonts w:ascii="Arial" w:cs="Arial" w:eastAsia="Arial" w:hAnsi="Arial"/>
          <w:sz w:val="15"/>
          <w:szCs w:val="15"/>
          <w:color w:val="auto"/>
        </w:rPr>
        <w:t>The fair value of trading securities derives from the on quoted prices for identical securities in active markets at the balance sheet date, less a discount applied to</w:t>
      </w:r>
      <w:r>
        <w:rPr>
          <w:rFonts w:ascii="Arial" w:cs="Arial" w:eastAsia="Arial" w:hAnsi="Arial"/>
          <w:sz w:val="15"/>
          <w:szCs w:val="15"/>
          <w:i w:val="1"/>
          <w:iCs w:val="1"/>
          <w:color w:val="auto"/>
        </w:rPr>
        <w:t xml:space="preserve"> </w:t>
      </w:r>
      <w:r>
        <w:rPr>
          <w:rFonts w:ascii="Arial" w:cs="Arial" w:eastAsia="Arial" w:hAnsi="Arial"/>
          <w:sz w:val="15"/>
          <w:szCs w:val="15"/>
          <w:color w:val="auto"/>
        </w:rPr>
        <w:t>reflect the remaining lock-up period. The Company classifies the valuation techniques that use these inputs as Level 1 and Level 2 fair value measurement as of December 31, 2021 and 2022, respectively (note 16).</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i w:val="1"/>
          <w:iCs w:val="1"/>
          <w:color w:val="auto"/>
        </w:rPr>
        <w:t xml:space="preserve">Financial liability – </w:t>
      </w:r>
      <w:r>
        <w:rPr>
          <w:rFonts w:ascii="Arial" w:cs="Arial" w:eastAsia="Arial" w:hAnsi="Arial"/>
          <w:sz w:val="15"/>
          <w:szCs w:val="15"/>
          <w:color w:val="auto"/>
        </w:rPr>
        <w:t>The fair value of financial liability are classified within Level 3 as the fair values are measured based on the inputs linked to the choice of settlement by the counter</w:t>
      </w:r>
      <w:r>
        <w:rPr>
          <w:rFonts w:ascii="Arial" w:cs="Arial" w:eastAsia="Arial" w:hAnsi="Arial"/>
          <w:sz w:val="15"/>
          <w:szCs w:val="15"/>
          <w:i w:val="1"/>
          <w:iCs w:val="1"/>
          <w:color w:val="auto"/>
        </w:rPr>
        <w:t xml:space="preserve"> </w:t>
      </w:r>
      <w:r>
        <w:rPr>
          <w:rFonts w:ascii="Arial" w:cs="Arial" w:eastAsia="Arial" w:hAnsi="Arial"/>
          <w:sz w:val="15"/>
          <w:szCs w:val="15"/>
          <w:color w:val="auto"/>
        </w:rPr>
        <w:t>party that are unobservable in the market.</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i w:val="1"/>
          <w:iCs w:val="1"/>
          <w:color w:val="auto"/>
        </w:rPr>
        <w:t>Other financial items for disclosure purpose</w:t>
      </w:r>
      <w:r>
        <w:rPr>
          <w:rFonts w:ascii="Arial" w:cs="Arial" w:eastAsia="Arial" w:hAnsi="Arial"/>
          <w:sz w:val="15"/>
          <w:szCs w:val="15"/>
          <w:color w:val="auto"/>
        </w:rPr>
        <w:t>—The fair value of other financial items of the Company, other than long-term borrowings for disclosure purpose, including cash and cash</w:t>
      </w:r>
      <w:r>
        <w:rPr>
          <w:rFonts w:ascii="Arial" w:cs="Arial" w:eastAsia="Arial" w:hAnsi="Arial"/>
          <w:sz w:val="15"/>
          <w:szCs w:val="15"/>
          <w:i w:val="1"/>
          <w:iCs w:val="1"/>
          <w:color w:val="auto"/>
        </w:rPr>
        <w:t xml:space="preserve"> </w:t>
      </w:r>
      <w:r>
        <w:rPr>
          <w:rFonts w:ascii="Arial" w:cs="Arial" w:eastAsia="Arial" w:hAnsi="Arial"/>
          <w:sz w:val="15"/>
          <w:szCs w:val="15"/>
          <w:color w:val="auto"/>
        </w:rPr>
        <w:t>equivalents, accounts receivable, other receivables, short-term borrowings, accounts payable, advances from customers, and other payables and accrued expenses, approximate their carrying value due to their short-term nature. The carrying value of the long-term borrowings which are subject to fixed interest rate approximates its fair value as the market interest rate did not significantly change from the borrowing date to December 31, 2021.</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Operating and Financial Risks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Concentration of Credit Risk</w:t>
      </w:r>
    </w:p>
    <w:p>
      <w:pPr>
        <w:spacing w:after="0" w:line="19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Financial instruments that potentially subject the Company to credit risk consist principally of cash and cash equivalents, restricted cash and accounts receivable. The Company deposits and invests its cash with financial institutions that management believes are creditworthy.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0" w:name="page101"/>
    <w:bookmarkEnd w:id="10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is potentially subject to concentrations of credit risks in its accounts receivable. In the year ended December 31, 2021 and 2020, a total of two and three customers, respectively, individually accounted for greater than ten percent of the Company’s revenue:</w:t>
      </w:r>
    </w:p>
    <w:p>
      <w:pPr>
        <w:spacing w:after="0" w:line="142" w:lineRule="exact"/>
        <w:rPr>
          <w:sz w:val="20"/>
          <w:szCs w:val="20"/>
          <w:color w:val="auto"/>
        </w:rPr>
      </w:pPr>
    </w:p>
    <w:p>
      <w:pPr>
        <w:ind w:left="9460"/>
        <w:spacing w:after="0"/>
        <w:rPr>
          <w:sz w:val="20"/>
          <w:szCs w:val="20"/>
          <w:color w:val="auto"/>
        </w:rPr>
      </w:pPr>
      <w:r>
        <w:rPr>
          <w:rFonts w:ascii="Arial" w:cs="Arial" w:eastAsia="Arial" w:hAnsi="Arial"/>
          <w:sz w:val="15"/>
          <w:szCs w:val="15"/>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60" w:type="dxa"/>
            <w:vAlign w:val="bottom"/>
            <w:gridSpan w:val="2"/>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Customer A</w:t>
            </w:r>
          </w:p>
        </w:tc>
        <w:tc>
          <w:tcPr>
            <w:tcW w:w="7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420" w:type="dxa"/>
            <w:vAlign w:val="bottom"/>
            <w:gridSpan w:val="2"/>
          </w:tcPr>
          <w:p>
            <w:pPr>
              <w:spacing w:after="0"/>
              <w:rPr>
                <w:sz w:val="20"/>
                <w:szCs w:val="20"/>
                <w:color w:val="auto"/>
              </w:rPr>
            </w:pPr>
            <w:r>
              <w:rPr>
                <w:rFonts w:ascii="Arial" w:cs="Arial" w:eastAsia="Arial" w:hAnsi="Arial"/>
                <w:sz w:val="15"/>
                <w:szCs w:val="15"/>
                <w:color w:val="auto"/>
              </w:rPr>
              <w:t>Customer B</w:t>
            </w: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20.8%</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Customer C</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6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Total</w:t>
            </w:r>
          </w:p>
        </w:tc>
        <w:tc>
          <w:tcPr>
            <w:tcW w:w="7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48.9%</w:t>
            </w:r>
          </w:p>
        </w:tc>
        <w:tc>
          <w:tcPr>
            <w:tcW w:w="1240" w:type="dxa"/>
            <w:vAlign w:val="bottom"/>
            <w:gridSpan w:val="2"/>
          </w:tcPr>
          <w:p>
            <w:pPr>
              <w:jc w:val="right"/>
              <w:ind w:right="20"/>
              <w:spacing w:after="0"/>
              <w:rPr>
                <w:sz w:val="20"/>
                <w:szCs w:val="20"/>
                <w:color w:val="auto"/>
              </w:rPr>
            </w:pPr>
            <w:r>
              <w:rPr>
                <w:rFonts w:ascii="Arial" w:cs="Arial" w:eastAsia="Arial" w:hAnsi="Arial"/>
                <w:sz w:val="15"/>
                <w:szCs w:val="15"/>
                <w:color w:val="auto"/>
              </w:rPr>
              <w:t>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Rate Risk</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of December 31, 2021 and 2020, the balance of the Company’s short term bank borrowings (note 9), matured at various dates within the following year and did not expose the Company to interest rate risk. As of December 31, 2021, the balance of the Company’s long-term borrowings (note 12) carried a fixed interest rate and the Company may have been exposed to fair value interest rate risk.</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Liquidity Risk</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Company’s working capital at December 31, 2021 and 2020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Country Risk</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has significant investments in the PRC. The operating results of the Company may be adversely affected by changes in the political and social conditions in the PRC and by changes in PRC government policies with respect to laws and regulations, anti-inflationary measures, currency conversion and remittance abroad, and rates and methods of taxation, among other things.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Risk and Translation</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Company’s consolidated financial statements are presented in U.S. dollars, which is the Company’s reporting currency, while the functional currency of ACM’s subsidiaries is the Chinese Renminbi (“RMB”), and the Korean Won. Changes in the relative values of U.S. dollars and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fluctuations as marked to market at year-end are included in the consolidated statements of operations and comprehensive income. Total foreign currency translation adjustment was $4,695, $10,493 and ($899) for the years ended December 31, 2021, 2020 and 2019, respectively.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1" w:name="page102"/>
    <w:bookmarkEnd w:id="10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In accordance with FASB ASC Topic 830, </w:t>
      </w:r>
      <w:r>
        <w:rPr>
          <w:rFonts w:ascii="Arial" w:cs="Arial" w:eastAsia="Arial" w:hAnsi="Arial"/>
          <w:sz w:val="15"/>
          <w:szCs w:val="15"/>
          <w:i w:val="1"/>
          <w:iCs w:val="1"/>
          <w:color w:val="auto"/>
        </w:rPr>
        <w:t>Foreign Currency Matters</w:t>
      </w:r>
      <w:r>
        <w:rPr>
          <w:rFonts w:ascii="Arial" w:cs="Arial" w:eastAsia="Arial" w:hAnsi="Arial"/>
          <w:sz w:val="15"/>
          <w:szCs w:val="15"/>
          <w:color w:val="auto"/>
        </w:rPr>
        <w:t>, the Company translates assets and liabilities into U.S. dollars from RMB or Korean Won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Translations of amounts from RMB and Korean Won into U.S. dollars were made at the following exchange rates for the respective dates and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1"/>
              </w:rPr>
              <w:t>At December 31,</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1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14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147"/>
        </w:trPr>
        <w:tc>
          <w:tcPr>
            <w:tcW w:w="1740" w:type="dxa"/>
            <w:vAlign w:val="bottom"/>
            <w:tcBorders>
              <w:bottom w:val="single" w:sz="8" w:color="auto"/>
            </w:tcBorders>
          </w:tcPr>
          <w:p>
            <w:pPr>
              <w:spacing w:after="0" w:line="147" w:lineRule="exact"/>
              <w:rPr>
                <w:sz w:val="20"/>
                <w:szCs w:val="20"/>
                <w:color w:val="auto"/>
              </w:rPr>
            </w:pPr>
            <w:r>
              <w:rPr>
                <w:rFonts w:ascii="Arial" w:cs="Arial" w:eastAsia="Arial" w:hAnsi="Arial"/>
                <w:sz w:val="15"/>
                <w:szCs w:val="15"/>
                <w:color w:val="auto"/>
                <w:w w:val="87"/>
              </w:rPr>
              <w:t>Consolidated balance sheets:</w:t>
            </w:r>
          </w:p>
        </w:tc>
        <w:tc>
          <w:tcPr>
            <w:tcW w:w="5580" w:type="dxa"/>
            <w:vAlign w:val="bottom"/>
            <w:gridSpan w:val="2"/>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5"/>
        </w:trPr>
        <w:tc>
          <w:tcPr>
            <w:tcW w:w="7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RMB to $1.00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6.3757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6.5232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6.9784</w:t>
            </w:r>
          </w:p>
        </w:tc>
      </w:tr>
      <w:tr>
        <w:trPr>
          <w:trHeight w:val="190"/>
        </w:trPr>
        <w:tc>
          <w:tcPr>
            <w:tcW w:w="7320" w:type="dxa"/>
            <w:vAlign w:val="bottom"/>
            <w:gridSpan w:val="3"/>
          </w:tcPr>
          <w:p>
            <w:pPr>
              <w:spacing w:after="0"/>
              <w:rPr>
                <w:sz w:val="20"/>
                <w:szCs w:val="20"/>
                <w:color w:val="auto"/>
              </w:rPr>
            </w:pPr>
            <w:r>
              <w:rPr>
                <w:rFonts w:ascii="Arial" w:cs="Arial" w:eastAsia="Arial" w:hAnsi="Arial"/>
                <w:sz w:val="15"/>
                <w:szCs w:val="15"/>
                <w:color w:val="auto"/>
              </w:rPr>
              <w:t>KRW to $1.00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1,145.48</w:t>
            </w: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1,088.14</w:t>
            </w: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1,156.07</w:t>
            </w:r>
          </w:p>
        </w:tc>
      </w:tr>
      <w:tr>
        <w:trPr>
          <w:trHeight w:val="319"/>
        </w:trPr>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9"/>
              </w:rPr>
              <w:t>Consolidated statements of operations and comprehensive income:</w:t>
            </w:r>
          </w:p>
        </w:tc>
        <w:tc>
          <w:tcPr>
            <w:tcW w:w="3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73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RMB to $1.00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6.4515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6.8966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6.8966</w:t>
            </w:r>
          </w:p>
        </w:tc>
      </w:tr>
      <w:tr>
        <w:trPr>
          <w:trHeight w:val="190"/>
        </w:trPr>
        <w:tc>
          <w:tcPr>
            <w:tcW w:w="7320" w:type="dxa"/>
            <w:vAlign w:val="bottom"/>
            <w:gridSpan w:val="3"/>
          </w:tcPr>
          <w:p>
            <w:pPr>
              <w:spacing w:after="0"/>
              <w:rPr>
                <w:sz w:val="20"/>
                <w:szCs w:val="20"/>
                <w:color w:val="auto"/>
              </w:rPr>
            </w:pPr>
            <w:r>
              <w:rPr>
                <w:rFonts w:ascii="Arial" w:cs="Arial" w:eastAsia="Arial" w:hAnsi="Arial"/>
                <w:sz w:val="15"/>
                <w:szCs w:val="15"/>
                <w:color w:val="auto"/>
              </w:rPr>
              <w:t>KRW to $1.00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1,190.48</w:t>
            </w: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1,179.25</w:t>
            </w: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1,165.50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December 2019, the Financial Accounting Standards Board (the “FASB”) issued Accounting Standards Update (“ASU”) No. 2019-12, Income Taxes (Topic 740): Simplifying the Accounting for Income Taxes. ASU 2019-12 simplifies the accounting for income taxes by removing certain exceptions to the general principles in Topic 740. It also improves consistent application of and simplifies GAAP for other areas of Topic 740 by clarifying and amending existing guidance. The Company adopted ASU 2019-12 on January 1, 2021. The adoption of ASU 2019-12 did not have a material impact on the Company’s consolidated financial statements.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March 2020, the FASB issued ASU No. 2020-04, Reference Rate Reform (Topic 848): Facilitation of the Effects of Reference Rate Reform on Financial Reporting. ASU 2020-04 provide optional expedients and exceptions for applying GAAP to contracts, hedging relationships, and other transactions affected by reference rate reform. The Company adopted ASU 2020-04 on January 1, 2021. The adoption of ASU 2020-04 did not have a material impact on the Company’s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 Not Yet Adopted</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Instruments-Credit Losses (Topic 326): Measurement of Credit Losses on Financial Instruments</w:t>
      </w:r>
      <w:r>
        <w:rPr>
          <w:rFonts w:ascii="Arial" w:cs="Arial" w:eastAsia="Arial" w:hAnsi="Arial"/>
          <w:sz w:val="15"/>
          <w:szCs w:val="15"/>
          <w:color w:val="auto"/>
        </w:rPr>
        <w:t>. ASU 2016-13 replaced the pre-existing incurred loss impairment methodology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2" w:name="page103"/>
    <w:bookmarkEnd w:id="10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In October 2019, the FASB issued ASU 2019-10, </w:t>
      </w:r>
      <w:r>
        <w:rPr>
          <w:rFonts w:ascii="Arial" w:cs="Arial" w:eastAsia="Arial" w:hAnsi="Arial"/>
          <w:sz w:val="15"/>
          <w:szCs w:val="15"/>
          <w:i w:val="1"/>
          <w:iCs w:val="1"/>
          <w:color w:val="auto"/>
        </w:rPr>
        <w:t>Financial Instruments – Credit Losses (Topic 326), Derivatives and Hedging (Topic 815) and Leases (Topic 842)</w:t>
      </w:r>
      <w:r>
        <w:rPr>
          <w:rFonts w:ascii="Arial" w:cs="Arial" w:eastAsia="Arial" w:hAnsi="Arial"/>
          <w:sz w:val="15"/>
          <w:szCs w:val="15"/>
          <w:color w:val="auto"/>
        </w:rPr>
        <w:t>, which defers the effective date for public filers that are considered small reporting companies (“SRC”) as defined by the U.S. Securities and Exchange Commission (“SEC”) to fiscal years beginning after December 15, 2022, including interim periods within those fiscal years. Since the Company was eligible to be an SRC based on its SRC determination as of November 15, 2019 (which is the issuance date of ASU 2019-10) in accordance with SEC regulations, the Company will adopt the standards for the year beginning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have a minor impact on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REVENUE FROM CONTRACTS WITH CUSTOMERS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assesses revenues based upon the nature or type of goods or services it provides and the geographic location of the related business. The following tables present disaggregated revenue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jc w:val="center"/>
              <w:ind w:left="445"/>
              <w:spacing w:after="0"/>
              <w:rPr>
                <w:sz w:val="20"/>
                <w:szCs w:val="20"/>
                <w:color w:val="auto"/>
              </w:rPr>
            </w:pPr>
            <w:r>
              <w:rPr>
                <w:rFonts w:ascii="Arial" w:cs="Arial" w:eastAsia="Arial" w:hAnsi="Arial"/>
                <w:sz w:val="15"/>
                <w:szCs w:val="15"/>
                <w:b w:val="1"/>
                <w:bCs w:val="1"/>
                <w:color w:val="auto"/>
                <w:w w:val="91"/>
              </w:rPr>
              <w:t>Year Ended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Single Wafer Cleaning, Tahoe and Semi-Critical Cleaning 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189,208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131,248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ECP (front-end and packaging), Furnace and Other Technologies</w:t>
            </w: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33,210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13,343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6,900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Advanced Packaging (excluding ECP), Services &amp; Spares</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37,333</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12,033</w:t>
            </w: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10,124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b w:val="1"/>
                <w:bCs w:val="1"/>
                <w:color w:val="auto"/>
              </w:rPr>
              <w:t>Total Revenue By Product Category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259,751</w:t>
            </w:r>
          </w:p>
        </w:tc>
        <w:tc>
          <w:tcPr>
            <w:tcW w:w="2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b w:val="1"/>
                <w:bCs w:val="1"/>
                <w:color w:val="auto"/>
              </w:rPr>
              <w:t>156,624</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restart"/>
          </w:tcPr>
          <w:p>
            <w:pPr>
              <w:spacing w:after="0"/>
              <w:rPr>
                <w:sz w:val="14"/>
                <w:szCs w:val="14"/>
                <w:color w:val="auto"/>
              </w:rPr>
            </w:pPr>
          </w:p>
        </w:tc>
        <w:tc>
          <w:tcPr>
            <w:tcW w:w="7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260" w:type="dxa"/>
            <w:vAlign w:val="bottom"/>
            <w:gridSpan w:val="2"/>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Wet cleaning and other front-end processing tools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202,268</w:t>
            </w:r>
          </w:p>
        </w:tc>
        <w:tc>
          <w:tcPr>
            <w:tcW w:w="260" w:type="dxa"/>
            <w:vAlign w:val="bottom"/>
            <w:gridSpan w:val="2"/>
          </w:tcPr>
          <w:p>
            <w:pPr>
              <w:jc w:val="right"/>
              <w:ind w:right="85"/>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136,317</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90,935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Advanced packaging, other processing tools, services and spares</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57,483</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20,307</w:t>
            </w: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16,590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b w:val="1"/>
                <w:bCs w:val="1"/>
                <w:color w:val="auto"/>
              </w:rPr>
              <w:t>Total Revenue Front-end and Back-End</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259,751</w:t>
            </w:r>
          </w:p>
        </w:tc>
        <w:tc>
          <w:tcPr>
            <w:tcW w:w="2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b w:val="1"/>
                <w:bCs w:val="1"/>
                <w:color w:val="auto"/>
              </w:rPr>
              <w:t>156,624</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center"/>
              <w:ind w:left="445"/>
              <w:spacing w:after="0"/>
              <w:rPr>
                <w:sz w:val="20"/>
                <w:szCs w:val="20"/>
                <w:color w:val="auto"/>
              </w:rPr>
            </w:pPr>
            <w:r>
              <w:rPr>
                <w:rFonts w:ascii="Arial" w:cs="Arial" w:eastAsia="Arial" w:hAnsi="Arial"/>
                <w:sz w:val="15"/>
                <w:szCs w:val="15"/>
                <w:b w:val="1"/>
                <w:bCs w:val="1"/>
                <w:color w:val="auto"/>
                <w:w w:val="91"/>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Mainland China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258,615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154,359</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103,467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Other Regions</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rPr>
              <w:t>1,136</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2,265</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259,751</w:t>
            </w:r>
          </w:p>
        </w:tc>
        <w:tc>
          <w:tcPr>
            <w:tcW w:w="260" w:type="dxa"/>
            <w:vAlign w:val="bottom"/>
            <w:tcBorders>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156,624</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107,524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7320" w:type="dxa"/>
            <w:vAlign w:val="bottom"/>
            <w:gridSpan w:val="2"/>
          </w:tcPr>
          <w:p>
            <w:pPr>
              <w:spacing w:after="0"/>
              <w:rPr>
                <w:sz w:val="20"/>
                <w:szCs w:val="20"/>
                <w:color w:val="auto"/>
              </w:rPr>
            </w:pPr>
            <w:r>
              <w:rPr>
                <w:rFonts w:ascii="Arial" w:cs="Arial" w:eastAsia="Arial" w:hAnsi="Arial"/>
                <w:sz w:val="15"/>
                <w:szCs w:val="15"/>
                <w:b w:val="1"/>
                <w:bCs w:val="1"/>
                <w:color w:val="auto"/>
              </w:rPr>
              <w:t>NOTE 4 – ACCOUNTS RECEIVABLE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320" w:type="dxa"/>
            <w:vAlign w:val="bottom"/>
            <w:gridSpan w:val="2"/>
          </w:tcPr>
          <w:p>
            <w:pPr>
              <w:spacing w:after="0"/>
              <w:rPr>
                <w:sz w:val="20"/>
                <w:szCs w:val="20"/>
                <w:color w:val="auto"/>
              </w:rPr>
            </w:pPr>
            <w:r>
              <w:rPr>
                <w:rFonts w:ascii="Arial" w:cs="Arial" w:eastAsia="Arial" w:hAnsi="Arial"/>
                <w:sz w:val="15"/>
                <w:szCs w:val="15"/>
                <w:color w:val="auto"/>
              </w:rPr>
              <w:t>At December 31, 2021 and 2020, accounts receivable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5"/>
              <w:spacing w:after="0"/>
              <w:rPr>
                <w:sz w:val="20"/>
                <w:szCs w:val="20"/>
                <w:color w:val="auto"/>
              </w:rPr>
            </w:pPr>
            <w:r>
              <w:rPr>
                <w:rFonts w:ascii="Arial" w:cs="Arial" w:eastAsia="Arial" w:hAnsi="Arial"/>
                <w:sz w:val="15"/>
                <w:szCs w:val="15"/>
                <w:b w:val="1"/>
                <w:bCs w:val="1"/>
                <w:color w:val="auto"/>
                <w:w w:val="89"/>
              </w:rPr>
              <w:t>2021</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Accounts receivable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105,553</w:t>
            </w:r>
          </w:p>
        </w:tc>
        <w:tc>
          <w:tcPr>
            <w:tcW w:w="2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Less: Allowance for doubtful accounts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105,553</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 Company reviews accounts receivable on a periodic basis and makes general and specific allowances when there is doubt as to the collectability of individual balances. No allowance for doubtful accounts was considered necessary at December 31, 2021 and 2020.</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3" w:name="page104"/>
    <w:bookmarkEnd w:id="10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60" w:type="dxa"/>
            <w:vAlign w:val="bottom"/>
            <w:gridSpan w:val="2"/>
          </w:tcPr>
          <w:p>
            <w:pPr>
              <w:spacing w:after="0"/>
              <w:rPr>
                <w:sz w:val="20"/>
                <w:szCs w:val="20"/>
                <w:color w:val="auto"/>
              </w:rPr>
            </w:pPr>
            <w:r>
              <w:rPr>
                <w:rFonts w:ascii="Arial" w:cs="Arial" w:eastAsia="Arial" w:hAnsi="Arial"/>
                <w:sz w:val="15"/>
                <w:szCs w:val="15"/>
                <w:b w:val="1"/>
                <w:bCs w:val="1"/>
                <w:color w:val="auto"/>
              </w:rPr>
              <w:t>NOTE 5 – INVENTORIES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660" w:type="dxa"/>
            <w:vAlign w:val="bottom"/>
            <w:gridSpan w:val="2"/>
          </w:tcPr>
          <w:p>
            <w:pPr>
              <w:spacing w:after="0"/>
              <w:rPr>
                <w:sz w:val="20"/>
                <w:szCs w:val="20"/>
                <w:color w:val="auto"/>
              </w:rPr>
            </w:pPr>
            <w:r>
              <w:rPr>
                <w:rFonts w:ascii="Arial" w:cs="Arial" w:eastAsia="Arial" w:hAnsi="Arial"/>
                <w:sz w:val="15"/>
                <w:szCs w:val="15"/>
                <w:color w:val="auto"/>
              </w:rPr>
              <w:t>At December 31, 2021 and 2020, inventory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Raw materials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90,552</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32,391</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Work in process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35,840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23,871</w:t>
            </w:r>
          </w:p>
        </w:tc>
      </w:tr>
      <w:tr>
        <w:trPr>
          <w:trHeight w:val="184"/>
        </w:trPr>
        <w:tc>
          <w:tcPr>
            <w:tcW w:w="20" w:type="dxa"/>
            <w:vAlign w:val="bottom"/>
          </w:tcPr>
          <w:p>
            <w:pPr>
              <w:spacing w:after="0"/>
              <w:rPr>
                <w:sz w:val="15"/>
                <w:szCs w:val="15"/>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91,724</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32,377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Total inventory</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218,116</w:t>
            </w:r>
          </w:p>
        </w:tc>
        <w:tc>
          <w:tcPr>
            <w:tcW w:w="600" w:type="dxa"/>
            <w:vAlign w:val="bottom"/>
            <w:gridSpan w:val="2"/>
          </w:tcPr>
          <w:p>
            <w:pPr>
              <w:jc w:val="right"/>
              <w:ind w:right="225"/>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88,639</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At December 31, 2021 and 2020, the Company held an inventory reserve of $1,215 and $1,140 respectively. At December 31, 2021 and 2020, respectively, finished goods inventory included system shipments of first-tools to existing or prospective customers, for which ownership does not transfer until customer acceptance or customer purchase, totaling $91,724 and $32,377 respectively. At December 31, 2021 and 2020, the value of finished goods inventory for which customers are contractually obligated to take ownership upon acceptance totaled $71,889 and $20,834,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60" w:type="dxa"/>
            <w:vAlign w:val="bottom"/>
            <w:gridSpan w:val="2"/>
          </w:tcPr>
          <w:p>
            <w:pPr>
              <w:spacing w:after="0"/>
              <w:rPr>
                <w:sz w:val="20"/>
                <w:szCs w:val="20"/>
                <w:color w:val="auto"/>
              </w:rPr>
            </w:pPr>
            <w:r>
              <w:rPr>
                <w:rFonts w:ascii="Arial" w:cs="Arial" w:eastAsia="Arial" w:hAnsi="Arial"/>
                <w:sz w:val="15"/>
                <w:szCs w:val="15"/>
                <w:b w:val="1"/>
                <w:bCs w:val="1"/>
                <w:color w:val="auto"/>
              </w:rPr>
              <w:t>NOTE 6 – PROPERTY, PLANT AND EQUIPMENT, NET</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660" w:type="dxa"/>
            <w:vAlign w:val="bottom"/>
            <w:gridSpan w:val="2"/>
          </w:tcPr>
          <w:p>
            <w:pPr>
              <w:spacing w:after="0"/>
              <w:rPr>
                <w:sz w:val="20"/>
                <w:szCs w:val="20"/>
                <w:color w:val="auto"/>
              </w:rPr>
            </w:pPr>
            <w:r>
              <w:rPr>
                <w:rFonts w:ascii="Arial" w:cs="Arial" w:eastAsia="Arial" w:hAnsi="Arial"/>
                <w:sz w:val="15"/>
                <w:szCs w:val="15"/>
                <w:color w:val="auto"/>
              </w:rPr>
              <w:t>At December 31, 2021 and 2020, property, plant and equipment consisted of the following:</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w w:val="98"/>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Manufacturing equipment</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5,966</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Office equipment</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1,047</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Transportation equipment</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216</w:t>
            </w:r>
          </w:p>
        </w:tc>
      </w:tr>
      <w:tr>
        <w:trPr>
          <w:trHeight w:val="184"/>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Leasehold improvement</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4,134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2,398</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Total cost</w:t>
            </w: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14,336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9,627</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Less: Total accumulated depreciation</w:t>
            </w:r>
          </w:p>
        </w:tc>
        <w:tc>
          <w:tcPr>
            <w:tcW w:w="7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(5,900)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(3,745)</w:t>
            </w:r>
          </w:p>
        </w:tc>
      </w:tr>
      <w:tr>
        <w:trPr>
          <w:trHeight w:val="184"/>
        </w:trPr>
        <w:tc>
          <w:tcPr>
            <w:tcW w:w="20" w:type="dxa"/>
            <w:vAlign w:val="bottom"/>
          </w:tcPr>
          <w:p>
            <w:pPr>
              <w:spacing w:after="0"/>
              <w:rPr>
                <w:sz w:val="15"/>
                <w:szCs w:val="15"/>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Construction in progress</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5,606</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Total property, plant and equipment, net</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14,042</w:t>
            </w:r>
          </w:p>
        </w:tc>
        <w:tc>
          <w:tcPr>
            <w:tcW w:w="140" w:type="dxa"/>
            <w:vAlign w:val="bottom"/>
          </w:tcPr>
          <w:p>
            <w:pPr>
              <w:spacing w:after="0"/>
              <w:rPr>
                <w:sz w:val="15"/>
                <w:szCs w:val="15"/>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8,192</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Depreciation expense was $2,099, $826, and $713 the years ended December 31, 2021, 2020 and 2019, respectively. During the years ended December 31, 2021 and 2020, the Company retired certain fully depreciated manufacturing equipment with cost of $0 and $446,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60" w:type="dxa"/>
            <w:vAlign w:val="bottom"/>
            <w:gridSpan w:val="2"/>
          </w:tcPr>
          <w:p>
            <w:pPr>
              <w:spacing w:after="0"/>
              <w:rPr>
                <w:sz w:val="20"/>
                <w:szCs w:val="20"/>
                <w:color w:val="auto"/>
              </w:rPr>
            </w:pPr>
            <w:r>
              <w:rPr>
                <w:rFonts w:ascii="Arial" w:cs="Arial" w:eastAsia="Arial" w:hAnsi="Arial"/>
                <w:sz w:val="15"/>
                <w:szCs w:val="15"/>
                <w:b w:val="1"/>
                <w:bCs w:val="1"/>
                <w:color w:val="auto"/>
              </w:rPr>
              <w:t>NOTE 7 – LAND USE RIGHT, NET</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2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A summary of land use right is as follows: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4"/>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Land use right purchase amount</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9,966</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9,744</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Less: accumulated amortization</w:t>
            </w:r>
          </w:p>
        </w:tc>
        <w:tc>
          <w:tcPr>
            <w:tcW w:w="76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(299)</w:t>
            </w:r>
          </w:p>
        </w:tc>
        <w:tc>
          <w:tcPr>
            <w:tcW w:w="3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(98)</w:t>
            </w:r>
          </w:p>
        </w:tc>
      </w:tr>
      <w:tr>
        <w:trPr>
          <w:trHeight w:val="221"/>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Land use right, net</w:t>
            </w: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9,667</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9,646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2020 ACM Shanghai, through its wholly owned subsidiary Shengwei Research (Shanghai), Inc., entered into an agreement for a 50-year land use right in the Lingang region of Shanghai. In July 2020, Shengwei Research (Shanghai), Inc. began a multi-year construction project for a new 1,000,000 square foot development and production center that will incorporate new manufacturing systems and automation technologies, and will provide floor space to support significantly increase production capacity and related research and development activities.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4" w:name="page105"/>
    <w:bookmarkEnd w:id="104"/>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7820" w:type="dxa"/>
            <w:vAlign w:val="bottom"/>
          </w:tcPr>
          <w:p>
            <w:pPr>
              <w:jc w:val="center"/>
              <w:ind w:left="1685"/>
              <w:spacing w:after="0" w:line="158" w:lineRule="exact"/>
              <w:rPr>
                <w:sz w:val="20"/>
                <w:szCs w:val="20"/>
                <w:color w:val="auto"/>
              </w:rPr>
            </w:pPr>
            <w:r>
              <w:rPr>
                <w:rFonts w:ascii="Arial" w:cs="Arial" w:eastAsia="Arial" w:hAnsi="Arial"/>
                <w:sz w:val="15"/>
                <w:szCs w:val="15"/>
                <w:b w:val="1"/>
                <w:bCs w:val="1"/>
                <w:color w:val="auto"/>
              </w:rPr>
              <w:t>ACM RESEARCH, INC.</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20" w:type="dxa"/>
            <w:vAlign w:val="bottom"/>
          </w:tcPr>
          <w:p>
            <w:pPr>
              <w:jc w:val="center"/>
              <w:ind w:left="1665"/>
              <w:spacing w:after="0"/>
              <w:rPr>
                <w:sz w:val="20"/>
                <w:szCs w:val="20"/>
                <w:color w:val="auto"/>
              </w:rPr>
            </w:pPr>
            <w:r>
              <w:rPr>
                <w:rFonts w:ascii="Arial" w:cs="Arial" w:eastAsia="Arial" w:hAnsi="Arial"/>
                <w:sz w:val="15"/>
                <w:szCs w:val="15"/>
                <w:b w:val="1"/>
                <w:bCs w:val="1"/>
                <w:color w:val="auto"/>
                <w:w w:val="89"/>
              </w:rPr>
              <w:t>Notes to Consolidated Financial Statements</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20" w:type="dxa"/>
            <w:vAlign w:val="bottom"/>
          </w:tcPr>
          <w:p>
            <w:pPr>
              <w:jc w:val="center"/>
              <w:ind w:left="1665"/>
              <w:spacing w:after="0"/>
              <w:rPr>
                <w:sz w:val="20"/>
                <w:szCs w:val="20"/>
                <w:color w:val="auto"/>
              </w:rPr>
            </w:pPr>
            <w:r>
              <w:rPr>
                <w:rFonts w:ascii="Arial" w:cs="Arial" w:eastAsia="Arial" w:hAnsi="Arial"/>
                <w:sz w:val="15"/>
                <w:szCs w:val="15"/>
                <w:i w:val="1"/>
                <w:iCs w:val="1"/>
                <w:color w:val="auto"/>
                <w:w w:val="90"/>
              </w:rPr>
              <w:t>(in thousands, except share and per share data)</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8"/>
        </w:trPr>
        <w:tc>
          <w:tcPr>
            <w:tcW w:w="8660" w:type="dxa"/>
            <w:vAlign w:val="bottom"/>
            <w:gridSpan w:val="3"/>
          </w:tcPr>
          <w:p>
            <w:pPr>
              <w:spacing w:after="0"/>
              <w:rPr>
                <w:sz w:val="20"/>
                <w:szCs w:val="20"/>
                <w:color w:val="auto"/>
              </w:rPr>
            </w:pPr>
            <w:r>
              <w:rPr>
                <w:rFonts w:ascii="Arial" w:cs="Arial" w:eastAsia="Arial" w:hAnsi="Arial"/>
                <w:sz w:val="15"/>
                <w:szCs w:val="15"/>
                <w:color w:val="auto"/>
              </w:rPr>
              <w:t>The amortization for the year ended December 31, 2021 and 2020 was $199 and $98 respectively.</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660" w:type="dxa"/>
            <w:vAlign w:val="bottom"/>
            <w:gridSpan w:val="3"/>
          </w:tcPr>
          <w:p>
            <w:pPr>
              <w:spacing w:after="0"/>
              <w:rPr>
                <w:sz w:val="20"/>
                <w:szCs w:val="20"/>
                <w:color w:val="auto"/>
              </w:rPr>
            </w:pPr>
            <w:r>
              <w:rPr>
                <w:rFonts w:ascii="Arial" w:cs="Arial" w:eastAsia="Arial" w:hAnsi="Arial"/>
                <w:sz w:val="15"/>
                <w:szCs w:val="15"/>
                <w:color w:val="auto"/>
              </w:rPr>
              <w:t>The annual amortization of land use right for each of the five succeeding years is as follows: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3280"/>
              <w:spacing w:after="0"/>
              <w:rPr>
                <w:sz w:val="20"/>
                <w:szCs w:val="20"/>
                <w:color w:val="auto"/>
              </w:rPr>
            </w:pPr>
            <w:r>
              <w:rPr>
                <w:rFonts w:ascii="Arial" w:cs="Arial" w:eastAsia="Arial" w:hAnsi="Arial"/>
                <w:sz w:val="15"/>
                <w:szCs w:val="15"/>
                <w:b w:val="1"/>
                <w:bCs w:val="1"/>
                <w:color w:val="auto"/>
              </w:rPr>
              <w:t>Year ending December 31,</w:t>
            </w: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7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5"/>
                <w:szCs w:val="15"/>
                <w:color w:val="auto"/>
              </w:rPr>
              <w:t>2023</w:t>
            </w:r>
          </w:p>
        </w:tc>
        <w:tc>
          <w:tcPr>
            <w:tcW w:w="7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199</w:t>
            </w:r>
          </w:p>
        </w:tc>
      </w:tr>
      <w:tr>
        <w:trPr>
          <w:trHeight w:val="181"/>
        </w:trPr>
        <w:tc>
          <w:tcPr>
            <w:tcW w:w="20" w:type="dxa"/>
            <w:vAlign w:val="bottom"/>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7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199</w:t>
            </w:r>
          </w:p>
        </w:tc>
      </w:tr>
      <w:tr>
        <w:trPr>
          <w:trHeight w:val="181"/>
        </w:trPr>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5"/>
                <w:szCs w:val="15"/>
                <w:color w:val="auto"/>
              </w:rPr>
              <w:t>2025</w:t>
            </w:r>
          </w:p>
        </w:tc>
        <w:tc>
          <w:tcPr>
            <w:tcW w:w="7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199</w:t>
            </w:r>
          </w:p>
        </w:tc>
      </w:tr>
      <w:tr>
        <w:trPr>
          <w:trHeight w:val="181"/>
        </w:trPr>
        <w:tc>
          <w:tcPr>
            <w:tcW w:w="20" w:type="dxa"/>
            <w:vAlign w:val="bottom"/>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7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199</w:t>
            </w:r>
          </w:p>
        </w:tc>
      </w:tr>
      <w:tr>
        <w:trPr>
          <w:trHeight w:val="361"/>
        </w:trPr>
        <w:tc>
          <w:tcPr>
            <w:tcW w:w="8660" w:type="dxa"/>
            <w:vAlign w:val="bottom"/>
            <w:gridSpan w:val="3"/>
          </w:tcPr>
          <w:p>
            <w:pPr>
              <w:spacing w:after="0"/>
              <w:rPr>
                <w:sz w:val="20"/>
                <w:szCs w:val="20"/>
                <w:color w:val="auto"/>
              </w:rPr>
            </w:pPr>
            <w:r>
              <w:rPr>
                <w:rFonts w:ascii="Arial" w:cs="Arial" w:eastAsia="Arial" w:hAnsi="Arial"/>
                <w:sz w:val="15"/>
                <w:szCs w:val="15"/>
                <w:b w:val="1"/>
                <w:bCs w:val="1"/>
                <w:color w:val="auto"/>
              </w:rPr>
              <w:t>NOTE 8 – OTHER LONG-TERM ASSETS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660" w:type="dxa"/>
            <w:vAlign w:val="bottom"/>
            <w:gridSpan w:val="3"/>
          </w:tcPr>
          <w:p>
            <w:pPr>
              <w:spacing w:after="0"/>
              <w:rPr>
                <w:sz w:val="20"/>
                <w:szCs w:val="20"/>
                <w:color w:val="auto"/>
              </w:rPr>
            </w:pPr>
            <w:r>
              <w:rPr>
                <w:rFonts w:ascii="Arial" w:cs="Arial" w:eastAsia="Arial" w:hAnsi="Arial"/>
                <w:sz w:val="15"/>
                <w:szCs w:val="15"/>
                <w:color w:val="auto"/>
              </w:rPr>
              <w:t>At December 31, 2021 and 2020, other long-term assets consisted of the following:</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8"/>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Prepayment for property - Lingang</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42,111</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39,450</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Prepayment for property, plant and equipment and other non-current assets</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440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Prepayment for property - lease deposit</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Security deposit for land use right</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773</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756</w:t>
            </w:r>
          </w:p>
        </w:tc>
      </w:tr>
      <w:tr>
        <w:trPr>
          <w:trHeight w:val="184"/>
        </w:trPr>
        <w:tc>
          <w:tcPr>
            <w:tcW w:w="20" w:type="dxa"/>
            <w:vAlign w:val="bottom"/>
          </w:tcPr>
          <w:p>
            <w:pPr>
              <w:spacing w:after="0"/>
              <w:rPr>
                <w:sz w:val="15"/>
                <w:szCs w:val="15"/>
                <w:color w:val="auto"/>
              </w:rPr>
            </w:pPr>
          </w:p>
        </w:tc>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Others</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1,264</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Arial" w:cs="Arial" w:eastAsia="Arial" w:hAnsi="Arial"/>
                <w:sz w:val="15"/>
                <w:szCs w:val="15"/>
                <w:color w:val="auto"/>
              </w:rPr>
              <w:t>Total other long-term assets</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45,017</w:t>
            </w:r>
          </w:p>
        </w:tc>
        <w:tc>
          <w:tcPr>
            <w:tcW w:w="600" w:type="dxa"/>
            <w:vAlign w:val="bottom"/>
            <w:gridSpan w:val="2"/>
          </w:tcPr>
          <w:p>
            <w:pPr>
              <w:jc w:val="right"/>
              <w:ind w:right="225"/>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40,496</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color w:val="auto"/>
        </w:rPr>
        <w:t>The prepayment for property - Lingang is for the housing in Lingang, Shanghai, which consists of (1) the contractual amount to acquire the property and (2) capitalized interest charges on the long-term loan related to acquisition of the property, which amounted to $986 as of December 31, 2021. In January 2022, ACM Shengwei received ownership of the apartment units and corresponding land use rights. The property is pledged for a long-term loan from China Merchants Bank (note 12).</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5" w:name="page106"/>
    <w:bookmarkEnd w:id="10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60" w:type="dxa"/>
            <w:vAlign w:val="bottom"/>
            <w:gridSpan w:val="2"/>
          </w:tcPr>
          <w:p>
            <w:pPr>
              <w:spacing w:after="0"/>
              <w:rPr>
                <w:sz w:val="20"/>
                <w:szCs w:val="20"/>
                <w:color w:val="auto"/>
              </w:rPr>
            </w:pPr>
            <w:r>
              <w:rPr>
                <w:rFonts w:ascii="Arial" w:cs="Arial" w:eastAsia="Arial" w:hAnsi="Arial"/>
                <w:sz w:val="15"/>
                <w:szCs w:val="15"/>
                <w:b w:val="1"/>
                <w:bCs w:val="1"/>
                <w:color w:val="auto"/>
              </w:rPr>
              <w:t>NOTE 9 – SHORT-TERM BORROWINGS</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660" w:type="dxa"/>
            <w:vAlign w:val="bottom"/>
            <w:gridSpan w:val="2"/>
          </w:tcPr>
          <w:p>
            <w:pPr>
              <w:spacing w:after="0"/>
              <w:rPr>
                <w:sz w:val="20"/>
                <w:szCs w:val="20"/>
                <w:color w:val="auto"/>
              </w:rPr>
            </w:pPr>
            <w:r>
              <w:rPr>
                <w:rFonts w:ascii="Arial" w:cs="Arial" w:eastAsia="Arial" w:hAnsi="Arial"/>
                <w:sz w:val="15"/>
                <w:szCs w:val="15"/>
                <w:color w:val="auto"/>
              </w:rPr>
              <w:t>At December 31, 2021 and December 31, 2020, short-term and long-term borrowings consisted of the following:</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4"/>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80"/>
        </w:trPr>
        <w:tc>
          <w:tcPr>
            <w:tcW w:w="8660" w:type="dxa"/>
            <w:vAlign w:val="bottom"/>
            <w:gridSpan w:val="2"/>
          </w:tcPr>
          <w:p>
            <w:pPr>
              <w:spacing w:after="0"/>
              <w:rPr>
                <w:sz w:val="20"/>
                <w:szCs w:val="20"/>
                <w:color w:val="auto"/>
              </w:rPr>
            </w:pPr>
            <w:r>
              <w:rPr>
                <w:rFonts w:ascii="Arial" w:cs="Arial" w:eastAsia="Arial" w:hAnsi="Arial"/>
                <w:sz w:val="15"/>
                <w:szCs w:val="15"/>
                <w:color w:val="0D0D0D"/>
              </w:rPr>
              <w:t>Line of credit up to RMB 80,000 from China Everbright Bank,</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5"/>
                <w:szCs w:val="15"/>
                <w:color w:val="0D0D0D"/>
              </w:rPr>
              <w:t>1)due on April 1, 2021 with an annual interest rate of 4.70%. *1 and fully repaid on March 23, 2021.</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0D0D0D"/>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0D0D0D"/>
              </w:rPr>
              <w:t>-</w:t>
            </w:r>
          </w:p>
        </w:tc>
        <w:tc>
          <w:tcPr>
            <w:tcW w:w="600" w:type="dxa"/>
            <w:vAlign w:val="bottom"/>
            <w:gridSpan w:val="2"/>
            <w:shd w:val="clear" w:color="auto" w:fill="CCEEFF"/>
          </w:tcPr>
          <w:p>
            <w:pPr>
              <w:jc w:val="right"/>
              <w:ind w:right="225"/>
              <w:spacing w:after="0"/>
              <w:rPr>
                <w:sz w:val="20"/>
                <w:szCs w:val="20"/>
                <w:color w:val="auto"/>
              </w:rPr>
            </w:pPr>
            <w:r>
              <w:rPr>
                <w:rFonts w:ascii="Arial" w:cs="Arial" w:eastAsia="Arial" w:hAnsi="Arial"/>
                <w:sz w:val="15"/>
                <w:szCs w:val="15"/>
                <w:color w:val="0D0D0D"/>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0D0D0D"/>
              </w:rPr>
              <w:t>4,599</w:t>
            </w:r>
          </w:p>
        </w:tc>
      </w:tr>
      <w:tr>
        <w:trPr>
          <w:trHeight w:val="181"/>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5"/>
                <w:szCs w:val="15"/>
                <w:color w:val="0D0D0D"/>
              </w:rPr>
              <w:t>2)due on June 27, 2021 with an annual interest rate of 4.25%. *1 and fully repaid on June 28, 2021.</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0D0D0D"/>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0D0D0D"/>
              </w:rPr>
              <w:t>1,380</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5"/>
                <w:szCs w:val="15"/>
                <w:color w:val="0D0D0D"/>
              </w:rPr>
              <w:t>3)due on April 29, 2021 with an annual interest rate of 2.80%. *1 and fully repaid on March 23, 2021.</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0D0D0D"/>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0D0D0D"/>
              </w:rPr>
              <w:t>820</w:t>
            </w:r>
          </w:p>
        </w:tc>
      </w:tr>
      <w:tr>
        <w:trPr>
          <w:trHeight w:val="181"/>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5"/>
                <w:szCs w:val="15"/>
                <w:color w:val="0D0D0D"/>
              </w:rPr>
              <w:t>4)due on June 27, 2021 with an annual interest rate of 2.70%. *1 and fully repaid on June 25, 2021.</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0D0D0D"/>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0D0D0D"/>
              </w:rPr>
              <w:t>2,080</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0D0D0D"/>
              </w:rPr>
              <w:t>Line of credit up to RMB 20,000 from Bank of Communications,</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5"/>
                <w:szCs w:val="15"/>
                <w:color w:val="0D0D0D"/>
              </w:rPr>
              <w:t>1)due on April 12, 2021 with an annual interest rate of 4.65% and fully repaid on April 12, 2021.</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0D0D0D"/>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0D0D0D"/>
              </w:rPr>
              <w:t>1,533</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5"/>
                <w:szCs w:val="15"/>
                <w:color w:val="0D0D0D"/>
              </w:rPr>
              <w:t>2)due on May 24, 2021 with an annual interest rate of 3.65% and fully repaid on May 24, 2021.</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0D0D0D"/>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0D0D0D"/>
              </w:rPr>
              <w:t>1,533</w:t>
            </w: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0D0D0D"/>
              </w:rPr>
              <w:t>Line of credit up to RMB 70,000 from Bank of Shanghai Pudong Branch,</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5"/>
                <w:szCs w:val="15"/>
                <w:color w:val="0D0D0D"/>
              </w:rPr>
              <w:t>1)due on May 27, 2021 with an annual interest rate of 4.68%. *2 and fully repaid on May 27, 2021.</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0D0D0D"/>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0D0D0D"/>
              </w:rPr>
              <w:t>2,575</w:t>
            </w:r>
          </w:p>
        </w:tc>
      </w:tr>
      <w:tr>
        <w:trPr>
          <w:trHeight w:val="181"/>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5"/>
                <w:szCs w:val="15"/>
                <w:color w:val="0D0D0D"/>
              </w:rPr>
              <w:t>2)due on June 27, 2021 with an annual interest rate of 4.68%. *2 and fully repaid on March 29, 2021.</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0D0D0D"/>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0D0D0D"/>
              </w:rPr>
              <w:t>1,380</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5"/>
                <w:szCs w:val="15"/>
                <w:color w:val="0D0D0D"/>
              </w:rPr>
              <w:t>3)due on May 28, 2021 with an annual interest rate of 3.48%. *2 and fully repaid on May 28, 2021.</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0D0D0D"/>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0D0D0D"/>
              </w:rPr>
              <w:t>2,442</w:t>
            </w:r>
          </w:p>
        </w:tc>
      </w:tr>
      <w:tr>
        <w:trPr>
          <w:trHeight w:val="181"/>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5"/>
                <w:szCs w:val="15"/>
                <w:color w:val="0D0D0D"/>
              </w:rPr>
              <w:t>4)due on June 7, 2021 with an annual interest rate of 3.50%. *2 and fully repaid on June 7, 2021.</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0D0D0D"/>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0D0D0D"/>
              </w:rPr>
              <w:t>1,521</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5"/>
                <w:szCs w:val="15"/>
                <w:color w:val="0D0D0D"/>
              </w:rPr>
              <w:t>5)due on June 16, 2021 with an annual interest rate of 3.50%. *2 and fully repaid on June 16, 2021.</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0D0D0D"/>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0D0D0D"/>
              </w:rPr>
              <w:t>1,838</w:t>
            </w: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0D0D0D"/>
              </w:rPr>
              <w:t>Line of credit up to RMB 80,000 from China Merchants Bank,</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ind w:left="100"/>
              <w:spacing w:after="0"/>
              <w:rPr>
                <w:sz w:val="20"/>
                <w:szCs w:val="20"/>
                <w:color w:val="auto"/>
              </w:rPr>
            </w:pPr>
            <w:r>
              <w:rPr>
                <w:rFonts w:ascii="Arial" w:cs="Arial" w:eastAsia="Arial" w:hAnsi="Arial"/>
                <w:sz w:val="15"/>
                <w:szCs w:val="15"/>
                <w:color w:val="0D0D0D"/>
              </w:rPr>
              <w:t>1)due on August 10,2021 with annual interest rate of 3.85% and fully repaid on August 10, 2021.</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0D0D0D"/>
              </w:rPr>
              <w:t>-</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0D0D0D"/>
              </w:rPr>
              <w:t>1,380</w:t>
            </w:r>
          </w:p>
        </w:tc>
      </w:tr>
      <w:tr>
        <w:trPr>
          <w:trHeight w:val="181"/>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5"/>
                <w:szCs w:val="15"/>
                <w:color w:val="0D0D0D"/>
              </w:rPr>
              <w:t>2)due on August 25,2021 with annual interest rate of 3.85% and fully repaid on August 25, 2021.</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0D0D0D"/>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0D0D0D"/>
              </w:rPr>
              <w:t>3,066</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0D0D0D"/>
              </w:rPr>
              <w:t>Line of credit up to RMB 100,000 from Bank of Shanghai Pudong Branch,</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5"/>
                <w:szCs w:val="15"/>
                <w:color w:val="0D0D0D"/>
              </w:rPr>
              <w:t>1)due on June 7, 2022 with an annual interest rate of 2.7%. *3</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0D0D0D"/>
                <w:w w:val="95"/>
              </w:rPr>
              <w:t>4,616</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0D0D0D"/>
              </w:rPr>
              <w:t>-</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0D0D0D"/>
              </w:rPr>
              <w:t>Line of credit up to RMB 150,000 from China Everbright Bank,</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5"/>
                <w:szCs w:val="15"/>
                <w:color w:val="0D0D0D"/>
              </w:rPr>
              <w:t>1)due on October 21, 2022 with annual interest rate of 1.95%.</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0D0D0D"/>
                <w:w w:val="95"/>
              </w:rPr>
              <w:t>3,407</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0D0D0D"/>
              </w:rPr>
              <w:t>Line of credit up to RMB 60,000 from Bank of Communications,</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5"/>
                <w:szCs w:val="15"/>
                <w:color w:val="0D0D0D"/>
              </w:rPr>
              <w:t>1)due on October 25, 2022 with an annual interest rate of 3.85%.</w:t>
            </w: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0D0D0D"/>
                <w:w w:val="95"/>
              </w:rPr>
              <w:t>1,568</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1"/>
        </w:trPr>
        <w:tc>
          <w:tcPr>
            <w:tcW w:w="2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9,591</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26,147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*1 guaranteed by ACM’s Chief Executive Officer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*2 guaranteed by ACM’s Chief Executive Officer and Cleanchip Technologies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 guaranteed by Cleanchip Technologies Limited</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2021, 2020 and 2019, interest expense related to short-term borrowings amounted to $700, $897, and $745,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 OTHER PAYABLE AND ACCRUED EXPENSES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2021 and 2020, other payable and accrued expenses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8"/>
              </w:rPr>
              <w:t>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Accrued commissions</w:t>
            </w:r>
          </w:p>
        </w:tc>
        <w:tc>
          <w:tcPr>
            <w:tcW w:w="50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12,507</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7,127</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Accrued warranty</w:t>
            </w:r>
          </w:p>
        </w:tc>
        <w:tc>
          <w:tcPr>
            <w:tcW w:w="5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6,631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3,975</w:t>
            </w:r>
          </w:p>
        </w:tc>
      </w:tr>
      <w:tr>
        <w:trPr>
          <w:trHeight w:val="181"/>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Accrued payroll</w:t>
            </w:r>
          </w:p>
        </w:tc>
        <w:tc>
          <w:tcPr>
            <w:tcW w:w="50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5,684</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3,068</w:t>
            </w:r>
          </w:p>
        </w:tc>
      </w:tr>
      <w:tr>
        <w:trPr>
          <w:trHeight w:val="181"/>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Accrued professional fees</w:t>
            </w:r>
          </w:p>
        </w:tc>
        <w:tc>
          <w:tcPr>
            <w:tcW w:w="5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785</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384</w:t>
            </w:r>
          </w:p>
        </w:tc>
      </w:tr>
      <w:tr>
        <w:trPr>
          <w:trHeight w:val="181"/>
        </w:trPr>
        <w:tc>
          <w:tcPr>
            <w:tcW w:w="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Accrued machine testing fees</w:t>
            </w:r>
          </w:p>
        </w:tc>
        <w:tc>
          <w:tcPr>
            <w:tcW w:w="50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149</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1,595</w:t>
            </w:r>
          </w:p>
        </w:tc>
      </w:tr>
      <w:tr>
        <w:trPr>
          <w:trHeight w:val="184"/>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Others</w:t>
            </w:r>
          </w:p>
        </w:tc>
        <w:tc>
          <w:tcPr>
            <w:tcW w:w="5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5,979</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2,656</w:t>
            </w:r>
          </w:p>
        </w:tc>
      </w:tr>
      <w:tr>
        <w:trPr>
          <w:trHeight w:val="221"/>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50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31,735</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6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000" w:type="dxa"/>
            <w:vAlign w:val="bottom"/>
          </w:tcPr>
          <w:p>
            <w:pPr>
              <w:jc w:val="right"/>
              <w:ind w:right="2880"/>
              <w:spacing w:after="0"/>
              <w:rPr>
                <w:sz w:val="20"/>
                <w:szCs w:val="20"/>
                <w:color w:val="auto"/>
              </w:rPr>
            </w:pPr>
            <w:r>
              <w:rPr>
                <w:rFonts w:ascii="Arial" w:cs="Arial" w:eastAsia="Arial" w:hAnsi="Arial"/>
                <w:sz w:val="12"/>
                <w:szCs w:val="12"/>
                <w:color w:val="auto"/>
              </w:rPr>
              <w:t>106</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20" w:type="dxa"/>
            <w:vAlign w:val="bottom"/>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06" w:name="page107"/>
    <w:bookmarkEnd w:id="10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 LEASES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gridSpan w:val="2"/>
          </w:tcPr>
          <w:p>
            <w:pPr>
              <w:spacing w:after="0"/>
              <w:rPr>
                <w:sz w:val="20"/>
                <w:szCs w:val="20"/>
                <w:color w:val="auto"/>
              </w:rPr>
            </w:pPr>
            <w:r>
              <w:rPr>
                <w:rFonts w:ascii="Arial" w:cs="Arial" w:eastAsia="Arial" w:hAnsi="Arial"/>
                <w:sz w:val="15"/>
                <w:szCs w:val="15"/>
                <w:color w:val="auto"/>
              </w:rPr>
              <w:t>The components of lease expense were as follows:</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66"/>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5"/>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cost</w:t>
            </w:r>
          </w:p>
        </w:tc>
        <w:tc>
          <w:tcPr>
            <w:tcW w:w="80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2,451</w:t>
            </w: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1,541</w:t>
            </w: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1,432</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Arial" w:cs="Arial" w:eastAsia="Arial" w:hAnsi="Arial"/>
                <w:sz w:val="15"/>
                <w:szCs w:val="15"/>
                <w:color w:val="auto"/>
              </w:rPr>
              <w:t>Short-term lease cost</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394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236</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165</w:t>
            </w:r>
          </w:p>
        </w:tc>
      </w:tr>
      <w:tr>
        <w:trPr>
          <w:trHeight w:val="221"/>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Lease cost</w:t>
            </w:r>
          </w:p>
        </w:tc>
        <w:tc>
          <w:tcPr>
            <w:tcW w:w="8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left w:val="single" w:sz="8" w:color="CCEEFF"/>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2,845</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1,777</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46"/>
        </w:trPr>
        <w:tc>
          <w:tcPr>
            <w:tcW w:w="8480" w:type="dxa"/>
            <w:vAlign w:val="bottom"/>
            <w:gridSpan w:val="5"/>
          </w:tcPr>
          <w:p>
            <w:pPr>
              <w:spacing w:after="0"/>
              <w:rPr>
                <w:sz w:val="20"/>
                <w:szCs w:val="20"/>
                <w:color w:val="auto"/>
              </w:rPr>
            </w:pPr>
            <w:r>
              <w:rPr>
                <w:rFonts w:ascii="Arial" w:cs="Arial" w:eastAsia="Arial" w:hAnsi="Arial"/>
                <w:sz w:val="15"/>
                <w:szCs w:val="15"/>
                <w:color w:val="auto"/>
                <w:w w:val="93"/>
              </w:rPr>
              <w:t>Supplemental cash flow information related to operating leases was as follows for the years ended December 31, 2021, 2020 and 2019: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605"/>
              <w:spacing w:after="0"/>
              <w:rPr>
                <w:sz w:val="20"/>
                <w:szCs w:val="20"/>
                <w:color w:val="auto"/>
              </w:rPr>
            </w:pPr>
            <w:r>
              <w:rPr>
                <w:rFonts w:ascii="Arial" w:cs="Arial" w:eastAsia="Arial" w:hAnsi="Arial"/>
                <w:sz w:val="15"/>
                <w:szCs w:val="15"/>
                <w:b w:val="1"/>
                <w:bCs w:val="1"/>
                <w:color w:val="auto"/>
                <w:w w:val="91"/>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2021</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5"/>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180"/>
        </w:trPr>
        <w:tc>
          <w:tcPr>
            <w:tcW w:w="6520" w:type="dxa"/>
            <w:vAlign w:val="bottom"/>
            <w:gridSpan w:val="2"/>
          </w:tcPr>
          <w:p>
            <w:pPr>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6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Operating cash outflow from operating leases</w:t>
            </w:r>
          </w:p>
        </w:tc>
        <w:tc>
          <w:tcPr>
            <w:tcW w:w="80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2,845</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w w:val="79"/>
              </w:rPr>
              <w:t>1,777</w:t>
            </w: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1,597</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46"/>
        </w:trPr>
        <w:tc>
          <w:tcPr>
            <w:tcW w:w="6520" w:type="dxa"/>
            <w:vAlign w:val="bottom"/>
            <w:gridSpan w:val="2"/>
          </w:tcPr>
          <w:p>
            <w:pPr>
              <w:spacing w:after="0"/>
              <w:rPr>
                <w:sz w:val="20"/>
                <w:szCs w:val="20"/>
                <w:color w:val="auto"/>
              </w:rPr>
            </w:pPr>
            <w:r>
              <w:rPr>
                <w:rFonts w:ascii="Arial" w:cs="Arial" w:eastAsia="Arial" w:hAnsi="Arial"/>
                <w:sz w:val="15"/>
                <w:szCs w:val="15"/>
                <w:color w:val="auto"/>
              </w:rPr>
              <w:t>Maturities of lease liabilities for all operating leases were as follows as of December 31, 2021:</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5"/>
                <w:szCs w:val="15"/>
                <w:b w:val="1"/>
                <w:bCs w:val="1"/>
                <w:color w:val="auto"/>
                <w:w w:val="98"/>
              </w:rPr>
              <w:t>December 31,</w:t>
            </w: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80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2,385</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Arial" w:cs="Arial" w:eastAsia="Arial" w:hAnsi="Arial"/>
                <w:sz w:val="15"/>
                <w:szCs w:val="15"/>
                <w:color w:val="auto"/>
              </w:rPr>
              <w:t>2023</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1,063</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80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929</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Arial" w:cs="Arial" w:eastAsia="Arial" w:hAnsi="Arial"/>
                <w:sz w:val="15"/>
                <w:szCs w:val="15"/>
                <w:color w:val="auto"/>
              </w:rPr>
              <w:t>2025</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Total lease payments</w:t>
            </w:r>
          </w:p>
        </w:tc>
        <w:tc>
          <w:tcPr>
            <w:tcW w:w="80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4,396</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Arial" w:cs="Arial" w:eastAsia="Arial" w:hAnsi="Arial"/>
                <w:sz w:val="15"/>
                <w:szCs w:val="15"/>
                <w:color w:val="auto"/>
              </w:rPr>
              <w:t>Less: Interest</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(214)</w:t>
            </w:r>
          </w:p>
        </w:tc>
      </w:tr>
      <w:tr>
        <w:trPr>
          <w:trHeight w:val="221"/>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Present value of lease liabilities</w:t>
            </w:r>
          </w:p>
        </w:tc>
        <w:tc>
          <w:tcPr>
            <w:tcW w:w="8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left w:val="single" w:sz="8" w:color="CCEEFF"/>
              <w:bottom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46"/>
        </w:trPr>
        <w:tc>
          <w:tcPr>
            <w:tcW w:w="8480" w:type="dxa"/>
            <w:vAlign w:val="bottom"/>
            <w:gridSpan w:val="5"/>
          </w:tcPr>
          <w:p>
            <w:pPr>
              <w:spacing w:after="0"/>
              <w:rPr>
                <w:sz w:val="20"/>
                <w:szCs w:val="20"/>
                <w:color w:val="auto"/>
              </w:rPr>
            </w:pPr>
            <w:r>
              <w:rPr>
                <w:rFonts w:ascii="Arial" w:cs="Arial" w:eastAsia="Arial" w:hAnsi="Arial"/>
                <w:sz w:val="15"/>
                <w:szCs w:val="15"/>
                <w:color w:val="auto"/>
                <w:w w:val="90"/>
              </w:rPr>
              <w:t>The weighted average remaining lease terms and discount rates for all operating leases were as follows as of December 31, 2021 and 2020: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ind w:left="540"/>
              <w:spacing w:after="0"/>
              <w:rPr>
                <w:sz w:val="20"/>
                <w:szCs w:val="20"/>
                <w:color w:val="auto"/>
              </w:rPr>
            </w:pPr>
            <w:r>
              <w:rPr>
                <w:rFonts w:ascii="Arial" w:cs="Arial" w:eastAsia="Arial" w:hAnsi="Arial"/>
                <w:sz w:val="15"/>
                <w:szCs w:val="15"/>
                <w:b w:val="1"/>
                <w:bCs w:val="1"/>
                <w:color w:val="auto"/>
              </w:rPr>
              <w:t>December 31,</w:t>
            </w:r>
          </w:p>
        </w:tc>
      </w:tr>
      <w:tr>
        <w:trPr>
          <w:trHeight w:val="18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center"/>
              <w:ind w:right="205"/>
              <w:spacing w:after="0"/>
              <w:rPr>
                <w:sz w:val="20"/>
                <w:szCs w:val="20"/>
                <w:color w:val="auto"/>
              </w:rPr>
            </w:pPr>
            <w:r>
              <w:rPr>
                <w:rFonts w:ascii="Arial" w:cs="Arial" w:eastAsia="Arial" w:hAnsi="Arial"/>
                <w:sz w:val="15"/>
                <w:szCs w:val="15"/>
                <w:b w:val="1"/>
                <w:bCs w:val="1"/>
                <w:color w:val="auto"/>
                <w:w w:val="89"/>
              </w:rPr>
              <w:t>2021</w:t>
            </w: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Arial" w:cs="Arial" w:eastAsia="Arial" w:hAnsi="Arial"/>
                <w:sz w:val="15"/>
                <w:szCs w:val="15"/>
                <w:color w:val="auto"/>
              </w:rPr>
              <w:t>Remaining lease term and discount rate:</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remaining lease term (years)</w:t>
            </w:r>
          </w:p>
        </w:tc>
        <w:tc>
          <w:tcPr>
            <w:tcW w:w="80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5"/>
                <w:szCs w:val="15"/>
                <w:color w:val="auto"/>
                <w:w w:val="88"/>
              </w:rPr>
              <w:t>1.37</w:t>
            </w: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w w:val="88"/>
              </w:rPr>
              <w:t>2.11</w:t>
            </w:r>
          </w:p>
        </w:tc>
        <w:tc>
          <w:tcPr>
            <w:tcW w:w="100" w:type="dxa"/>
            <w:vAlign w:val="bottom"/>
            <w:shd w:val="clear" w:color="auto" w:fill="CCEEFF"/>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6500" w:type="dxa"/>
            <w:vAlign w:val="bottom"/>
          </w:tcPr>
          <w:p>
            <w:pPr>
              <w:spacing w:after="0"/>
              <w:rPr>
                <w:sz w:val="20"/>
                <w:szCs w:val="20"/>
                <w:color w:val="auto"/>
              </w:rPr>
            </w:pPr>
            <w:r>
              <w:rPr>
                <w:rFonts w:ascii="Arial" w:cs="Arial" w:eastAsia="Arial" w:hAnsi="Arial"/>
                <w:sz w:val="15"/>
                <w:szCs w:val="15"/>
                <w:color w:val="auto"/>
              </w:rPr>
              <w:t>Weighted average discount rate</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600"/>
              <w:spacing w:after="0"/>
              <w:rPr>
                <w:sz w:val="20"/>
                <w:szCs w:val="20"/>
                <w:color w:val="auto"/>
              </w:rPr>
            </w:pPr>
            <w:r>
              <w:rPr>
                <w:rFonts w:ascii="Arial" w:cs="Arial" w:eastAsia="Arial" w:hAnsi="Arial"/>
                <w:sz w:val="15"/>
                <w:szCs w:val="15"/>
                <w:color w:val="auto"/>
              </w:rPr>
              <w:t>4.54%</w:t>
            </w:r>
          </w:p>
        </w:tc>
        <w:tc>
          <w:tcPr>
            <w:tcW w:w="180" w:type="dxa"/>
            <w:vAlign w:val="bottom"/>
          </w:tcPr>
          <w:p>
            <w:pPr>
              <w:spacing w:after="0"/>
              <w:rPr>
                <w:sz w:val="16"/>
                <w:szCs w:val="16"/>
                <w:color w:val="auto"/>
              </w:rPr>
            </w:pPr>
          </w:p>
        </w:tc>
        <w:tc>
          <w:tcPr>
            <w:tcW w:w="1040" w:type="dxa"/>
            <w:vAlign w:val="bottom"/>
            <w:gridSpan w:val="2"/>
          </w:tcPr>
          <w:p>
            <w:pPr>
              <w:ind w:left="640"/>
              <w:spacing w:after="0"/>
              <w:rPr>
                <w:sz w:val="20"/>
                <w:szCs w:val="20"/>
                <w:color w:val="auto"/>
              </w:rPr>
            </w:pPr>
            <w:r>
              <w:rPr>
                <w:rFonts w:ascii="Arial" w:cs="Arial" w:eastAsia="Arial" w:hAnsi="Arial"/>
                <w:sz w:val="15"/>
                <w:szCs w:val="15"/>
                <w:color w:val="auto"/>
                <w:w w:val="89"/>
              </w:rPr>
              <w:t>5.14%</w:t>
            </w:r>
          </w:p>
        </w:tc>
      </w:tr>
      <w:tr>
        <w:trPr>
          <w:trHeight w:val="468"/>
        </w:trPr>
        <w:tc>
          <w:tcPr>
            <w:tcW w:w="6520" w:type="dxa"/>
            <w:vAlign w:val="bottom"/>
            <w:gridSpan w:val="2"/>
          </w:tcPr>
          <w:p>
            <w:pPr>
              <w:ind w:left="5540"/>
              <w:spacing w:after="0"/>
              <w:rPr>
                <w:sz w:val="20"/>
                <w:szCs w:val="20"/>
                <w:color w:val="auto"/>
              </w:rPr>
            </w:pPr>
            <w:r>
              <w:rPr>
                <w:rFonts w:ascii="Arial" w:cs="Arial" w:eastAsia="Arial" w:hAnsi="Arial"/>
                <w:sz w:val="12"/>
                <w:szCs w:val="12"/>
                <w:color w:val="auto"/>
              </w:rPr>
              <w:t>107</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20" w:type="dxa"/>
            <w:vAlign w:val="bottom"/>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07" w:name="page108"/>
    <w:bookmarkEnd w:id="10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60" w:type="dxa"/>
            <w:vAlign w:val="bottom"/>
            <w:gridSpan w:val="2"/>
          </w:tcPr>
          <w:p>
            <w:pPr>
              <w:spacing w:after="0"/>
              <w:rPr>
                <w:sz w:val="20"/>
                <w:szCs w:val="20"/>
                <w:color w:val="auto"/>
              </w:rPr>
            </w:pPr>
            <w:r>
              <w:rPr>
                <w:rFonts w:ascii="Arial" w:cs="Arial" w:eastAsia="Arial" w:hAnsi="Arial"/>
                <w:sz w:val="15"/>
                <w:szCs w:val="15"/>
                <w:b w:val="1"/>
                <w:bCs w:val="1"/>
                <w:color w:val="auto"/>
              </w:rPr>
              <w:t>NOTE 12 – LONG-TERM BORROWINGS</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660" w:type="dxa"/>
            <w:vAlign w:val="bottom"/>
            <w:gridSpan w:val="2"/>
          </w:tcPr>
          <w:p>
            <w:pPr>
              <w:spacing w:after="0"/>
              <w:rPr>
                <w:sz w:val="20"/>
                <w:szCs w:val="20"/>
                <w:color w:val="auto"/>
              </w:rPr>
            </w:pPr>
            <w:r>
              <w:rPr>
                <w:rFonts w:ascii="Arial" w:cs="Arial" w:eastAsia="Arial" w:hAnsi="Arial"/>
                <w:sz w:val="15"/>
                <w:szCs w:val="15"/>
                <w:color w:val="auto"/>
              </w:rPr>
              <w:t>At December 31, 2021 and 2020, long-term borrowings consisted of the following:</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w w:val="98"/>
              </w:rPr>
              <w:t>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w w:val="89"/>
              </w:rPr>
              <w:t>2020</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Loan from China Merchants Bank</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18,390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19,570</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Loans from Bank of China</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6,977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4"/>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w:t>
            </w:r>
          </w:p>
        </w:tc>
        <w:tc>
          <w:tcPr>
            <w:tcW w:w="7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(2,410)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(1,591)</w:t>
            </w:r>
          </w:p>
        </w:tc>
      </w:tr>
      <w:tr>
        <w:trPr>
          <w:trHeight w:val="181"/>
        </w:trPr>
        <w:tc>
          <w:tcPr>
            <w:tcW w:w="20" w:type="dxa"/>
            <w:vAlign w:val="bottom"/>
          </w:tcPr>
          <w:p>
            <w:pPr>
              <w:spacing w:after="0"/>
              <w:rPr>
                <w:sz w:val="15"/>
                <w:szCs w:val="15"/>
                <w:color w:val="auto"/>
              </w:rPr>
            </w:pPr>
          </w:p>
        </w:tc>
        <w:tc>
          <w:tcPr>
            <w:tcW w:w="8640" w:type="dxa"/>
            <w:vAlign w:val="bottom"/>
            <w:tcBorders>
              <w:top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22,957</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17,979</w:t>
            </w:r>
          </w:p>
        </w:tc>
        <w:tc>
          <w:tcPr>
            <w:tcW w:w="10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The loan from China Merchants Bank is for the purpose of purchasing property in Lingang, Shanghai. The loan is repayable in 120 installments with the last installment due in November 2030, with an annual interest rate of 4.65%. The loan is pledged by the property of Shengwei Research (Shanghai) Inc. and guaranteed by ACM Research (Shanghai) Inc. As of December 31, 2021, the right certificate of the pledged property has not been obtained and the procedures of the formal pledge registration in the bank had not been completed.</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Two loans from Bank of China are for the purpose of funding ACM Shanghai project expenditures. The loans bear interest at an annual rate of 2.6% and are repayable in 6 installments, with the last installments due in June 2024 and September 2024.</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Scheduled principal payments for the outstanding long-term loan as of December 31, 2021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gridSpan w:val="2"/>
          </w:tcPr>
          <w:p>
            <w:pPr>
              <w:jc w:val="right"/>
              <w:ind w:right="4545"/>
              <w:spacing w:after="0"/>
              <w:rPr>
                <w:sz w:val="20"/>
                <w:szCs w:val="20"/>
                <w:color w:val="auto"/>
              </w:rPr>
            </w:pPr>
            <w:r>
              <w:rPr>
                <w:rFonts w:ascii="Arial" w:cs="Arial" w:eastAsia="Arial" w:hAnsi="Arial"/>
                <w:sz w:val="15"/>
                <w:szCs w:val="15"/>
                <w:b w:val="1"/>
                <w:bCs w:val="1"/>
                <w:color w:val="auto"/>
              </w:rPr>
              <w:t>Year ending December 31,</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7820" w:type="dxa"/>
            <w:vAlign w:val="bottom"/>
            <w:gridSpan w:val="2"/>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2,410</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2023</w:t>
            </w:r>
          </w:p>
        </w:tc>
        <w:tc>
          <w:tcPr>
            <w:tcW w:w="7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2,491</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7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7,436</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5"/>
                <w:szCs w:val="15"/>
                <w:color w:val="auto"/>
              </w:rPr>
              <w:t>2025</w:t>
            </w:r>
          </w:p>
        </w:tc>
        <w:tc>
          <w:tcPr>
            <w:tcW w:w="7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1,959</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2026 and onwards</w:t>
            </w:r>
          </w:p>
        </w:tc>
        <w:tc>
          <w:tcPr>
            <w:tcW w:w="74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11,071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25,367</w:t>
            </w:r>
          </w:p>
        </w:tc>
        <w:tc>
          <w:tcPr>
            <w:tcW w:w="100" w:type="dxa"/>
            <w:vAlign w:val="bottom"/>
          </w:tcPr>
          <w:p>
            <w:pPr>
              <w:spacing w:after="0"/>
              <w:rPr>
                <w:sz w:val="15"/>
                <w:szCs w:val="15"/>
                <w:color w:val="auto"/>
              </w:rPr>
            </w:pPr>
          </w:p>
        </w:tc>
      </w:tr>
    </w:tbl>
    <w:p>
      <w:pPr>
        <w:spacing w:after="0" w:line="170"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For the year ended December 31, 2021, $1,040 of interest related to long-term borrowings was incurred, of which $65 was charged to interest expense and $975 was capitalized as other long-term assets. For the year ended December 31, 2020, $72 of interest related to long-term borrowings was incurred, and capitalized, as other long-term assets.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 – OTHER LONG-TERM LIABILITIES</w:t>
      </w:r>
    </w:p>
    <w:p>
      <w:pPr>
        <w:spacing w:after="0" w:line="194"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Other long-term liabilities represent government subsidies received from PRC governmental authorities for development and commercialization of certain technology but not yet recognized (note 2). As of December 31, 2021 and 2020, other long-term liabilities consisted of the following unearned government subsidies: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w w:val="94"/>
              </w:rPr>
              <w:t>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Subsidies to Stress Free Polishing project, commenced in 2008 and 2017</w:t>
            </w:r>
          </w:p>
        </w:tc>
        <w:tc>
          <w:tcPr>
            <w:tcW w:w="37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5"/>
                <w:szCs w:val="15"/>
                <w:color w:val="auto"/>
              </w:rPr>
              <w:t>Subsidies to Electro Copper Plating project, commenced in 2014</w:t>
            </w:r>
          </w:p>
        </w:tc>
        <w:tc>
          <w:tcPr>
            <w:tcW w:w="3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2,156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Subsidies to Polytetrafluoroethylene, commenced in 2018</w:t>
            </w:r>
          </w:p>
        </w:tc>
        <w:tc>
          <w:tcPr>
            <w:tcW w:w="3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5"/>
                <w:szCs w:val="15"/>
                <w:color w:val="auto"/>
              </w:rPr>
              <w:t>Subsidies to Tahoe-Single Bench Clean, commenced in 2020</w:t>
            </w:r>
          </w:p>
        </w:tc>
        <w:tc>
          <w:tcPr>
            <w:tcW w:w="3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1,544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5"/>
                <w:szCs w:val="15"/>
                <w:color w:val="auto"/>
              </w:rPr>
              <w:t>Subsidies to other cleaning tools,commenced in 2020</w:t>
            </w:r>
          </w:p>
        </w:tc>
        <w:tc>
          <w:tcPr>
            <w:tcW w:w="3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5"/>
                <w:szCs w:val="15"/>
                <w:color w:val="auto"/>
              </w:rPr>
              <w:t>Subsidies to SW Lingang R&amp;D development in 2021</w:t>
            </w:r>
          </w:p>
        </w:tc>
        <w:tc>
          <w:tcPr>
            <w:tcW w:w="3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5,958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37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5"/>
                <w:szCs w:val="15"/>
                <w:color w:val="auto"/>
              </w:rPr>
              <w:t>Total</w:t>
            </w:r>
          </w:p>
        </w:tc>
        <w:tc>
          <w:tcPr>
            <w:tcW w:w="4460" w:type="dxa"/>
            <w:vAlign w:val="bottom"/>
            <w:gridSpan w:val="2"/>
          </w:tcPr>
          <w:p>
            <w:pPr>
              <w:jc w:val="right"/>
              <w:ind w:right="605"/>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8,447</w:t>
            </w:r>
          </w:p>
        </w:tc>
        <w:tc>
          <w:tcPr>
            <w:tcW w:w="120" w:type="dxa"/>
            <w:vAlign w:val="bottom"/>
          </w:tcPr>
          <w:p>
            <w:pPr>
              <w:spacing w:after="0"/>
              <w:rPr>
                <w:sz w:val="15"/>
                <w:szCs w:val="15"/>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8,034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700" w:type="dxa"/>
            <w:vAlign w:val="bottom"/>
            <w:vMerge w:val="restart"/>
          </w:tcPr>
          <w:p>
            <w:pPr>
              <w:jc w:val="right"/>
              <w:ind w:right="2872"/>
              <w:spacing w:after="0"/>
              <w:rPr>
                <w:sz w:val="20"/>
                <w:szCs w:val="20"/>
                <w:color w:val="auto"/>
              </w:rPr>
            </w:pPr>
            <w:r>
              <w:rPr>
                <w:rFonts w:ascii="Arial" w:cs="Arial" w:eastAsia="Arial" w:hAnsi="Arial"/>
                <w:sz w:val="12"/>
                <w:szCs w:val="12"/>
                <w:color w:val="auto"/>
              </w:rPr>
              <w:t>108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08" w:name="page109"/>
    <w:bookmarkEnd w:id="10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14 – LONG-TERM INVESTMENT</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equity method.</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equity method in accordance with ASC 323-30-S99-1.</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On October 29, 2021, ACM Shanghai and Waferworks (Shanghai) Co., Ltd, or Waferworks, a company based in Shanghai, China, and one of the Company’s customers, entered into an agreement pursuant to which Waferworks issued to ACM Shanghai shares representing 0.25% of Waferworks’ post-closing equity for a purchase price of $1,568. As there is no readily determinable fair value, the Company measures the investment in Waferworks at cost minus impairment, if any.</w:t>
      </w:r>
    </w:p>
    <w:p>
      <w:pPr>
        <w:spacing w:after="0" w:line="155" w:lineRule="exact"/>
        <w:rPr>
          <w:sz w:val="20"/>
          <w:szCs w:val="20"/>
          <w:color w:val="auto"/>
        </w:rPr>
      </w:pPr>
    </w:p>
    <w:p>
      <w:pPr>
        <w:jc w:val="both"/>
        <w:ind w:right="20"/>
        <w:spacing w:after="0" w:line="291" w:lineRule="auto"/>
        <w:rPr>
          <w:sz w:val="20"/>
          <w:szCs w:val="20"/>
          <w:color w:val="auto"/>
        </w:rPr>
      </w:pPr>
      <w:r>
        <w:rPr>
          <w:rFonts w:ascii="Arial" w:cs="Arial" w:eastAsia="Arial" w:hAnsi="Arial"/>
          <w:sz w:val="14"/>
          <w:szCs w:val="14"/>
          <w:color w:val="auto"/>
        </w:rPr>
        <w:t>The Company treats the equity investment in the consolidated financial statements under the equity method. Under the equity method, the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8"/>
              </w:rPr>
              <w:t>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Ninebell</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3,051</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1,666</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Shengyi</w:t>
            </w:r>
          </w:p>
        </w:tc>
        <w:tc>
          <w:tcPr>
            <w:tcW w:w="7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211</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134</w:t>
            </w:r>
          </w:p>
        </w:tc>
      </w:tr>
      <w:tr>
        <w:trPr>
          <w:trHeight w:val="184"/>
        </w:trPr>
        <w:tc>
          <w:tcPr>
            <w:tcW w:w="20" w:type="dxa"/>
            <w:vAlign w:val="bottom"/>
          </w:tcPr>
          <w:p>
            <w:pPr>
              <w:spacing w:after="0"/>
              <w:rPr>
                <w:sz w:val="15"/>
                <w:szCs w:val="15"/>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Hefei Shixi</w:t>
            </w: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7,864</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b w:val="1"/>
                <w:bCs w:val="1"/>
                <w:color w:val="auto"/>
              </w:rPr>
              <w:t>Subtotal</w:t>
            </w:r>
          </w:p>
        </w:tc>
        <w:tc>
          <w:tcPr>
            <w:tcW w:w="7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7"/>
              </w:rPr>
              <w:t>11,126</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6,340</w:t>
            </w:r>
          </w:p>
        </w:tc>
      </w:tr>
      <w:tr>
        <w:trPr>
          <w:trHeight w:val="181"/>
        </w:trPr>
        <w:tc>
          <w:tcPr>
            <w:tcW w:w="20" w:type="dxa"/>
            <w:vAlign w:val="bottom"/>
          </w:tcPr>
          <w:p>
            <w:pPr>
              <w:spacing w:after="0"/>
              <w:rPr>
                <w:sz w:val="15"/>
                <w:szCs w:val="15"/>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5"/>
                <w:szCs w:val="15"/>
                <w:color w:val="auto"/>
              </w:rPr>
              <w:t>Other investee:</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8640" w:type="dxa"/>
            <w:vAlign w:val="bottom"/>
          </w:tcPr>
          <w:p>
            <w:pPr>
              <w:spacing w:after="0"/>
              <w:rPr>
                <w:sz w:val="20"/>
                <w:szCs w:val="20"/>
                <w:color w:val="auto"/>
              </w:rPr>
            </w:pPr>
            <w:r>
              <w:rPr>
                <w:rFonts w:ascii="Arial" w:cs="Arial" w:eastAsia="Arial" w:hAnsi="Arial"/>
                <w:sz w:val="15"/>
                <w:szCs w:val="15"/>
                <w:color w:val="auto"/>
              </w:rPr>
              <w:t>Waferworks</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1,568</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4"/>
        </w:trPr>
        <w:tc>
          <w:tcPr>
            <w:tcW w:w="20" w:type="dxa"/>
            <w:vAlign w:val="bottom"/>
          </w:tcPr>
          <w:p>
            <w:pPr>
              <w:spacing w:after="0"/>
              <w:rPr>
                <w:sz w:val="15"/>
                <w:szCs w:val="15"/>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7"/>
              </w:rPr>
              <w:t>12,694</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6,340</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For the years ended December 31, 2021, 2020 and 2019, the Company’s share of equity investees’ net income was $4,637, $655 and $168, respectively, which was included in income on equity method investment in the accompanying consolidated statements of operations and comprehensive income. For the year ended December 31, 2021, 2020 and 2019, dividends received from its equity investee was $0, $555 and $0, respectively, which was offset in part by a reduction in the carrying value of the Company’s share of equity investees’ net income.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9" w:name="page110"/>
    <w:bookmarkEnd w:id="10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15 – FINANCIAL LIABILITY CARRIED AT FAIR VALUE</w:t>
      </w:r>
    </w:p>
    <w:p>
      <w:pPr>
        <w:spacing w:after="0" w:line="194"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In December 2016 Shengxin (Shanghai) Management Consulting Limited Partnership (“SMC”) paid 20,123,500 RMB ($2,981 as of the date of funding) (the “SMC Investment”) to ACM Shanghai for investment pursuant to terms to be subsequently negotiated. SMC is a PRC limited partnership partially owned by employees of ACM Shanghai.</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March 2017 (a) ACM issued to SMC a warrant (the “Warrant”) exercisable to purchase 397,502 shares of Class A common stock at a price of $7.50 per share, for a total exercise price of $2,981, and (b) ACM Shanghai agreed to repay the SMC Investment within 60 days after the exercise of the Warrant. In March 2018 SMC exercised the Warrant in full, as a result of which (1) ACM issued 397,502 shares of Class A common stock to SMC, (2) SMC borrowed the funds to pay the Warrant exercise price pursuant to a senior secured promissory note (the “SMC Note”) in the principal amount of $2,981 issued to ACM Shanghai, which in turn issued to ACM a promissory note (the “Intercompany Note”) in the principal amount of $2,981 in payment of the Warrant exercise price. Each of the SMC Note and the Intercompany Note bore interest at a rate of 3.01% per annum and matured on August 17, 2023. The SMC Note was secured by a pledge of the shares issued upon exercise of the Warrant.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connection with its follow-on public offering of Class A common stock in August 2019, ACM agreed to purchase a total of 154,821 of the Warrant shares from SMC at a per share price of $13.195, of which (a) $1,161 was applied to reduce SMC’s obligations to ACM Shanghai under the SMC Note, and which ACM then withheld for its own account and applied to reduce ACM Shanghai’s obligations to ACM under the Intercompany Note, and (b) the remaining $882 was paid to SMC. In a separate transaction, ACM Shanghai repaid $1,161 of the SMC Investment in cash, which reduced the amount of the SMC Investment due to SMC to $1,820.</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SMC Note and SMC Investment are offsetting items in the Company’s consolidated balance sheet in accordance with ASC 210-20-45-1 up to April 30, 2020.</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preparation for the STAR IPO, ACM Shanghai was required to terminate its financial relationship with SMC. In order to facilitate such termination, on April 30, 2020, ACM entered into two agreements relating to outstanding obligations among ACM Research, ACM Shanghai and SMC. Pursuant to such agreements: (i) ACM Shanghai assigned to ACM its rights under the SMC Note, including the right to receive payment of the $1,820 payable thereunder; (ii) ACM cancelled the outstanding $1,820 obligation of ACM Shanghai under the Intercompany Note; (iii) SMC surrendered its remaining 242,681 Warrant shares to ACM Research; and (iv) in exchange for such 242,681 Warrant shares, ACM agreed to deliver to SMC certain consideration (“SMC Consideration”) agreed upon by ACM Research and SMC, subject to obtaining certain PRC regulatory approvals. Under the agreements, if the required approvals were not obtained by December 31, 2023, ACM would cancel the SMC Note as consideration for the 242,681 Warrant shares. In a separate transaction in April 2020, ACM Shanghai repaid the remaining $1,820 of the SMC Investment in cash.</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For the period beginning April 30, 2020, the SMC Consideration is accounted for as a financial liability, and the Company applies fair value option to measure the SMC Consideration in accordance with ASC 825-10-15-4a. On April 30, 2020, the SMC Consideration was $9,715 which was for cancellation of the Warrant shares and recorded in the equity. The financial liability was remeasured to fair value as of the end of each of the reporting periods.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July 29, 2020, ACM and SMC entered into an amended agreement under which, in settlement of the SMC Consideration, ACM issued to SMC a warrant (the “SMC 2020 Warrant”) to purchase 242,681 shares of Class A common stock at a purchase price of $7.50 per share, and ACM cancelled the SMC Note. The financial liability was remeasured to fair value of $21,679 as of July 29, 2020, and was retired with the issuance of the SMC 2020 Warrant. The Company recognized a change in fair value of financial liability of $11,964 for the year ended December 31, 2020, which was reflected in the consolidated statement of operations. The Company recorded the difference of $19,859 between the SMC 2020 Warrant of $21,679 and the SMC Note of $1,820 into the equity.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0" w:name="page111"/>
    <w:bookmarkEnd w:id="110"/>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3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9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SMC 2020 Warrant was initially measured at fair value at the issuance date and classified as equity permanently in accordance with ASC 815. The fair value of the SMC 2020</w:t>
      </w:r>
    </w:p>
    <w:p>
      <w:pPr>
        <w:spacing w:after="0" w:line="29" w:lineRule="exact"/>
        <w:rPr>
          <w:sz w:val="20"/>
          <w:szCs w:val="20"/>
          <w:color w:val="auto"/>
        </w:rPr>
      </w:pPr>
    </w:p>
    <w:p>
      <w:pPr>
        <w:ind w:left="10"/>
        <w:spacing w:after="0"/>
        <w:rPr>
          <w:sz w:val="20"/>
          <w:szCs w:val="20"/>
          <w:color w:val="auto"/>
        </w:rPr>
      </w:pPr>
      <w:r>
        <w:rPr>
          <w:rFonts w:ascii="Arial" w:cs="Arial" w:eastAsia="Arial" w:hAnsi="Arial"/>
          <w:sz w:val="15"/>
          <w:szCs w:val="15"/>
          <w:color w:val="auto"/>
        </w:rPr>
        <w:t>Warrant amounted to $21,679, based on the grant date using the Black-Scholes valuation model with the following assumptions: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0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July 29,</w:t>
            </w:r>
          </w:p>
        </w:tc>
      </w:tr>
      <w:tr>
        <w:trPr>
          <w:trHeight w:val="198"/>
        </w:trPr>
        <w:tc>
          <w:tcPr>
            <w:tcW w:w="20" w:type="dxa"/>
            <w:vAlign w:val="bottom"/>
          </w:tcPr>
          <w:p>
            <w:pPr>
              <w:spacing w:after="0"/>
              <w:rPr>
                <w:sz w:val="17"/>
                <w:szCs w:val="17"/>
                <w:color w:val="auto"/>
              </w:rPr>
            </w:pPr>
          </w:p>
        </w:tc>
        <w:tc>
          <w:tcPr>
            <w:tcW w:w="10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common share(1)</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89.28</w:t>
            </w:r>
          </w:p>
        </w:tc>
        <w:tc>
          <w:tcPr>
            <w:tcW w:w="1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Expected term in years(2)</w:t>
            </w: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3.42</w:t>
            </w:r>
          </w:p>
        </w:tc>
      </w:tr>
      <w:tr>
        <w:trPr>
          <w:trHeight w:val="181"/>
        </w:trPr>
        <w:tc>
          <w:tcPr>
            <w:tcW w:w="20" w:type="dxa"/>
            <w:vAlign w:val="bottom"/>
          </w:tcPr>
          <w:p>
            <w:pPr>
              <w:spacing w:after="0"/>
              <w:rPr>
                <w:sz w:val="15"/>
                <w:szCs w:val="15"/>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Volatility(3)</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47.42%</w:t>
            </w:r>
          </w:p>
        </w:tc>
      </w:tr>
      <w:tr>
        <w:trPr>
          <w:trHeight w:val="181"/>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Risk-free interest rate(4)</w:t>
            </w:r>
          </w:p>
        </w:tc>
        <w:tc>
          <w:tcPr>
            <w:tcW w:w="1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0.15%</w:t>
            </w:r>
          </w:p>
        </w:tc>
      </w:tr>
      <w:tr>
        <w:trPr>
          <w:trHeight w:val="181"/>
        </w:trPr>
        <w:tc>
          <w:tcPr>
            <w:tcW w:w="20" w:type="dxa"/>
            <w:vAlign w:val="bottom"/>
          </w:tcPr>
          <w:p>
            <w:pPr>
              <w:spacing w:after="0"/>
              <w:rPr>
                <w:sz w:val="15"/>
                <w:szCs w:val="15"/>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dividend(5)</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w:t>
            </w:r>
          </w:p>
        </w:tc>
      </w:tr>
    </w:tbl>
    <w:p>
      <w:pPr>
        <w:spacing w:after="0" w:line="170" w:lineRule="exact"/>
        <w:rPr>
          <w:sz w:val="20"/>
          <w:szCs w:val="20"/>
          <w:color w:val="auto"/>
        </w:rPr>
      </w:pPr>
    </w:p>
    <w:p>
      <w:pPr>
        <w:ind w:left="410" w:hanging="410"/>
        <w:spacing w:after="0"/>
        <w:tabs>
          <w:tab w:leader="none" w:pos="410" w:val="left"/>
        </w:tabs>
        <w:numPr>
          <w:ilvl w:val="0"/>
          <w:numId w:val="79"/>
        </w:numPr>
        <w:rPr>
          <w:rFonts w:ascii="Arial" w:cs="Arial" w:eastAsia="Arial" w:hAnsi="Arial"/>
          <w:sz w:val="15"/>
          <w:szCs w:val="15"/>
          <w:color w:val="auto"/>
        </w:rPr>
      </w:pPr>
      <w:r>
        <w:rPr>
          <w:rFonts w:ascii="Arial" w:cs="Arial" w:eastAsia="Arial" w:hAnsi="Arial"/>
          <w:sz w:val="15"/>
          <w:szCs w:val="15"/>
          <w:color w:val="auto"/>
        </w:rPr>
        <w:t>Fair value of Class A common stock was the closing market price of the Class A common stock on July 29, 2020.</w:t>
      </w:r>
    </w:p>
    <w:p>
      <w:pPr>
        <w:spacing w:after="0" w:line="17" w:lineRule="exact"/>
        <w:rPr>
          <w:rFonts w:ascii="Arial" w:cs="Arial" w:eastAsia="Arial" w:hAnsi="Arial"/>
          <w:sz w:val="15"/>
          <w:szCs w:val="15"/>
          <w:color w:val="auto"/>
        </w:rPr>
      </w:pPr>
    </w:p>
    <w:p>
      <w:pPr>
        <w:ind w:left="410" w:hanging="410"/>
        <w:spacing w:after="0"/>
        <w:tabs>
          <w:tab w:leader="none" w:pos="41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Expected term of share options is based on the average of the vesting period and the contractual term for each grant according to Staff Accounting Bulletin 110.</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79"/>
        </w:numPr>
        <w:rPr>
          <w:rFonts w:ascii="Arial" w:cs="Arial" w:eastAsia="Arial" w:hAnsi="Arial"/>
          <w:sz w:val="15"/>
          <w:szCs w:val="15"/>
          <w:color w:val="auto"/>
        </w:rPr>
      </w:pPr>
      <w:r>
        <w:rPr>
          <w:rFonts w:ascii="Arial" w:cs="Arial" w:eastAsia="Arial" w:hAnsi="Arial"/>
          <w:sz w:val="15"/>
          <w:szCs w:val="15"/>
          <w:color w:val="auto"/>
        </w:rPr>
        <w:t>Volatility is calculated based on the historical volatility of the stock of companies comparable to ACM in the period equal to the expected term of each grant.</w:t>
      </w:r>
    </w:p>
    <w:p>
      <w:pPr>
        <w:spacing w:after="0" w:line="8" w:lineRule="exact"/>
        <w:rPr>
          <w:rFonts w:ascii="Arial" w:cs="Arial" w:eastAsia="Arial" w:hAnsi="Arial"/>
          <w:sz w:val="15"/>
          <w:szCs w:val="15"/>
          <w:color w:val="auto"/>
        </w:rPr>
      </w:pPr>
    </w:p>
    <w:p>
      <w:pPr>
        <w:ind w:left="410" w:hanging="410"/>
        <w:spacing w:after="0"/>
        <w:tabs>
          <w:tab w:leader="none" w:pos="41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share options in effect at the time of grant.</w:t>
      </w:r>
    </w:p>
    <w:p>
      <w:pPr>
        <w:spacing w:after="0" w:line="20" w:lineRule="exact"/>
        <w:rPr>
          <w:rFonts w:ascii="Arial" w:cs="Arial" w:eastAsia="Arial" w:hAnsi="Arial"/>
          <w:sz w:val="14"/>
          <w:szCs w:val="14"/>
          <w:color w:val="auto"/>
        </w:rPr>
      </w:pPr>
    </w:p>
    <w:p>
      <w:pPr>
        <w:ind w:left="410" w:hanging="410"/>
        <w:spacing w:after="0"/>
        <w:tabs>
          <w:tab w:leader="none" w:pos="41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Expected dividend is assumed to be 0%, as ACM has no history or expectation of paying a dividend on its common stock.</w:t>
      </w:r>
    </w:p>
    <w:p>
      <w:pPr>
        <w:spacing w:after="0" w:line="180" w:lineRule="exact"/>
        <w:rPr>
          <w:sz w:val="20"/>
          <w:szCs w:val="20"/>
          <w:color w:val="auto"/>
        </w:rPr>
      </w:pPr>
    </w:p>
    <w:p>
      <w:pPr>
        <w:jc w:val="both"/>
        <w:ind w:left="10" w:right="20"/>
        <w:spacing w:after="0" w:line="276" w:lineRule="auto"/>
        <w:rPr>
          <w:sz w:val="20"/>
          <w:szCs w:val="20"/>
          <w:color w:val="auto"/>
        </w:rPr>
      </w:pPr>
      <w:r>
        <w:rPr>
          <w:rFonts w:ascii="Arial" w:cs="Arial" w:eastAsia="Arial" w:hAnsi="Arial"/>
          <w:sz w:val="15"/>
          <w:szCs w:val="15"/>
          <w:color w:val="auto"/>
        </w:rPr>
        <w:t>On June 9, 2021, subsequent to its obtaining the necessary PRC approvals, SMC exercised the 2020 Warrant by paying the $1,820 exercise price to ACM and surrendering the 2020 Warrant to ACM. In return, ACM delivered 242,681 shares of ACM Class A common stock to SMC.</w:t>
      </w:r>
    </w:p>
    <w:p>
      <w:pPr>
        <w:spacing w:after="0" w:line="142"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NOTE 16 – TRADING SECURITIES</w:t>
      </w:r>
    </w:p>
    <w:p>
      <w:pPr>
        <w:spacing w:after="0" w:line="194" w:lineRule="exact"/>
        <w:rPr>
          <w:sz w:val="20"/>
          <w:szCs w:val="20"/>
          <w:color w:val="auto"/>
        </w:rPr>
      </w:pPr>
    </w:p>
    <w:p>
      <w:pPr>
        <w:jc w:val="both"/>
        <w:ind w:left="10"/>
        <w:spacing w:after="0" w:line="303" w:lineRule="auto"/>
        <w:rPr>
          <w:sz w:val="20"/>
          <w:szCs w:val="20"/>
          <w:color w:val="auto"/>
        </w:rPr>
      </w:pPr>
      <w:r>
        <w:rPr>
          <w:rFonts w:ascii="Arial" w:cs="Arial" w:eastAsia="Arial" w:hAnsi="Arial"/>
          <w:sz w:val="13"/>
          <w:szCs w:val="13"/>
          <w:color w:val="auto"/>
        </w:rPr>
        <w:t>Pursuant to a Partnership Agreement dated June 9, 2020 (the “Partnership Agreement”) and a Supplementary Agreement thereto dated June 15, 2020 (the “Supplementary Agreement”), ACM Shanghai became a limited partner of Qingdao Fortune-Tech Xinxing Capital Partnership (L.P.), a Chinese limited partnership based in Shanghai, China (the “Partnership”) of which China Fortune-Tech Capital Co., Ltd serves as general partner and thirteen unaffiliated entities serve, with ACM Shanghai, as limited partners. The Partnership was formed to establish a special fund that would purchase, in a strategic placement, shares of Semiconductor Manufacturing International Corporation, (“SMIC”) to be listed on the STAR Market. SMIC is a Shanghai-based foundry that has been a customer of the Company’s single-wafer wet-cleaning tools. The limited partners of the Partnership contributed to the fund a total of RMB 2.224 billion ($315.0 million), of which ACM Shanghai contributed RMB 100 million ($14.2 million), or 4.3% of the total contribution, on June 18, 2020.</w:t>
      </w:r>
    </w:p>
    <w:p>
      <w:pPr>
        <w:spacing w:after="0" w:line="135" w:lineRule="exact"/>
        <w:rPr>
          <w:sz w:val="20"/>
          <w:szCs w:val="20"/>
          <w:color w:val="auto"/>
        </w:rPr>
      </w:pPr>
    </w:p>
    <w:p>
      <w:pPr>
        <w:jc w:val="both"/>
        <w:ind w:left="10"/>
        <w:spacing w:after="0" w:line="255" w:lineRule="auto"/>
        <w:rPr>
          <w:sz w:val="20"/>
          <w:szCs w:val="20"/>
          <w:color w:val="auto"/>
        </w:rPr>
      </w:pPr>
      <w:r>
        <w:rPr>
          <w:rFonts w:ascii="Arial" w:cs="Arial" w:eastAsia="Arial" w:hAnsi="Arial"/>
          <w:sz w:val="15"/>
          <w:szCs w:val="15"/>
          <w:color w:val="auto"/>
        </w:rPr>
        <w:t>Upon the closing of the SMIC offering in July 2020, the initial number of SMIC shares owned by the Partnership was apportioned to all of the limited partners in proportion to their respective capital contributions (4.3% in the case of ACM Shanghai). All of the SMIC shares acquired by the Partnership are subject, under applicable Chinese laws, to lock-up restrictions that prevent sales of the shares for one year after the shares were acquired. Thereafter an individual limited partner will be able to instruct the general partner to sell, on behalf of the limited partner, all or a portion of the limited partner’s apportioned shares, subject to compliance with all laws, regulations, trading rules, the Partnership Agreement and the Supplementary Agreement. Alternatively, following the lock-up period, limited partners holding at least thirty percent of the total SMIC shares held by the Partnership will be able, pursuant to a call auction in accordance with the Supplementary Agreement, to cause the general partner to arrange to sell all of the shares desired to be offered by each of the limited partners that complies with procedural requirements provided in the Supplementary Agreement.</w:t>
      </w:r>
    </w:p>
    <w:p>
      <w:pPr>
        <w:spacing w:after="0" w:line="165"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As SMIC was listed on the STAR Market in July 2020, ACM Shanghai’s investment is accounted for as trading securities and is stated at fair market value. At December 31, 2020, the fair market value is classified as Level 2 of the hierarchy established under ASC 820 with valuations based on quoted prices for identical securities in active markets, less a discount applied to reflect the remaining lock-up period. Following the expiration of the lock-up period in July 2021, the trading securities are stated at fair market value, which is classified as Level 1 of the hierarchy established under ASC 820 with valuations based on quoted prices for identical securities in active markets at December 31, 2021.</w:t>
      </w:r>
    </w:p>
    <w:p>
      <w:pPr>
        <w:spacing w:after="0" w:line="296"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111" w:name="page112"/>
    <w:bookmarkEnd w:id="11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gridSpan w:val="2"/>
          </w:tcPr>
          <w:p>
            <w:pPr>
              <w:spacing w:after="0"/>
              <w:rPr>
                <w:sz w:val="20"/>
                <w:szCs w:val="20"/>
                <w:color w:val="auto"/>
              </w:rPr>
            </w:pPr>
            <w:r>
              <w:rPr>
                <w:rFonts w:ascii="Arial" w:cs="Arial" w:eastAsia="Arial" w:hAnsi="Arial"/>
                <w:sz w:val="15"/>
                <w:szCs w:val="15"/>
                <w:color w:val="auto"/>
              </w:rPr>
              <w:t>The components of trading securities were as follows:</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85"/>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80"/>
        </w:trPr>
        <w:tc>
          <w:tcPr>
            <w:tcW w:w="5000" w:type="dxa"/>
            <w:vAlign w:val="bottom"/>
            <w:gridSpan w:val="2"/>
          </w:tcPr>
          <w:p>
            <w:pPr>
              <w:spacing w:after="0"/>
              <w:rPr>
                <w:sz w:val="20"/>
                <w:szCs w:val="20"/>
                <w:color w:val="auto"/>
              </w:rPr>
            </w:pPr>
            <w:r>
              <w:rPr>
                <w:rFonts w:ascii="Arial" w:cs="Arial" w:eastAsia="Arial" w:hAnsi="Arial"/>
                <w:sz w:val="15"/>
                <w:szCs w:val="15"/>
                <w:color w:val="auto"/>
              </w:rPr>
              <w:t>Trading securities listed in Shanghai Stock Exchange</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Cost</w:t>
            </w:r>
          </w:p>
        </w:tc>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15,363</w:t>
            </w: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225"/>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15,020</w:t>
            </w:r>
          </w:p>
        </w:tc>
      </w:tr>
      <w:tr>
        <w:trPr>
          <w:trHeight w:val="190"/>
        </w:trPr>
        <w:tc>
          <w:tcPr>
            <w:tcW w:w="2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Arial" w:cs="Arial" w:eastAsia="Arial" w:hAnsi="Arial"/>
                <w:sz w:val="15"/>
                <w:szCs w:val="15"/>
                <w:color w:val="auto"/>
              </w:rPr>
              <w:t>Market value</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29,498</w:t>
            </w:r>
          </w:p>
        </w:tc>
        <w:tc>
          <w:tcPr>
            <w:tcW w:w="120" w:type="dxa"/>
            <w:vAlign w:val="bottom"/>
          </w:tcPr>
          <w:p>
            <w:pPr>
              <w:spacing w:after="0"/>
              <w:rPr>
                <w:sz w:val="16"/>
                <w:szCs w:val="16"/>
                <w:color w:val="auto"/>
              </w:rPr>
            </w:pPr>
          </w:p>
        </w:tc>
        <w:tc>
          <w:tcPr>
            <w:tcW w:w="480" w:type="dxa"/>
            <w:vAlign w:val="bottom"/>
            <w:gridSpan w:val="3"/>
          </w:tcPr>
          <w:p>
            <w:pPr>
              <w:jc w:val="right"/>
              <w:ind w:right="225"/>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28,239</w:t>
            </w:r>
          </w:p>
        </w:tc>
      </w:tr>
      <w:tr>
        <w:trPr>
          <w:trHeight w:val="351"/>
        </w:trPr>
        <w:tc>
          <w:tcPr>
            <w:tcW w:w="9920" w:type="dxa"/>
            <w:vAlign w:val="bottom"/>
            <w:gridSpan w:val="10"/>
          </w:tcPr>
          <w:p>
            <w:pPr>
              <w:spacing w:after="0"/>
              <w:rPr>
                <w:sz w:val="20"/>
                <w:szCs w:val="20"/>
                <w:color w:val="auto"/>
              </w:rPr>
            </w:pPr>
            <w:r>
              <w:rPr>
                <w:rFonts w:ascii="Arial" w:cs="Arial" w:eastAsia="Arial" w:hAnsi="Arial"/>
                <w:sz w:val="15"/>
                <w:szCs w:val="15"/>
                <w:color w:val="auto"/>
                <w:w w:val="92"/>
              </w:rPr>
              <w:t>For the year ended December 31, 2021 and 2020, unrealized gain on trading securities, net of exchange difference amounted to $607 and $12,574, respectively.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5000" w:type="dxa"/>
            <w:vAlign w:val="bottom"/>
            <w:gridSpan w:val="2"/>
          </w:tcPr>
          <w:p>
            <w:pPr>
              <w:spacing w:after="0"/>
              <w:rPr>
                <w:sz w:val="20"/>
                <w:szCs w:val="20"/>
                <w:color w:val="auto"/>
              </w:rPr>
            </w:pPr>
            <w:r>
              <w:rPr>
                <w:rFonts w:ascii="Arial" w:cs="Arial" w:eastAsia="Arial" w:hAnsi="Arial"/>
                <w:sz w:val="15"/>
                <w:szCs w:val="15"/>
                <w:b w:val="1"/>
                <w:bCs w:val="1"/>
                <w:color w:val="auto"/>
              </w:rPr>
              <w:t>NOTE 17 – RELATED PARTY BALANCES AND TRANSACTIONS</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5000" w:type="dxa"/>
            <w:vAlign w:val="bottom"/>
            <w:gridSpan w:val="2"/>
          </w:tcPr>
          <w:p>
            <w:pPr>
              <w:spacing w:after="0"/>
              <w:rPr>
                <w:sz w:val="20"/>
                <w:szCs w:val="20"/>
                <w:color w:val="auto"/>
              </w:rPr>
            </w:pPr>
            <w:r>
              <w:rPr>
                <w:rFonts w:ascii="Arial" w:cs="Arial" w:eastAsia="Arial" w:hAnsi="Arial"/>
                <w:sz w:val="15"/>
                <w:szCs w:val="15"/>
                <w:b w:val="1"/>
                <w:bCs w:val="1"/>
                <w:color w:val="auto"/>
              </w:rPr>
              <w:t>Prepaid expenses</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Ninebell</w:t>
            </w:r>
          </w:p>
        </w:tc>
        <w:tc>
          <w:tcPr>
            <w:tcW w:w="2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5000" w:type="dxa"/>
            <w:vAlign w:val="bottom"/>
            <w:gridSpan w:val="2"/>
          </w:tcPr>
          <w:p>
            <w:pPr>
              <w:spacing w:after="0"/>
              <w:rPr>
                <w:sz w:val="20"/>
                <w:szCs w:val="20"/>
                <w:color w:val="auto"/>
              </w:rPr>
            </w:pPr>
            <w:r>
              <w:rPr>
                <w:rFonts w:ascii="Arial" w:cs="Arial" w:eastAsia="Arial" w:hAnsi="Arial"/>
                <w:sz w:val="15"/>
                <w:szCs w:val="15"/>
                <w:b w:val="1"/>
                <w:bCs w:val="1"/>
                <w:color w:val="auto"/>
              </w:rPr>
              <w:t>Accounts payable</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5"/>
                <w:szCs w:val="15"/>
                <w:b w:val="1"/>
                <w:bCs w:val="1"/>
                <w:color w:val="auto"/>
                <w:w w:val="89"/>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Ninebell</w:t>
            </w:r>
          </w:p>
        </w:tc>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2,898</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5"/>
                <w:szCs w:val="15"/>
                <w:color w:val="auto"/>
              </w:rPr>
              <w:t>Shengyi</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1,195</w:t>
            </w:r>
          </w:p>
        </w:tc>
      </w:tr>
      <w:tr>
        <w:trPr>
          <w:trHeight w:val="221"/>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2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7,899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gridSpan w:val="2"/>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center"/>
              <w:ind w:left="445"/>
              <w:spacing w:after="0"/>
              <w:rPr>
                <w:sz w:val="20"/>
                <w:szCs w:val="20"/>
                <w:color w:val="auto"/>
              </w:rPr>
            </w:pPr>
            <w:r>
              <w:rPr>
                <w:rFonts w:ascii="Arial" w:cs="Arial" w:eastAsia="Arial" w:hAnsi="Arial"/>
                <w:sz w:val="15"/>
                <w:szCs w:val="15"/>
                <w:b w:val="1"/>
                <w:bCs w:val="1"/>
                <w:color w:val="auto"/>
                <w:w w:val="91"/>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5000" w:type="dxa"/>
            <w:vAlign w:val="bottom"/>
            <w:gridSpan w:val="2"/>
          </w:tcPr>
          <w:p>
            <w:pPr>
              <w:spacing w:after="0"/>
              <w:rPr>
                <w:sz w:val="20"/>
                <w:szCs w:val="20"/>
                <w:color w:val="auto"/>
              </w:rPr>
            </w:pPr>
            <w:r>
              <w:rPr>
                <w:rFonts w:ascii="Arial" w:cs="Arial" w:eastAsia="Arial" w:hAnsi="Arial"/>
                <w:sz w:val="15"/>
                <w:szCs w:val="15"/>
                <w:b w:val="1"/>
                <w:bCs w:val="1"/>
                <w:color w:val="auto"/>
              </w:rPr>
              <w:t>Purchase of materials</w:t>
            </w:r>
          </w:p>
        </w:tc>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5"/>
                <w:szCs w:val="15"/>
                <w:b w:val="1"/>
                <w:bCs w:val="1"/>
                <w:color w:val="auto"/>
                <w:w w:val="89"/>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2019</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Ninebell</w:t>
            </w:r>
          </w:p>
        </w:tc>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33,659</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15,251</w:t>
            </w:r>
          </w:p>
        </w:tc>
        <w:tc>
          <w:tcPr>
            <w:tcW w:w="1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8,572</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5"/>
                <w:szCs w:val="15"/>
                <w:color w:val="auto"/>
              </w:rPr>
              <w:t>Shengyi</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2,434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2,300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856</w:t>
            </w:r>
          </w:p>
        </w:tc>
      </w:tr>
      <w:tr>
        <w:trPr>
          <w:trHeight w:val="221"/>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2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36,093</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center"/>
              <w:ind w:left="445"/>
              <w:spacing w:after="0"/>
              <w:rPr>
                <w:sz w:val="20"/>
                <w:szCs w:val="20"/>
                <w:color w:val="auto"/>
              </w:rPr>
            </w:pPr>
            <w:r>
              <w:rPr>
                <w:rFonts w:ascii="Arial" w:cs="Arial" w:eastAsia="Arial" w:hAnsi="Arial"/>
                <w:sz w:val="15"/>
                <w:szCs w:val="15"/>
                <w:b w:val="1"/>
                <w:bCs w:val="1"/>
                <w:color w:val="auto"/>
                <w:w w:val="91"/>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5000" w:type="dxa"/>
            <w:vAlign w:val="bottom"/>
            <w:gridSpan w:val="2"/>
          </w:tcPr>
          <w:p>
            <w:pPr>
              <w:spacing w:after="0"/>
              <w:rPr>
                <w:sz w:val="20"/>
                <w:szCs w:val="20"/>
                <w:color w:val="auto"/>
              </w:rPr>
            </w:pPr>
            <w:r>
              <w:rPr>
                <w:rFonts w:ascii="Arial" w:cs="Arial" w:eastAsia="Arial" w:hAnsi="Arial"/>
                <w:sz w:val="15"/>
                <w:szCs w:val="15"/>
                <w:b w:val="1"/>
                <w:bCs w:val="1"/>
                <w:color w:val="auto"/>
              </w:rPr>
              <w:t>Service fee charged by</w:t>
            </w:r>
          </w:p>
        </w:tc>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5"/>
              <w:spacing w:after="0"/>
              <w:rPr>
                <w:sz w:val="20"/>
                <w:szCs w:val="20"/>
                <w:color w:val="auto"/>
              </w:rPr>
            </w:pPr>
            <w:r>
              <w:rPr>
                <w:rFonts w:ascii="Arial" w:cs="Arial" w:eastAsia="Arial" w:hAnsi="Arial"/>
                <w:sz w:val="15"/>
                <w:szCs w:val="15"/>
                <w:b w:val="1"/>
                <w:bCs w:val="1"/>
                <w:color w:val="auto"/>
                <w:w w:val="89"/>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2019</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Shengyi</w:t>
            </w:r>
          </w:p>
        </w:tc>
        <w:tc>
          <w:tcPr>
            <w:tcW w:w="23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1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rPr>
                <w:sz w:val="15"/>
                <w:szCs w:val="15"/>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4980" w:type="dxa"/>
            <w:vAlign w:val="bottom"/>
          </w:tcPr>
          <w:p>
            <w:pPr>
              <w:spacing w:after="0"/>
              <w:rPr>
                <w:sz w:val="20"/>
                <w:szCs w:val="20"/>
                <w:color w:val="auto"/>
              </w:rPr>
            </w:pPr>
            <w:r>
              <w:rPr>
                <w:rFonts w:ascii="Arial" w:cs="Arial" w:eastAsia="Arial" w:hAnsi="Arial"/>
                <w:sz w:val="15"/>
                <w:szCs w:val="15"/>
                <w:color w:val="auto"/>
              </w:rPr>
              <w:t>Ninebell</w:t>
            </w: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1"/>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2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6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320" w:type="dxa"/>
            <w:vAlign w:val="bottom"/>
          </w:tcPr>
          <w:p>
            <w:pPr>
              <w:jc w:val="right"/>
              <w:ind w:right="1540"/>
              <w:spacing w:after="0"/>
              <w:rPr>
                <w:sz w:val="20"/>
                <w:szCs w:val="20"/>
                <w:color w:val="auto"/>
              </w:rPr>
            </w:pPr>
            <w:r>
              <w:rPr>
                <w:rFonts w:ascii="Arial" w:cs="Arial" w:eastAsia="Arial" w:hAnsi="Arial"/>
                <w:sz w:val="12"/>
                <w:szCs w:val="12"/>
                <w:color w:val="auto"/>
              </w:rPr>
              <w:t>112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20" w:type="dxa"/>
            <w:vAlign w:val="bottom"/>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12" w:name="page113"/>
    <w:bookmarkEnd w:id="11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18 – COMMON STOCK</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At December 31, 2020, ACM was authorized to issue 50,000,000 shares of Class A common stock and 2,409,738 shares of Class B common stock, each with a par value of $0.0001. On July 13, 2021, the Company filed a certificate of amendment to its restated certificate of incorporation with the Secretary of State of the State of Delaware. The amendment i) increased the authorized number of shares of Class A common stock from 50,000,000 to 150,000,000 with 60,000,000 of the 100,000,000 additional authorized shares of Class A common stock reserved for issuance only as dividends on outstanding shares of Class A common stock; ii) increased the authorized number of shares of Class B common stock from 2,409,738 to 5,307,816, with all of the authorized but unissued shares of Class B common stock being available for issuance only as dividends on outstanding shares of Class B common stock; and iii) removed a now obsolete provision related to the automatic conversion of Class B common stock into Class A common stock. The amendment to ACM’s certificate of incorporation that increased the number of authorized Class A common stock and Class B common stock was approved by ACM’s stockholders on June 2, 2021.</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At December 31, 2021, ACM was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March 30, 2018, SMC exercised the SMC Warrant in full (note 15) to purchase 397,502 shares of Class A common stock. During the year ended December 31, 2020, SMC transferred and cancelled its ownership of 242,681 shares of Class A common stock to ACM in exchange for the SMC 2020 Warrant (note 15).</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the year ended December 31, 2021, the Company issued 623,601 shares of Class A common stock upon options exercises by certain employees and non-employees and an additional 106,668 shares of Class A common stock upon conversion of an equal number of shares of Class B common stock. During the year ended December 31, 2020, ACM issued 832,504 shares of Class A common stock upon option exercises by employees and non-employees and an additional 60,002 shares of Class A common stock upon conversion of an equal number of shares of Class B common stock. During the year ended December 31, 2019, ACM issued 195,297 shares of Class A common stock upon option exercises by employees and non-employees and an additional 35,815 shares of Class A common stock upon conversion of an equal number of shares of Class B common stock.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During the year ended December 31, 2021, ACM issued 242,681 shares of Class A common stock upon the warrant exercise SMC (Note 15). During the year ended December 31, 2020, ACM issued 64,717 shares of Class A common stock upon cashless warrant exercises by non-employees. During the year ended December 31, 2019, ACM issued 1,438 shares of Class A common stock upon cashless warrant exercises by non-employees.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August 2019, ACM sold a total of 2,053,572 shares of Class A common stock to the public at a price of $14.00 per share for aggregate gross proceeds of $28,750. Net proceeds to ACM excluded an underwriting discount and offering expenses totaling $2,287. ACM repurchased outstanding shares from certain directors, employees and SMC upon the exercise of the underwriters’ over-allotment option using a portion of ACM’s net proceeds from the public offering for the purpose of share constructive retirement. A total of 214,286 repurchased shares were accounted for share retirement during the year ended December 31, 2019.</w:t>
      </w:r>
    </w:p>
    <w:p>
      <w:pPr>
        <w:spacing w:after="0" w:line="158"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At December 31, 2021 and 2020, the number of shares of Class A common stock issued and outstanding was 17,869,643 and 16,896,693, respectively. At December 31, 2021 and 2020, the number of shares of Class B common stock issued and outstanding was 1,695,938 and 1,802,606, respectively.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3" w:name="page114"/>
    <w:bookmarkEnd w:id="11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19 – REDEEMABLE NON-CONTROLLING INTERESTS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recorded initial carrying amount of redeemable non-controlling interests at fair value on the date of issuance, and presented in temporary equity on the consolidated balance sheets initially.</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the non-controlling interests would be redeemable at a fixed purchase price, it is classified as common-share non-controlling interests redeemable at other than fair value. The Company applied the entire adjustment method (income classification) for subsequent measurement in accordance with Financial Accounting Standards Board (the “FASB”) Accounting Standards Classification (“ASC”) ASC 480-10-S99.</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second quarter of 2020, the redemption feature of the private placement funding terminated and the aggregate proceeds of the funding therefore were reclassified from redeemable non-controlling interests to non-controlling interests. At September 30, 2020, the balance of redeemable non-controlling interest was nil.</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gridSpan w:val="2"/>
          </w:tcPr>
          <w:p>
            <w:pPr>
              <w:spacing w:after="0"/>
              <w:rPr>
                <w:sz w:val="20"/>
                <w:szCs w:val="20"/>
                <w:color w:val="auto"/>
              </w:rPr>
            </w:pPr>
            <w:r>
              <w:rPr>
                <w:rFonts w:ascii="Arial" w:cs="Arial" w:eastAsia="Arial" w:hAnsi="Arial"/>
                <w:sz w:val="15"/>
                <w:szCs w:val="15"/>
                <w:color w:val="auto"/>
                <w:w w:val="95"/>
              </w:rPr>
              <w:t>The components of the change in the redeemable non-controlling interests for the year ended December 31, 2020 are presented in the following table:</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9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2019</w:t>
            </w:r>
          </w:p>
        </w:tc>
        <w:tc>
          <w:tcPr>
            <w:tcW w:w="880" w:type="dxa"/>
            <w:vAlign w:val="bottom"/>
            <w:gridSpan w:val="2"/>
            <w:shd w:val="clear" w:color="auto" w:fill="CCEEFF"/>
          </w:tcPr>
          <w:p>
            <w:pPr>
              <w:jc w:val="right"/>
              <w:ind w:right="225"/>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60,162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500" w:type="dxa"/>
            <w:vAlign w:val="bottom"/>
          </w:tcPr>
          <w:p>
            <w:pPr>
              <w:ind w:left="100"/>
              <w:spacing w:after="0"/>
              <w:rPr>
                <w:sz w:val="20"/>
                <w:szCs w:val="20"/>
                <w:color w:val="auto"/>
              </w:rPr>
            </w:pPr>
            <w:r>
              <w:rPr>
                <w:rFonts w:ascii="Arial" w:cs="Arial" w:eastAsia="Arial" w:hAnsi="Arial"/>
                <w:sz w:val="15"/>
                <w:szCs w:val="15"/>
                <w:color w:val="auto"/>
              </w:rPr>
              <w:t>Net income attributable to redeemable non-controlling interests</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Effect of foreign currency translation gain attributable to redeemable non-controlling interests</w:t>
            </w:r>
          </w:p>
        </w:tc>
        <w:tc>
          <w:tcPr>
            <w:tcW w:w="5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500" w:type="dxa"/>
            <w:vAlign w:val="bottom"/>
          </w:tcPr>
          <w:p>
            <w:pPr>
              <w:ind w:left="100"/>
              <w:spacing w:after="0"/>
              <w:rPr>
                <w:sz w:val="20"/>
                <w:szCs w:val="20"/>
                <w:color w:val="auto"/>
              </w:rPr>
            </w:pPr>
            <w:r>
              <w:rPr>
                <w:rFonts w:ascii="Arial" w:cs="Arial" w:eastAsia="Arial" w:hAnsi="Arial"/>
                <w:sz w:val="15"/>
                <w:szCs w:val="15"/>
                <w:color w:val="auto"/>
              </w:rPr>
              <w:t>Reclassification of redeemable non-controlling interest</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(59,958)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2020</w:t>
            </w:r>
          </w:p>
        </w:tc>
        <w:tc>
          <w:tcPr>
            <w:tcW w:w="5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20 – STOCK-BASED COMPENSATION</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January 2020 ACM Shanghai adopted a 2019 Stock Option Incentive Plan (the “Subsidiary Stock Option Plan”) that provides for, among other incentives, the granting to officers, directors, employees of options to purchase shares of ACM Shanghai’s common stock. The fair value of the stock options granted is estimated at the date of grant based on the Black-Scholes option pricing model using assumptions generally consistent with those used for ACM’s stock options. Because ACM Shanghai shares did not begin trading until November 2021, the expected volatility is estimated with reference to the average historical volatility of a group of publicly traded companies that are believed to have similar characteristics to ACM Shanghai.</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ACM’s stock-based compensation consists of employee and non-employee awards issued under the 1998 Stock Option Plan and the 2016 Omnibus Incentive Plan and as standalone options. ACM granted stock options to employees under the 2016 Omnibus Incentive Plan during the years ended December 31, 2021, 2020 and 2019. The vesting condition may consist of service period determined by the Board of Directors for a grant, or certain performance conditions determined by the Board of Directors for a grant. The fair value of the stock options granted with service period based condition is estimated at the date of grant using the Black-Scholes option pricing model. The fair value of the stock options granted with market based condition is estimated at the date of grant using the Monte Carlo simulation model.</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4" w:name="page115"/>
    <w:bookmarkEnd w:id="11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components of stock-based compensation expense included in the consolidated statements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4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48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180"/>
        </w:trPr>
        <w:tc>
          <w:tcPr>
            <w:tcW w:w="4840" w:type="dxa"/>
            <w:vAlign w:val="bottom"/>
          </w:tcPr>
          <w:p>
            <w:pPr>
              <w:spacing w:after="0"/>
              <w:rPr>
                <w:sz w:val="20"/>
                <w:szCs w:val="20"/>
                <w:color w:val="auto"/>
              </w:rPr>
            </w:pPr>
            <w:r>
              <w:rPr>
                <w:rFonts w:ascii="Arial" w:cs="Arial" w:eastAsia="Arial" w:hAnsi="Arial"/>
                <w:sz w:val="15"/>
                <w:szCs w:val="15"/>
                <w:b w:val="1"/>
                <w:bCs w:val="1"/>
                <w:color w:val="auto"/>
              </w:rPr>
              <w:t>Stock-Based Compensation Expense:</w:t>
            </w:r>
          </w:p>
        </w:tc>
        <w:tc>
          <w:tcPr>
            <w:tcW w:w="2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3240" w:type="dxa"/>
            <w:vAlign w:val="bottom"/>
            <w:gridSpan w:val="2"/>
            <w:shd w:val="clear" w:color="auto" w:fill="CCEEFF"/>
          </w:tcPr>
          <w:p>
            <w:pPr>
              <w:jc w:val="right"/>
              <w:ind w:right="605"/>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250</w:t>
            </w:r>
          </w:p>
        </w:tc>
      </w:tr>
      <w:tr>
        <w:trPr>
          <w:trHeight w:val="181"/>
        </w:trPr>
        <w:tc>
          <w:tcPr>
            <w:tcW w:w="4840" w:type="dxa"/>
            <w:vAlign w:val="bottom"/>
          </w:tcPr>
          <w:p>
            <w:pPr>
              <w:spacing w:after="0"/>
              <w:rPr>
                <w:sz w:val="20"/>
                <w:szCs w:val="20"/>
                <w:color w:val="auto"/>
              </w:rPr>
            </w:pPr>
            <w:r>
              <w:rPr>
                <w:rFonts w:ascii="Arial" w:cs="Arial" w:eastAsia="Arial" w:hAnsi="Arial"/>
                <w:sz w:val="15"/>
                <w:szCs w:val="15"/>
                <w:color w:val="auto"/>
              </w:rPr>
              <w:t>Sales and marketing expense</w:t>
            </w:r>
          </w:p>
        </w:tc>
        <w:tc>
          <w:tcPr>
            <w:tcW w:w="2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1,802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1,199</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328</w:t>
            </w:r>
          </w:p>
        </w:tc>
      </w:tr>
      <w:tr>
        <w:trPr>
          <w:trHeight w:val="181"/>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expense</w:t>
            </w:r>
          </w:p>
        </w:tc>
        <w:tc>
          <w:tcPr>
            <w:tcW w:w="2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1,115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763</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1,093</w:t>
            </w:r>
          </w:p>
        </w:tc>
      </w:tr>
      <w:tr>
        <w:trPr>
          <w:trHeight w:val="184"/>
        </w:trPr>
        <w:tc>
          <w:tcPr>
            <w:tcW w:w="4840" w:type="dxa"/>
            <w:vAlign w:val="bottom"/>
          </w:tcPr>
          <w:p>
            <w:pPr>
              <w:spacing w:after="0"/>
              <w:rPr>
                <w:sz w:val="20"/>
                <w:szCs w:val="20"/>
                <w:color w:val="auto"/>
              </w:rPr>
            </w:pPr>
            <w:r>
              <w:rPr>
                <w:rFonts w:ascii="Arial" w:cs="Arial" w:eastAsia="Arial" w:hAnsi="Arial"/>
                <w:sz w:val="15"/>
                <w:szCs w:val="15"/>
                <w:color w:val="auto"/>
              </w:rPr>
              <w:t>General and administrative expense</w:t>
            </w:r>
          </w:p>
        </w:tc>
        <w:tc>
          <w:tcPr>
            <w:tcW w:w="2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1,803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3,491</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1,901</w:t>
            </w:r>
          </w:p>
        </w:tc>
      </w:tr>
      <w:tr>
        <w:trPr>
          <w:trHeight w:val="221"/>
        </w:trPr>
        <w:tc>
          <w:tcPr>
            <w:tcW w:w="484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5,117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5,628</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4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180"/>
        </w:trPr>
        <w:tc>
          <w:tcPr>
            <w:tcW w:w="7340" w:type="dxa"/>
            <w:vAlign w:val="bottom"/>
          </w:tcPr>
          <w:p>
            <w:pPr>
              <w:spacing w:after="0"/>
              <w:rPr>
                <w:sz w:val="20"/>
                <w:szCs w:val="20"/>
                <w:color w:val="auto"/>
              </w:rPr>
            </w:pPr>
            <w:r>
              <w:rPr>
                <w:rFonts w:ascii="Arial" w:cs="Arial" w:eastAsia="Arial" w:hAnsi="Arial"/>
                <w:sz w:val="15"/>
                <w:szCs w:val="15"/>
                <w:b w:val="1"/>
                <w:bCs w:val="1"/>
                <w:color w:val="auto"/>
              </w:rPr>
              <w:t>Stock-based compensation expense by type:</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Employee stock purchase plan</w:t>
            </w:r>
          </w:p>
        </w:tc>
        <w:tc>
          <w:tcPr>
            <w:tcW w:w="740" w:type="dxa"/>
            <w:vAlign w:val="bottom"/>
            <w:shd w:val="clear" w:color="auto" w:fill="CCEEFF"/>
          </w:tcPr>
          <w:p>
            <w:pPr>
              <w:jc w:val="right"/>
              <w:ind w:right="623"/>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4,674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4,900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2,265</w:t>
            </w:r>
          </w:p>
        </w:tc>
      </w:tr>
      <w:tr>
        <w:trPr>
          <w:trHeight w:val="181"/>
        </w:trPr>
        <w:tc>
          <w:tcPr>
            <w:tcW w:w="7340" w:type="dxa"/>
            <w:vAlign w:val="bottom"/>
          </w:tcPr>
          <w:p>
            <w:pPr>
              <w:spacing w:after="0"/>
              <w:rPr>
                <w:sz w:val="20"/>
                <w:szCs w:val="20"/>
                <w:color w:val="auto"/>
              </w:rPr>
            </w:pPr>
            <w:r>
              <w:rPr>
                <w:rFonts w:ascii="Arial" w:cs="Arial" w:eastAsia="Arial" w:hAnsi="Arial"/>
                <w:sz w:val="15"/>
                <w:szCs w:val="15"/>
                <w:color w:val="auto"/>
              </w:rPr>
              <w:t>Non-employee stock purchase plan</w:t>
            </w: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94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396</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1,307</w:t>
            </w:r>
          </w:p>
        </w:tc>
      </w:tr>
      <w:tr>
        <w:trPr>
          <w:trHeight w:val="181"/>
        </w:trPr>
        <w:tc>
          <w:tcPr>
            <w:tcW w:w="7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Subsidiary option grants</w:t>
            </w: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332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3"/>
        </w:trPr>
        <w:tc>
          <w:tcPr>
            <w:tcW w:w="73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1"/>
        </w:trPr>
        <w:tc>
          <w:tcPr>
            <w:tcW w:w="7340" w:type="dxa"/>
            <w:vAlign w:val="bottom"/>
          </w:tcPr>
          <w:p>
            <w:pPr>
              <w:spacing w:after="0"/>
              <w:rPr>
                <w:sz w:val="15"/>
                <w:szCs w:val="15"/>
                <w:color w:val="auto"/>
              </w:rPr>
            </w:pPr>
          </w:p>
        </w:tc>
        <w:tc>
          <w:tcPr>
            <w:tcW w:w="740" w:type="dxa"/>
            <w:vAlign w:val="bottom"/>
          </w:tcPr>
          <w:p>
            <w:pPr>
              <w:jc w:val="right"/>
              <w:ind w:right="623"/>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5,117</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5,628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3,572</w:t>
            </w:r>
          </w:p>
        </w:tc>
      </w:tr>
      <w:tr>
        <w:trPr>
          <w:trHeight w:val="20"/>
        </w:trPr>
        <w:tc>
          <w:tcPr>
            <w:tcW w:w="7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fair value of options granted to employees with a service period based condition is estimated on the grant date using the Black-Scholes valuation model with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common share(1)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38.38-51.07</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22.07-85.27</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13.64-16.81</w:t>
            </w:r>
          </w:p>
        </w:tc>
        <w:tc>
          <w:tcPr>
            <w:tcW w:w="1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Expected term in years(2)</w:t>
            </w:r>
          </w:p>
        </w:tc>
        <w:tc>
          <w:tcPr>
            <w:tcW w:w="22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6.25</w:t>
            </w: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5.50-6.25</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6.25</w:t>
            </w: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Volatility(3)</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48.53-49.47%</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42.17%-48.15%</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7"/>
              </w:rPr>
              <w:t>39.91%-40.35%</w:t>
            </w:r>
          </w:p>
        </w:tc>
      </w:tr>
      <w:tr>
        <w:trPr>
          <w:trHeight w:val="181"/>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5"/>
                <w:szCs w:val="15"/>
                <w:color w:val="auto"/>
              </w:rPr>
              <w:t>Risk-free interest rate(4)</w:t>
            </w:r>
          </w:p>
        </w:tc>
        <w:tc>
          <w:tcPr>
            <w:tcW w:w="2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1.00%-1.44%</w:t>
            </w:r>
          </w:p>
        </w:tc>
        <w:tc>
          <w:tcPr>
            <w:tcW w:w="1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0.44%-0.82%</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1.69%-2.46%</w:t>
            </w:r>
          </w:p>
        </w:tc>
      </w:tr>
      <w:tr>
        <w:trPr>
          <w:trHeight w:val="181"/>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dividend(5)</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w:t>
            </w:r>
          </w:p>
        </w:tc>
      </w:tr>
    </w:tbl>
    <w:p>
      <w:pPr>
        <w:spacing w:after="0" w:line="170" w:lineRule="exact"/>
        <w:rPr>
          <w:sz w:val="20"/>
          <w:szCs w:val="20"/>
          <w:color w:val="auto"/>
        </w:rPr>
      </w:pPr>
    </w:p>
    <w:p>
      <w:pPr>
        <w:ind w:left="700" w:hanging="404"/>
        <w:spacing w:after="0"/>
        <w:tabs>
          <w:tab w:leader="none" w:pos="7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Fair value of Class A common stock value was the closing market price of the Class A common stock on the grant date.</w:t>
      </w:r>
    </w:p>
    <w:p>
      <w:pPr>
        <w:spacing w:after="0" w:line="17" w:lineRule="exact"/>
        <w:rPr>
          <w:rFonts w:ascii="Arial" w:cs="Arial" w:eastAsia="Arial" w:hAnsi="Arial"/>
          <w:sz w:val="15"/>
          <w:szCs w:val="15"/>
          <w:color w:val="auto"/>
        </w:rPr>
      </w:pPr>
    </w:p>
    <w:p>
      <w:pPr>
        <w:ind w:left="700" w:hanging="404"/>
        <w:spacing w:after="0"/>
        <w:tabs>
          <w:tab w:leader="none" w:pos="7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Expected term of share options is based on the average of the vesting period and the contractual term for each grant according to Staff Accounting Bulletin 110.</w:t>
      </w:r>
    </w:p>
    <w:p>
      <w:pPr>
        <w:spacing w:after="0" w:line="20" w:lineRule="exact"/>
        <w:rPr>
          <w:rFonts w:ascii="Arial" w:cs="Arial" w:eastAsia="Arial" w:hAnsi="Arial"/>
          <w:sz w:val="14"/>
          <w:szCs w:val="14"/>
          <w:color w:val="auto"/>
        </w:rPr>
      </w:pPr>
    </w:p>
    <w:p>
      <w:pPr>
        <w:ind w:left="700" w:hanging="404"/>
        <w:spacing w:after="0"/>
        <w:tabs>
          <w:tab w:leader="none" w:pos="7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Volatility is calculated based on the historical volatility of the stock of companies comparable to ACM in the period equal to the expected term of each grant.</w:t>
      </w:r>
    </w:p>
    <w:p>
      <w:pPr>
        <w:spacing w:after="0" w:line="8" w:lineRule="exact"/>
        <w:rPr>
          <w:rFonts w:ascii="Arial" w:cs="Arial" w:eastAsia="Arial" w:hAnsi="Arial"/>
          <w:sz w:val="15"/>
          <w:szCs w:val="15"/>
          <w:color w:val="auto"/>
        </w:rPr>
      </w:pPr>
    </w:p>
    <w:p>
      <w:pPr>
        <w:ind w:left="700" w:hanging="404"/>
        <w:spacing w:after="0"/>
        <w:tabs>
          <w:tab w:leader="none" w:pos="7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share options in effect at the time of grant.</w:t>
      </w:r>
    </w:p>
    <w:p>
      <w:pPr>
        <w:spacing w:after="0" w:line="20" w:lineRule="exact"/>
        <w:rPr>
          <w:rFonts w:ascii="Arial" w:cs="Arial" w:eastAsia="Arial" w:hAnsi="Arial"/>
          <w:sz w:val="14"/>
          <w:szCs w:val="14"/>
          <w:color w:val="auto"/>
        </w:rPr>
      </w:pPr>
    </w:p>
    <w:p>
      <w:pPr>
        <w:ind w:left="700" w:hanging="404"/>
        <w:spacing w:after="0"/>
        <w:tabs>
          <w:tab w:leader="none" w:pos="7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Expected dividend is assumed to be 0% as ACM has no history or expectation of paying a dividend on its common stock.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5" w:name="page116"/>
    <w:bookmarkEnd w:id="11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During the year ended December 31, 2021, no option was granted to employee with market based condition. During the year ended December 31, 2020, the fair value of option granted to an employee with market based condition was estimated on the grant date using the Monte Carlo simulation model with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0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Year Ended</w:t>
            </w:r>
          </w:p>
        </w:tc>
      </w:tr>
      <w:tr>
        <w:trPr>
          <w:trHeight w:val="181"/>
        </w:trPr>
        <w:tc>
          <w:tcPr>
            <w:tcW w:w="20" w:type="dxa"/>
            <w:vAlign w:val="bottom"/>
          </w:tcPr>
          <w:p>
            <w:pPr>
              <w:spacing w:after="0"/>
              <w:rPr>
                <w:sz w:val="15"/>
                <w:szCs w:val="15"/>
                <w:color w:val="auto"/>
              </w:rPr>
            </w:pPr>
          </w:p>
        </w:tc>
        <w:tc>
          <w:tcPr>
            <w:tcW w:w="10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December 31,</w:t>
            </w:r>
          </w:p>
        </w:tc>
      </w:tr>
      <w:tr>
        <w:trPr>
          <w:trHeight w:val="198"/>
        </w:trPr>
        <w:tc>
          <w:tcPr>
            <w:tcW w:w="20" w:type="dxa"/>
            <w:vAlign w:val="bottom"/>
          </w:tcPr>
          <w:p>
            <w:pPr>
              <w:spacing w:after="0"/>
              <w:rPr>
                <w:sz w:val="17"/>
                <w:szCs w:val="17"/>
                <w:color w:val="auto"/>
              </w:rPr>
            </w:pPr>
          </w:p>
        </w:tc>
        <w:tc>
          <w:tcPr>
            <w:tcW w:w="100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9"/>
              </w:rPr>
              <w:t>2020</w:t>
            </w:r>
          </w:p>
        </w:tc>
        <w:tc>
          <w:tcPr>
            <w:tcW w:w="14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common share(1)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22.07</w:t>
            </w:r>
          </w:p>
        </w:tc>
        <w:tc>
          <w:tcPr>
            <w:tcW w:w="1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Expected term in years(2)</w:t>
            </w:r>
          </w:p>
        </w:tc>
        <w:tc>
          <w:tcPr>
            <w:tcW w:w="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9.20 - 9.80</w:t>
            </w:r>
          </w:p>
        </w:tc>
      </w:tr>
      <w:tr>
        <w:trPr>
          <w:trHeight w:val="181"/>
        </w:trPr>
        <w:tc>
          <w:tcPr>
            <w:tcW w:w="20" w:type="dxa"/>
            <w:vAlign w:val="bottom"/>
          </w:tcPr>
          <w:p>
            <w:pPr>
              <w:spacing w:after="0"/>
              <w:rPr>
                <w:sz w:val="15"/>
                <w:szCs w:val="15"/>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Volatility(3)</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45.10%</w:t>
            </w:r>
          </w:p>
        </w:tc>
      </w:tr>
      <w:tr>
        <w:trPr>
          <w:trHeight w:val="181"/>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Risk-free interest rate(4)</w:t>
            </w:r>
          </w:p>
        </w:tc>
        <w:tc>
          <w:tcPr>
            <w:tcW w:w="8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2.68%</w:t>
            </w:r>
          </w:p>
        </w:tc>
      </w:tr>
      <w:tr>
        <w:trPr>
          <w:trHeight w:val="181"/>
        </w:trPr>
        <w:tc>
          <w:tcPr>
            <w:tcW w:w="20" w:type="dxa"/>
            <w:vAlign w:val="bottom"/>
          </w:tcPr>
          <w:p>
            <w:pPr>
              <w:spacing w:after="0"/>
              <w:rPr>
                <w:sz w:val="15"/>
                <w:szCs w:val="15"/>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Expected dividend(5)</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w:t>
            </w:r>
          </w:p>
        </w:tc>
      </w:tr>
    </w:tbl>
    <w:p>
      <w:pPr>
        <w:spacing w:after="0" w:line="170" w:lineRule="exact"/>
        <w:rPr>
          <w:sz w:val="20"/>
          <w:szCs w:val="20"/>
          <w:color w:val="auto"/>
        </w:rPr>
      </w:pPr>
    </w:p>
    <w:p>
      <w:pPr>
        <w:ind w:left="700" w:hanging="404"/>
        <w:spacing w:after="0"/>
        <w:tabs>
          <w:tab w:leader="none" w:pos="7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Fair value of Class A common stock value was the closing market price of the Class A common stock on the grant date.</w:t>
      </w:r>
    </w:p>
    <w:p>
      <w:pPr>
        <w:spacing w:after="0" w:line="17" w:lineRule="exact"/>
        <w:rPr>
          <w:rFonts w:ascii="Arial" w:cs="Arial" w:eastAsia="Arial" w:hAnsi="Arial"/>
          <w:sz w:val="15"/>
          <w:szCs w:val="15"/>
          <w:color w:val="auto"/>
        </w:rPr>
      </w:pPr>
    </w:p>
    <w:p>
      <w:pPr>
        <w:ind w:left="700" w:hanging="404"/>
        <w:spacing w:after="0"/>
        <w:tabs>
          <w:tab w:leader="none" w:pos="7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Expected term of share options is based on the average of the vesting period and the contractual term for each grant according to Staff Accounting Bulletin 110.</w:t>
      </w:r>
    </w:p>
    <w:p>
      <w:pPr>
        <w:spacing w:after="0" w:line="20" w:lineRule="exact"/>
        <w:rPr>
          <w:rFonts w:ascii="Arial" w:cs="Arial" w:eastAsia="Arial" w:hAnsi="Arial"/>
          <w:sz w:val="14"/>
          <w:szCs w:val="14"/>
          <w:color w:val="auto"/>
        </w:rPr>
      </w:pPr>
    </w:p>
    <w:p>
      <w:pPr>
        <w:ind w:left="700" w:hanging="404"/>
        <w:spacing w:after="0"/>
        <w:tabs>
          <w:tab w:leader="none" w:pos="7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Volatility is calculated based on the historical volatility of the stock of companies comparable to ACM in the period equal to the expected term of each grant.</w:t>
      </w:r>
    </w:p>
    <w:p>
      <w:pPr>
        <w:spacing w:after="0" w:line="8" w:lineRule="exact"/>
        <w:rPr>
          <w:rFonts w:ascii="Arial" w:cs="Arial" w:eastAsia="Arial" w:hAnsi="Arial"/>
          <w:sz w:val="15"/>
          <w:szCs w:val="15"/>
          <w:color w:val="auto"/>
        </w:rPr>
      </w:pPr>
    </w:p>
    <w:p>
      <w:pPr>
        <w:ind w:left="700" w:hanging="404"/>
        <w:spacing w:after="0"/>
        <w:tabs>
          <w:tab w:leader="none" w:pos="7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Risk-free interest rate is based on the yields of U.S. Treasury securities with maturities similar to the expected term of the share options in effect at the time of grant.</w:t>
      </w:r>
    </w:p>
    <w:p>
      <w:pPr>
        <w:spacing w:after="0" w:line="20" w:lineRule="exact"/>
        <w:rPr>
          <w:rFonts w:ascii="Arial" w:cs="Arial" w:eastAsia="Arial" w:hAnsi="Arial"/>
          <w:sz w:val="14"/>
          <w:szCs w:val="14"/>
          <w:color w:val="auto"/>
        </w:rPr>
      </w:pPr>
    </w:p>
    <w:p>
      <w:pPr>
        <w:ind w:left="700" w:hanging="404"/>
        <w:spacing w:after="0"/>
        <w:tabs>
          <w:tab w:leader="none" w:pos="7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Expected dividend is assumed to be 0%, as ACM has no history or expectation of paying a dividend on its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Awards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employee share option activities during the years ended December 31, 2019, 2020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Weighted</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88"/>
              </w:rPr>
              <w:t>Weighted</w:t>
            </w:r>
          </w:p>
        </w:tc>
        <w:tc>
          <w:tcPr>
            <w:tcW w:w="3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7"/>
              </w:rPr>
              <w:t>Average</w:t>
            </w:r>
          </w:p>
        </w:tc>
        <w:tc>
          <w:tcPr>
            <w:tcW w:w="19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8"/>
              </w:rPr>
              <w:t>Weighted Average</w:t>
            </w: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2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rPr>
              <w:t>Number of</w:t>
            </w:r>
          </w:p>
        </w:tc>
        <w:tc>
          <w:tcPr>
            <w:tcW w:w="2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2"/>
              </w:rPr>
              <w:t>Average Grant</w:t>
            </w:r>
          </w:p>
        </w:tc>
        <w:tc>
          <w:tcPr>
            <w:tcW w:w="30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Exercise</w:t>
            </w:r>
          </w:p>
        </w:tc>
        <w:tc>
          <w:tcPr>
            <w:tcW w:w="19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3"/>
              </w:rPr>
              <w:t>Remaining</w:t>
            </w: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Option Share</w:t>
            </w:r>
          </w:p>
        </w:tc>
        <w:tc>
          <w:tcPr>
            <w:tcW w:w="20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4"/>
              </w:rPr>
              <w:t>Date Fair Value</w:t>
            </w:r>
          </w:p>
        </w:tc>
        <w:tc>
          <w:tcPr>
            <w:tcW w:w="3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7"/>
              </w:rPr>
              <w:t>Price</w:t>
            </w:r>
          </w:p>
        </w:tc>
        <w:tc>
          <w:tcPr>
            <w:tcW w:w="19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3"/>
              </w:rPr>
              <w:t>Contractual Term</w:t>
            </w: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Outstanding at December 31, 2018</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2,503,405</w:t>
            </w:r>
          </w:p>
        </w:tc>
        <w:tc>
          <w:tcPr>
            <w:tcW w:w="2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0.91</w:t>
            </w:r>
          </w:p>
        </w:tc>
        <w:tc>
          <w:tcPr>
            <w:tcW w:w="2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4.09</w:t>
            </w:r>
          </w:p>
        </w:tc>
        <w:tc>
          <w:tcPr>
            <w:tcW w:w="100" w:type="dxa"/>
            <w:vAlign w:val="bottom"/>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5"/>
                <w:szCs w:val="15"/>
                <w:b w:val="1"/>
                <w:bCs w:val="1"/>
                <w:color w:val="auto"/>
                <w:w w:val="85"/>
              </w:rPr>
              <w:t>7.30 years</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Granted</w:t>
            </w:r>
          </w:p>
        </w:tc>
        <w:tc>
          <w:tcPr>
            <w:tcW w:w="1920" w:type="dxa"/>
            <w:vAlign w:val="bottom"/>
            <w:gridSpan w:val="2"/>
          </w:tcPr>
          <w:p>
            <w:pPr>
              <w:jc w:val="right"/>
              <w:ind w:right="240"/>
              <w:spacing w:after="0"/>
              <w:rPr>
                <w:sz w:val="20"/>
                <w:szCs w:val="20"/>
                <w:color w:val="auto"/>
              </w:rPr>
            </w:pPr>
            <w:r>
              <w:rPr>
                <w:rFonts w:ascii="Arial" w:cs="Arial" w:eastAsia="Arial" w:hAnsi="Arial"/>
                <w:sz w:val="15"/>
                <w:szCs w:val="15"/>
                <w:color w:val="auto"/>
              </w:rPr>
              <w:t>656,000</w:t>
            </w: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6.29</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16.21</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(106,768)</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0.60</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2.09</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Expired</w:t>
            </w:r>
          </w:p>
        </w:tc>
        <w:tc>
          <w:tcPr>
            <w:tcW w:w="1920" w:type="dxa"/>
            <w:vAlign w:val="bottom"/>
            <w:gridSpan w:val="2"/>
          </w:tcPr>
          <w:p>
            <w:pPr>
              <w:jc w:val="right"/>
              <w:ind w:right="180"/>
              <w:spacing w:after="0"/>
              <w:rPr>
                <w:sz w:val="20"/>
                <w:szCs w:val="20"/>
                <w:color w:val="auto"/>
              </w:rPr>
            </w:pPr>
            <w:r>
              <w:rPr>
                <w:rFonts w:ascii="Arial" w:cs="Arial" w:eastAsia="Arial" w:hAnsi="Arial"/>
                <w:sz w:val="15"/>
                <w:szCs w:val="15"/>
                <w:color w:val="auto"/>
              </w:rPr>
              <w:t>(2,757)</w:t>
            </w: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3.34</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8.16</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Forfeited/cancelled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(55,817)</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2.38</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6.23</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Outstanding at December 31, 2019</w:t>
            </w: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2,994,063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2.59</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6.77</w:t>
            </w:r>
          </w:p>
        </w:tc>
        <w:tc>
          <w:tcPr>
            <w:tcW w:w="1920" w:type="dxa"/>
            <w:vAlign w:val="bottom"/>
          </w:tcPr>
          <w:p>
            <w:pPr>
              <w:ind w:left="1280"/>
              <w:spacing w:after="0"/>
              <w:rPr>
                <w:sz w:val="20"/>
                <w:szCs w:val="20"/>
                <w:color w:val="auto"/>
              </w:rPr>
            </w:pPr>
            <w:r>
              <w:rPr>
                <w:rFonts w:ascii="Arial" w:cs="Arial" w:eastAsia="Arial" w:hAnsi="Arial"/>
                <w:sz w:val="15"/>
                <w:szCs w:val="15"/>
                <w:b w:val="1"/>
                <w:bCs w:val="1"/>
                <w:color w:val="auto"/>
                <w:w w:val="85"/>
              </w:rPr>
              <w:t>7.05 years</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Granted</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786,399</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12.17</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29.17</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Exercised</w:t>
            </w:r>
          </w:p>
        </w:tc>
        <w:tc>
          <w:tcPr>
            <w:tcW w:w="1920" w:type="dxa"/>
            <w:vAlign w:val="bottom"/>
            <w:gridSpan w:val="2"/>
          </w:tcPr>
          <w:p>
            <w:pPr>
              <w:jc w:val="right"/>
              <w:ind w:right="180"/>
              <w:spacing w:after="0"/>
              <w:rPr>
                <w:sz w:val="20"/>
                <w:szCs w:val="20"/>
                <w:color w:val="auto"/>
              </w:rPr>
            </w:pPr>
            <w:r>
              <w:rPr>
                <w:rFonts w:ascii="Arial" w:cs="Arial" w:eastAsia="Arial" w:hAnsi="Arial"/>
                <w:sz w:val="15"/>
                <w:szCs w:val="15"/>
                <w:color w:val="auto"/>
              </w:rPr>
              <w:t>(547,189)</w:t>
            </w: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1.34</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3.78</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Forfeited/cancelled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(41,862)</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4.80</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12.65</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Outstanding at December 31, 2020</w:t>
            </w:r>
          </w:p>
        </w:tc>
        <w:tc>
          <w:tcPr>
            <w:tcW w:w="19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3,191,411</w:t>
            </w: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5.13</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12.73</w:t>
            </w:r>
          </w:p>
        </w:tc>
        <w:tc>
          <w:tcPr>
            <w:tcW w:w="1920" w:type="dxa"/>
            <w:vAlign w:val="bottom"/>
          </w:tcPr>
          <w:p>
            <w:pPr>
              <w:ind w:left="1280"/>
              <w:spacing w:after="0"/>
              <w:rPr>
                <w:sz w:val="20"/>
                <w:szCs w:val="20"/>
                <w:color w:val="auto"/>
              </w:rPr>
            </w:pPr>
            <w:r>
              <w:rPr>
                <w:rFonts w:ascii="Arial" w:cs="Arial" w:eastAsia="Arial" w:hAnsi="Arial"/>
                <w:sz w:val="15"/>
                <w:szCs w:val="15"/>
                <w:b w:val="1"/>
                <w:bCs w:val="1"/>
                <w:color w:val="auto"/>
                <w:w w:val="85"/>
              </w:rPr>
              <w:t>7.13 years</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Granted</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140,400</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48.16</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106.15</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Exercised</w:t>
            </w:r>
          </w:p>
        </w:tc>
        <w:tc>
          <w:tcPr>
            <w:tcW w:w="1920" w:type="dxa"/>
            <w:vAlign w:val="bottom"/>
            <w:gridSpan w:val="2"/>
          </w:tcPr>
          <w:p>
            <w:pPr>
              <w:jc w:val="right"/>
              <w:ind w:right="180"/>
              <w:spacing w:after="0"/>
              <w:rPr>
                <w:sz w:val="20"/>
                <w:szCs w:val="20"/>
                <w:color w:val="auto"/>
              </w:rPr>
            </w:pPr>
            <w:r>
              <w:rPr>
                <w:rFonts w:ascii="Arial" w:cs="Arial" w:eastAsia="Arial" w:hAnsi="Arial"/>
                <w:sz w:val="15"/>
                <w:szCs w:val="15"/>
                <w:color w:val="auto"/>
              </w:rPr>
              <w:t>(477,058)</w:t>
            </w: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2.46</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6.30</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Forfeited/cancelled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(54,004)</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24.97</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57.10</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Outstanding at December 31, 2021</w:t>
            </w: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2,800,749</w:t>
            </w:r>
          </w:p>
        </w:tc>
        <w:tc>
          <w:tcPr>
            <w:tcW w:w="24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7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7.36</w:t>
            </w: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17.65</w:t>
            </w:r>
          </w:p>
        </w:tc>
        <w:tc>
          <w:tcPr>
            <w:tcW w:w="1920" w:type="dxa"/>
            <w:vAlign w:val="bottom"/>
          </w:tcPr>
          <w:p>
            <w:pPr>
              <w:ind w:left="1280"/>
              <w:spacing w:after="0"/>
              <w:rPr>
                <w:sz w:val="20"/>
                <w:szCs w:val="20"/>
                <w:color w:val="auto"/>
              </w:rPr>
            </w:pPr>
            <w:r>
              <w:rPr>
                <w:rFonts w:ascii="Arial" w:cs="Arial" w:eastAsia="Arial" w:hAnsi="Arial"/>
                <w:sz w:val="15"/>
                <w:szCs w:val="15"/>
                <w:b w:val="1"/>
                <w:bCs w:val="1"/>
                <w:color w:val="auto"/>
                <w:w w:val="85"/>
              </w:rPr>
              <w:t>6.53 years</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Vested and exercisable at 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1,922,180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bl>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of December 31, 2021 and 2020, $9,544 and $8,733, respectively, of total unrecognized employee stock-based compensation expense, net of estimated forfeitures, related to stock-based awards for ACM were expected to be recognized over a weighted-average period of 1.61 years and 1.89 years, respectively. Total recognized compensation cost may be adjusted for future changes in estimated forfeitures.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6" w:name="page117"/>
    <w:bookmarkEnd w:id="11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Non-employee Awards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non-employee share option activities during the years ended December 31, 2019, 2020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Weighted</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88"/>
              </w:rPr>
              <w:t>Weighted</w:t>
            </w:r>
          </w:p>
        </w:tc>
        <w:tc>
          <w:tcPr>
            <w:tcW w:w="3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7"/>
              </w:rPr>
              <w:t>Average</w:t>
            </w:r>
          </w:p>
        </w:tc>
        <w:tc>
          <w:tcPr>
            <w:tcW w:w="19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8"/>
              </w:rPr>
              <w:t>Weighted Average</w:t>
            </w: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20" w:type="dxa"/>
            <w:vAlign w:val="bottom"/>
            <w:gridSpan w:val="2"/>
          </w:tcPr>
          <w:p>
            <w:pPr>
              <w:jc w:val="right"/>
              <w:ind w:right="720"/>
              <w:spacing w:after="0"/>
              <w:rPr>
                <w:sz w:val="20"/>
                <w:szCs w:val="20"/>
                <w:color w:val="auto"/>
              </w:rPr>
            </w:pPr>
            <w:r>
              <w:rPr>
                <w:rFonts w:ascii="Arial" w:cs="Arial" w:eastAsia="Arial" w:hAnsi="Arial"/>
                <w:sz w:val="15"/>
                <w:szCs w:val="15"/>
                <w:b w:val="1"/>
                <w:bCs w:val="1"/>
                <w:color w:val="auto"/>
              </w:rPr>
              <w:t>Number of</w:t>
            </w:r>
          </w:p>
        </w:tc>
        <w:tc>
          <w:tcPr>
            <w:tcW w:w="2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2"/>
              </w:rPr>
              <w:t>Average Grant</w:t>
            </w:r>
          </w:p>
        </w:tc>
        <w:tc>
          <w:tcPr>
            <w:tcW w:w="30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Exercise</w:t>
            </w:r>
          </w:p>
        </w:tc>
        <w:tc>
          <w:tcPr>
            <w:tcW w:w="19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3"/>
              </w:rPr>
              <w:t>Remaining</w:t>
            </w: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Option Shares</w:t>
            </w:r>
          </w:p>
        </w:tc>
        <w:tc>
          <w:tcPr>
            <w:tcW w:w="20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4"/>
              </w:rPr>
              <w:t>Date Fair Value</w:t>
            </w:r>
          </w:p>
        </w:tc>
        <w:tc>
          <w:tcPr>
            <w:tcW w:w="3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7"/>
              </w:rPr>
              <w:t>Price</w:t>
            </w:r>
          </w:p>
        </w:tc>
        <w:tc>
          <w:tcPr>
            <w:tcW w:w="19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3"/>
              </w:rPr>
              <w:t>Contractual Term</w:t>
            </w: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Outstanding at December 31, 2018</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1,212,374</w:t>
            </w:r>
          </w:p>
        </w:tc>
        <w:tc>
          <w:tcPr>
            <w:tcW w:w="2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0.78</w:t>
            </w:r>
          </w:p>
        </w:tc>
        <w:tc>
          <w:tcPr>
            <w:tcW w:w="2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2.57</w:t>
            </w:r>
          </w:p>
        </w:tc>
        <w:tc>
          <w:tcPr>
            <w:tcW w:w="100" w:type="dxa"/>
            <w:vAlign w:val="bottom"/>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5"/>
                <w:szCs w:val="15"/>
                <w:b w:val="1"/>
                <w:bCs w:val="1"/>
                <w:color w:val="auto"/>
                <w:w w:val="85"/>
              </w:rPr>
              <w:t>6.66 years</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(88,529)</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0.45</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1.06</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Expired</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Forfeited/cancelled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(22,232)</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0.55</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3.00</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Outstanding at December 31, 2019</w:t>
            </w: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1,101,613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0.82</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2.69</w:t>
            </w:r>
          </w:p>
        </w:tc>
        <w:tc>
          <w:tcPr>
            <w:tcW w:w="1920" w:type="dxa"/>
            <w:vAlign w:val="bottom"/>
          </w:tcPr>
          <w:p>
            <w:pPr>
              <w:ind w:left="1280"/>
              <w:spacing w:after="0"/>
              <w:rPr>
                <w:sz w:val="20"/>
                <w:szCs w:val="20"/>
                <w:color w:val="auto"/>
              </w:rPr>
            </w:pPr>
            <w:r>
              <w:rPr>
                <w:rFonts w:ascii="Arial" w:cs="Arial" w:eastAsia="Arial" w:hAnsi="Arial"/>
                <w:sz w:val="15"/>
                <w:szCs w:val="15"/>
                <w:b w:val="1"/>
                <w:bCs w:val="1"/>
                <w:color w:val="auto"/>
                <w:w w:val="85"/>
              </w:rPr>
              <w:t>5.85 years</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Granted</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20,000</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10.29</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25.60</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Exercised</w:t>
            </w:r>
          </w:p>
        </w:tc>
        <w:tc>
          <w:tcPr>
            <w:tcW w:w="1920" w:type="dxa"/>
            <w:vAlign w:val="bottom"/>
            <w:gridSpan w:val="2"/>
          </w:tcPr>
          <w:p>
            <w:pPr>
              <w:jc w:val="right"/>
              <w:ind w:right="180"/>
              <w:spacing w:after="0"/>
              <w:rPr>
                <w:sz w:val="20"/>
                <w:szCs w:val="20"/>
                <w:color w:val="auto"/>
              </w:rPr>
            </w:pPr>
            <w:r>
              <w:rPr>
                <w:rFonts w:ascii="Arial" w:cs="Arial" w:eastAsia="Arial" w:hAnsi="Arial"/>
                <w:sz w:val="15"/>
                <w:szCs w:val="15"/>
                <w:color w:val="auto"/>
              </w:rPr>
              <w:t>(285,315)</w:t>
            </w: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0.88</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3.17</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Expired</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Forfeited/cancelled</w:t>
            </w:r>
          </w:p>
        </w:tc>
        <w:tc>
          <w:tcPr>
            <w:tcW w:w="1920" w:type="dxa"/>
            <w:vAlign w:val="bottom"/>
            <w:gridSpan w:val="2"/>
          </w:tcPr>
          <w:p>
            <w:pPr>
              <w:jc w:val="right"/>
              <w:ind w:right="180"/>
              <w:spacing w:after="0"/>
              <w:rPr>
                <w:sz w:val="20"/>
                <w:szCs w:val="20"/>
                <w:color w:val="auto"/>
              </w:rPr>
            </w:pPr>
            <w:r>
              <w:rPr>
                <w:rFonts w:ascii="Arial" w:cs="Arial" w:eastAsia="Arial" w:hAnsi="Arial"/>
                <w:sz w:val="15"/>
                <w:szCs w:val="15"/>
                <w:color w:val="auto"/>
              </w:rPr>
              <w:t>(260)</w:t>
            </w: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0.30</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0.75</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Outstanding at December 31, 2020</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836,038</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1.02</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3.07</w:t>
            </w:r>
          </w:p>
        </w:tc>
        <w:tc>
          <w:tcPr>
            <w:tcW w:w="1920" w:type="dxa"/>
            <w:vAlign w:val="bottom"/>
            <w:shd w:val="clear" w:color="auto" w:fill="CCEEFF"/>
          </w:tcPr>
          <w:p>
            <w:pPr>
              <w:ind w:left="1280"/>
              <w:spacing w:after="0"/>
              <w:rPr>
                <w:sz w:val="20"/>
                <w:szCs w:val="20"/>
                <w:color w:val="auto"/>
              </w:rPr>
            </w:pPr>
            <w:r>
              <w:rPr>
                <w:rFonts w:ascii="Arial" w:cs="Arial" w:eastAsia="Arial" w:hAnsi="Arial"/>
                <w:sz w:val="15"/>
                <w:szCs w:val="15"/>
                <w:b w:val="1"/>
                <w:bCs w:val="1"/>
                <w:color w:val="auto"/>
                <w:w w:val="85"/>
              </w:rPr>
              <w:t>4.92 years</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(146,543)</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1.12</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3.83</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Expired</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Forfeited/cancelled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(489)</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0.34</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0.84</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Outstanding at December 31, 2021</w:t>
            </w:r>
          </w:p>
        </w:tc>
        <w:tc>
          <w:tcPr>
            <w:tcW w:w="19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689,006</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7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1.00</w:t>
            </w: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2.91</w:t>
            </w:r>
          </w:p>
        </w:tc>
        <w:tc>
          <w:tcPr>
            <w:tcW w:w="1920" w:type="dxa"/>
            <w:vAlign w:val="bottom"/>
          </w:tcPr>
          <w:p>
            <w:pPr>
              <w:ind w:left="1280"/>
              <w:spacing w:after="0"/>
              <w:rPr>
                <w:sz w:val="20"/>
                <w:szCs w:val="20"/>
                <w:color w:val="auto"/>
              </w:rPr>
            </w:pPr>
            <w:r>
              <w:rPr>
                <w:rFonts w:ascii="Arial" w:cs="Arial" w:eastAsia="Arial" w:hAnsi="Arial"/>
                <w:sz w:val="15"/>
                <w:szCs w:val="15"/>
                <w:b w:val="1"/>
                <w:bCs w:val="1"/>
                <w:color w:val="auto"/>
                <w:w w:val="85"/>
              </w:rPr>
              <w:t>3.98 years</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Vested and exercisable at December 31, 2021</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677,756</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bl>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of December 31, 2021 and 2020, $102 and $195, respectively, of total unrecognized non-employee stock-based compensation expense, net of estimated forfeitures, related to stock-based awards were expected to be recognized over a weighted-average period of 0.06 years and 0.09 years, respectively. Total recognized compensation cost may be adjusted for future changes in estimated forfeitures.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ACM Shanghai Option Grants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ACM Shanghai employee stock option activities during the years ended December 31, 2021 and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Weighted</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Number of</w:t>
            </w:r>
          </w:p>
        </w:tc>
        <w:tc>
          <w:tcPr>
            <w:tcW w:w="2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88"/>
              </w:rPr>
              <w:t>Weighted</w:t>
            </w:r>
          </w:p>
        </w:tc>
        <w:tc>
          <w:tcPr>
            <w:tcW w:w="3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7"/>
              </w:rPr>
              <w:t>Average</w:t>
            </w:r>
          </w:p>
        </w:tc>
        <w:tc>
          <w:tcPr>
            <w:tcW w:w="19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8"/>
              </w:rPr>
              <w:t>Weighted Average</w:t>
            </w: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Option Shares in</w:t>
            </w:r>
          </w:p>
        </w:tc>
        <w:tc>
          <w:tcPr>
            <w:tcW w:w="2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2"/>
              </w:rPr>
              <w:t>Average Grant</w:t>
            </w:r>
          </w:p>
        </w:tc>
        <w:tc>
          <w:tcPr>
            <w:tcW w:w="30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Exercise</w:t>
            </w:r>
          </w:p>
        </w:tc>
        <w:tc>
          <w:tcPr>
            <w:tcW w:w="19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3"/>
              </w:rPr>
              <w:t>Remaining</w:t>
            </w: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ACM Shanghai</w:t>
            </w:r>
          </w:p>
        </w:tc>
        <w:tc>
          <w:tcPr>
            <w:tcW w:w="20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4"/>
              </w:rPr>
              <w:t>Date Fair Value</w:t>
            </w:r>
          </w:p>
        </w:tc>
        <w:tc>
          <w:tcPr>
            <w:tcW w:w="30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7"/>
              </w:rPr>
              <w:t>Price</w:t>
            </w:r>
          </w:p>
        </w:tc>
        <w:tc>
          <w:tcPr>
            <w:tcW w:w="194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3"/>
              </w:rPr>
              <w:t>Contractual Term</w:t>
            </w: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Outstanding at December 31, 2019</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spacing w:after="0"/>
              <w:rPr>
                <w:sz w:val="20"/>
                <w:szCs w:val="20"/>
                <w:color w:val="auto"/>
              </w:rPr>
            </w:pPr>
            <w:r>
              <w:rPr>
                <w:rFonts w:ascii="Arial" w:cs="Arial" w:eastAsia="Arial" w:hAnsi="Arial"/>
                <w:sz w:val="15"/>
                <w:szCs w:val="15"/>
                <w:color w:val="auto"/>
              </w:rPr>
              <w:t>5,869,808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0.23</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1.89</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Expired</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Forfeited/cancelled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(446,154)</w:t>
            </w: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0.23</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1.89</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b w:val="1"/>
                <w:bCs w:val="1"/>
                <w:color w:val="auto"/>
              </w:rPr>
              <w:t>Outstanding at December 31, 2020</w:t>
            </w: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5,423,654</w:t>
            </w:r>
          </w:p>
        </w:tc>
        <w:tc>
          <w:tcPr>
            <w:tcW w:w="24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7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0.23</w:t>
            </w: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1.89</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3.50 years</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Granted</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Exercised</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Expired</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Forfeited/cancelled</w:t>
            </w:r>
          </w:p>
        </w:tc>
        <w:tc>
          <w:tcPr>
            <w:tcW w:w="1920" w:type="dxa"/>
            <w:vAlign w:val="bottom"/>
            <w:gridSpan w:val="2"/>
          </w:tcPr>
          <w:p>
            <w:pPr>
              <w:jc w:val="right"/>
              <w:ind w:right="180"/>
              <w:spacing w:after="0"/>
              <w:rPr>
                <w:sz w:val="20"/>
                <w:szCs w:val="20"/>
                <w:color w:val="auto"/>
              </w:rPr>
            </w:pPr>
            <w:r>
              <w:rPr>
                <w:rFonts w:ascii="Arial" w:cs="Arial" w:eastAsia="Arial" w:hAnsi="Arial"/>
                <w:sz w:val="15"/>
                <w:szCs w:val="15"/>
                <w:color w:val="auto"/>
              </w:rPr>
              <w:t>(46,154)</w:t>
            </w:r>
          </w:p>
        </w:tc>
        <w:tc>
          <w:tcPr>
            <w:tcW w:w="20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0.24</w:t>
            </w:r>
          </w:p>
        </w:tc>
        <w:tc>
          <w:tcPr>
            <w:tcW w:w="30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2.04</w:t>
            </w: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Outstanding at 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5,377,500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0.24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2.04</w:t>
            </w:r>
          </w:p>
        </w:tc>
        <w:tc>
          <w:tcPr>
            <w:tcW w:w="19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2.50 years</w:t>
            </w:r>
          </w:p>
        </w:tc>
        <w:tc>
          <w:tcPr>
            <w:tcW w:w="2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Vested and exercisable at December 31, 2021</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During the year ended December 31, 2021 and 2020, the Company recognized stock-based compensation expense of $349 and $332, related to stock option grants of ACM Shanghai. As of December 31, 2021 and 2020, $525 and $822 of total unrecognized non-employee stock-based compensation expense, net of estimated forfeitures, related to ACM Shanghai stock-based awards were expected to be recognized over a weighted-average period of 1.5 and 2.5 years. Total recognized compensation cost may be adjusted for future changes in estimated forfeitures.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7" w:name="page118"/>
    <w:bookmarkEnd w:id="11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21 – 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represent components of the income tax benefit (expense) for the years ended December 31, 2021, 2020 and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center"/>
              <w:ind w:left="85"/>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9"/>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5"/>
              <w:spacing w:after="0"/>
              <w:rPr>
                <w:sz w:val="20"/>
                <w:szCs w:val="20"/>
                <w:color w:val="auto"/>
              </w:rPr>
            </w:pPr>
            <w:r>
              <w:rPr>
                <w:rFonts w:ascii="Arial" w:cs="Arial" w:eastAsia="Arial" w:hAnsi="Arial"/>
                <w:sz w:val="15"/>
                <w:szCs w:val="15"/>
                <w:i w:val="1"/>
                <w:iCs w:val="1"/>
                <w:color w:val="auto"/>
                <w:w w:val="92"/>
              </w:rPr>
              <w:t>(in thousands)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25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740" w:type="dxa"/>
            <w:vAlign w:val="bottom"/>
          </w:tcPr>
          <w:p>
            <w:pPr>
              <w:ind w:left="80"/>
              <w:spacing w:after="0"/>
              <w:rPr>
                <w:sz w:val="20"/>
                <w:szCs w:val="20"/>
                <w:color w:val="auto"/>
              </w:rPr>
            </w:pPr>
            <w:r>
              <w:rPr>
                <w:rFonts w:ascii="Arial" w:cs="Arial" w:eastAsia="Arial" w:hAnsi="Arial"/>
                <w:sz w:val="15"/>
                <w:szCs w:val="15"/>
                <w:color w:val="auto"/>
              </w:rPr>
              <w:t>U.S. federal</w:t>
            </w:r>
          </w:p>
        </w:tc>
        <w:tc>
          <w:tcPr>
            <w:tcW w:w="3280" w:type="dxa"/>
            <w:vAlign w:val="bottom"/>
            <w:gridSpan w:val="2"/>
          </w:tcPr>
          <w:p>
            <w:pPr>
              <w:jc w:val="right"/>
              <w:ind w:right="565"/>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(61)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5"/>
                <w:szCs w:val="15"/>
                <w:color w:val="auto"/>
              </w:rPr>
              <w:t>U.S. state</w:t>
            </w:r>
          </w:p>
        </w:tc>
        <w:tc>
          <w:tcPr>
            <w:tcW w:w="25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4"/>
        </w:trPr>
        <w:tc>
          <w:tcPr>
            <w:tcW w:w="20" w:type="dxa"/>
            <w:vAlign w:val="bottom"/>
          </w:tcPr>
          <w:p>
            <w:pPr>
              <w:spacing w:after="0"/>
              <w:rPr>
                <w:sz w:val="15"/>
                <w:szCs w:val="15"/>
                <w:color w:val="auto"/>
              </w:rPr>
            </w:pPr>
          </w:p>
        </w:tc>
        <w:tc>
          <w:tcPr>
            <w:tcW w:w="4740" w:type="dxa"/>
            <w:vAlign w:val="bottom"/>
          </w:tcPr>
          <w:p>
            <w:pPr>
              <w:ind w:left="80"/>
              <w:spacing w:after="0"/>
              <w:rPr>
                <w:sz w:val="20"/>
                <w:szCs w:val="20"/>
                <w:color w:val="auto"/>
              </w:rPr>
            </w:pPr>
            <w:r>
              <w:rPr>
                <w:rFonts w:ascii="Arial" w:cs="Arial" w:eastAsia="Arial" w:hAnsi="Arial"/>
                <w:sz w:val="15"/>
                <w:szCs w:val="15"/>
                <w:color w:val="auto"/>
              </w:rPr>
              <w:t>Foreign</w:t>
            </w:r>
          </w:p>
        </w:tc>
        <w:tc>
          <w:tcPr>
            <w:tcW w:w="2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(2,195)</w:t>
            </w: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(2,014)</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(3,176)</w:t>
            </w:r>
          </w:p>
        </w:tc>
      </w:tr>
      <w:tr>
        <w:trPr>
          <w:trHeight w:val="184"/>
        </w:trPr>
        <w:tc>
          <w:tcPr>
            <w:tcW w:w="20" w:type="dxa"/>
            <w:vAlign w:val="bottom"/>
          </w:tcPr>
          <w:p>
            <w:pPr>
              <w:spacing w:after="0"/>
              <w:rPr>
                <w:sz w:val="15"/>
                <w:szCs w:val="15"/>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Total current tax expense</w:t>
            </w:r>
          </w:p>
        </w:tc>
        <w:tc>
          <w:tcPr>
            <w:tcW w:w="25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(2,288)</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(2,077)</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5"/>
                <w:szCs w:val="15"/>
                <w:color w:val="auto"/>
              </w:rPr>
              <w:t>Deferred:</w:t>
            </w:r>
          </w:p>
        </w:tc>
        <w:tc>
          <w:tcPr>
            <w:tcW w:w="2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5"/>
                <w:szCs w:val="15"/>
                <w:color w:val="auto"/>
              </w:rPr>
              <w:t>U.S. federal</w:t>
            </w:r>
          </w:p>
        </w:tc>
        <w:tc>
          <w:tcPr>
            <w:tcW w:w="25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7,325</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3,728</w:t>
            </w:r>
          </w:p>
        </w:tc>
      </w:tr>
      <w:tr>
        <w:trPr>
          <w:trHeight w:val="181"/>
        </w:trPr>
        <w:tc>
          <w:tcPr>
            <w:tcW w:w="20" w:type="dxa"/>
            <w:vAlign w:val="bottom"/>
          </w:tcPr>
          <w:p>
            <w:pPr>
              <w:spacing w:after="0"/>
              <w:rPr>
                <w:sz w:val="15"/>
                <w:szCs w:val="15"/>
                <w:color w:val="auto"/>
              </w:rPr>
            </w:pPr>
          </w:p>
        </w:tc>
        <w:tc>
          <w:tcPr>
            <w:tcW w:w="4740" w:type="dxa"/>
            <w:vAlign w:val="bottom"/>
          </w:tcPr>
          <w:p>
            <w:pPr>
              <w:ind w:left="80"/>
              <w:spacing w:after="0"/>
              <w:rPr>
                <w:sz w:val="20"/>
                <w:szCs w:val="20"/>
                <w:color w:val="auto"/>
              </w:rPr>
            </w:pPr>
            <w:r>
              <w:rPr>
                <w:rFonts w:ascii="Arial" w:cs="Arial" w:eastAsia="Arial" w:hAnsi="Arial"/>
                <w:sz w:val="15"/>
                <w:szCs w:val="15"/>
                <w:color w:val="auto"/>
              </w:rPr>
              <w:t>U.S. state</w:t>
            </w:r>
          </w:p>
        </w:tc>
        <w:tc>
          <w:tcPr>
            <w:tcW w:w="2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5"/>
                <w:szCs w:val="15"/>
                <w:color w:val="auto"/>
              </w:rPr>
              <w:t>Foreign</w:t>
            </w:r>
          </w:p>
        </w:tc>
        <w:tc>
          <w:tcPr>
            <w:tcW w:w="25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(2,866)</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w:t>
            </w:r>
          </w:p>
        </w:tc>
      </w:tr>
      <w:tr>
        <w:trPr>
          <w:trHeight w:val="23"/>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740" w:type="dxa"/>
            <w:vAlign w:val="bottom"/>
          </w:tcPr>
          <w:p>
            <w:pPr>
              <w:ind w:left="240"/>
              <w:spacing w:after="0"/>
              <w:rPr>
                <w:sz w:val="20"/>
                <w:szCs w:val="20"/>
                <w:color w:val="auto"/>
              </w:rPr>
            </w:pPr>
            <w:r>
              <w:rPr>
                <w:rFonts w:ascii="Arial" w:cs="Arial" w:eastAsia="Arial" w:hAnsi="Arial"/>
                <w:sz w:val="15"/>
                <w:szCs w:val="15"/>
                <w:color w:val="auto"/>
              </w:rPr>
              <w:t>Total deferred tax benefit</w:t>
            </w:r>
          </w:p>
        </w:tc>
        <w:tc>
          <w:tcPr>
            <w:tcW w:w="2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2,154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4,459</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3,694</w:t>
            </w:r>
          </w:p>
        </w:tc>
      </w:tr>
      <w:tr>
        <w:trPr>
          <w:trHeight w:val="221"/>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Total income tax benefit (expense)</w:t>
            </w:r>
          </w:p>
        </w:tc>
        <w:tc>
          <w:tcPr>
            <w:tcW w:w="25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2,382</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Tax effects of temporary differences that give rise to significant portions of the Company’s deferred tax assets at December 31, 2021 and 2020 are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r>
      <w:tr>
        <w:trPr>
          <w:trHeight w:val="361"/>
        </w:trPr>
        <w:tc>
          <w:tcPr>
            <w:tcW w:w="5240" w:type="dxa"/>
            <w:vAlign w:val="bottom"/>
            <w:gridSpan w:val="2"/>
          </w:tcPr>
          <w:p>
            <w:pPr>
              <w:spacing w:after="0"/>
              <w:rPr>
                <w:sz w:val="20"/>
                <w:szCs w:val="20"/>
                <w:color w:val="auto"/>
              </w:rPr>
            </w:pPr>
            <w:r>
              <w:rPr>
                <w:rFonts w:ascii="Arial" w:cs="Arial" w:eastAsia="Arial" w:hAnsi="Arial"/>
                <w:sz w:val="15"/>
                <w:szCs w:val="15"/>
                <w:color w:val="auto"/>
              </w:rPr>
              <w:t>Deferred tax assets:</w:t>
            </w: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operating loss carry forwards (offshore)</w:t>
            </w:r>
          </w:p>
        </w:tc>
        <w:tc>
          <w:tcPr>
            <w:tcW w:w="2800" w:type="dxa"/>
            <w:vAlign w:val="bottom"/>
            <w:gridSpan w:val="2"/>
            <w:shd w:val="clear" w:color="auto" w:fill="CCEEFF"/>
          </w:tcPr>
          <w:p>
            <w:pPr>
              <w:jc w:val="right"/>
              <w:ind w:right="565"/>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522</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323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216</w:t>
            </w:r>
          </w:p>
        </w:tc>
      </w:tr>
      <w:tr>
        <w:trPr>
          <w:trHeight w:val="181"/>
        </w:trPr>
        <w:tc>
          <w:tcPr>
            <w:tcW w:w="20" w:type="dxa"/>
            <w:vAlign w:val="bottom"/>
          </w:tcPr>
          <w:p>
            <w:pPr>
              <w:spacing w:after="0"/>
              <w:rPr>
                <w:sz w:val="15"/>
                <w:szCs w:val="15"/>
                <w:color w:val="auto"/>
              </w:rPr>
            </w:pPr>
          </w:p>
        </w:tc>
        <w:tc>
          <w:tcPr>
            <w:tcW w:w="5220" w:type="dxa"/>
            <w:vAlign w:val="bottom"/>
          </w:tcPr>
          <w:p>
            <w:pPr>
              <w:ind w:left="80"/>
              <w:spacing w:after="0"/>
              <w:rPr>
                <w:sz w:val="20"/>
                <w:szCs w:val="20"/>
                <w:color w:val="auto"/>
              </w:rPr>
            </w:pPr>
            <w:r>
              <w:rPr>
                <w:rFonts w:ascii="Arial" w:cs="Arial" w:eastAsia="Arial" w:hAnsi="Arial"/>
                <w:sz w:val="15"/>
                <w:szCs w:val="15"/>
                <w:color w:val="auto"/>
              </w:rPr>
              <w:t>Net operating loss carry forwards (U.S.) and credit</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w w:val="87"/>
              </w:rPr>
              <w:t>12,173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9,981</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3,218</w:t>
            </w:r>
          </w:p>
        </w:tc>
      </w:tr>
      <w:tr>
        <w:trPr>
          <w:trHeight w:val="181"/>
        </w:trPr>
        <w:tc>
          <w:tcPr>
            <w:tcW w:w="20" w:type="dxa"/>
            <w:vAlign w:val="bottom"/>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Deferred revenue (offshore)</w:t>
            </w:r>
          </w:p>
        </w:tc>
        <w:tc>
          <w:tcPr>
            <w:tcW w:w="20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556</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1,181</w:t>
            </w:r>
          </w:p>
        </w:tc>
      </w:tr>
      <w:tr>
        <w:trPr>
          <w:trHeight w:val="181"/>
        </w:trPr>
        <w:tc>
          <w:tcPr>
            <w:tcW w:w="20" w:type="dxa"/>
            <w:vAlign w:val="bottom"/>
          </w:tcPr>
          <w:p>
            <w:pPr>
              <w:spacing w:after="0"/>
              <w:rPr>
                <w:sz w:val="15"/>
                <w:szCs w:val="15"/>
                <w:color w:val="auto"/>
              </w:rPr>
            </w:pPr>
          </w:p>
        </w:tc>
        <w:tc>
          <w:tcPr>
            <w:tcW w:w="5220" w:type="dxa"/>
            <w:vAlign w:val="bottom"/>
          </w:tcPr>
          <w:p>
            <w:pPr>
              <w:ind w:left="80"/>
              <w:spacing w:after="0"/>
              <w:rPr>
                <w:sz w:val="20"/>
                <w:szCs w:val="20"/>
                <w:color w:val="auto"/>
              </w:rPr>
            </w:pPr>
            <w:r>
              <w:rPr>
                <w:rFonts w:ascii="Arial" w:cs="Arial" w:eastAsia="Arial" w:hAnsi="Arial"/>
                <w:sz w:val="15"/>
                <w:szCs w:val="15"/>
                <w:color w:val="auto"/>
              </w:rPr>
              <w:t>Accruals (U.S.)</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15</w:t>
            </w:r>
          </w:p>
        </w:tc>
      </w:tr>
      <w:tr>
        <w:trPr>
          <w:trHeight w:val="181"/>
        </w:trPr>
        <w:tc>
          <w:tcPr>
            <w:tcW w:w="20" w:type="dxa"/>
            <w:vAlign w:val="bottom"/>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Reserves and other (offshore)</w:t>
            </w:r>
          </w:p>
        </w:tc>
        <w:tc>
          <w:tcPr>
            <w:tcW w:w="20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1,528</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884</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426</w:t>
            </w:r>
          </w:p>
        </w:tc>
      </w:tr>
      <w:tr>
        <w:trPr>
          <w:trHeight w:val="181"/>
        </w:trPr>
        <w:tc>
          <w:tcPr>
            <w:tcW w:w="20" w:type="dxa"/>
            <w:vAlign w:val="bottom"/>
          </w:tcPr>
          <w:p>
            <w:pPr>
              <w:spacing w:after="0"/>
              <w:rPr>
                <w:sz w:val="15"/>
                <w:szCs w:val="15"/>
                <w:color w:val="auto"/>
              </w:rPr>
            </w:pPr>
          </w:p>
        </w:tc>
        <w:tc>
          <w:tcPr>
            <w:tcW w:w="5220" w:type="dxa"/>
            <w:vAlign w:val="bottom"/>
          </w:tcPr>
          <w:p>
            <w:pPr>
              <w:ind w:left="80"/>
              <w:spacing w:after="0"/>
              <w:rPr>
                <w:sz w:val="20"/>
                <w:szCs w:val="20"/>
                <w:color w:val="auto"/>
              </w:rPr>
            </w:pPr>
            <w:r>
              <w:rPr>
                <w:rFonts w:ascii="Arial" w:cs="Arial" w:eastAsia="Arial" w:hAnsi="Arial"/>
                <w:sz w:val="15"/>
                <w:szCs w:val="15"/>
                <w:color w:val="auto"/>
              </w:rPr>
              <w:t>Stock-based compensation (U.S.)</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2,283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1,599</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1,168</w:t>
            </w:r>
          </w:p>
        </w:tc>
      </w:tr>
      <w:tr>
        <w:trPr>
          <w:trHeight w:val="181"/>
        </w:trPr>
        <w:tc>
          <w:tcPr>
            <w:tcW w:w="20" w:type="dxa"/>
            <w:vAlign w:val="bottom"/>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Property and equipment (U.S.)</w:t>
            </w:r>
          </w:p>
        </w:tc>
        <w:tc>
          <w:tcPr>
            <w:tcW w:w="20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164</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w:t>
            </w:r>
          </w:p>
        </w:tc>
      </w:tr>
      <w:tr>
        <w:trPr>
          <w:trHeight w:val="184"/>
        </w:trPr>
        <w:tc>
          <w:tcPr>
            <w:tcW w:w="20" w:type="dxa"/>
            <w:vAlign w:val="bottom"/>
          </w:tcPr>
          <w:p>
            <w:pPr>
              <w:spacing w:after="0"/>
              <w:rPr>
                <w:sz w:val="15"/>
                <w:szCs w:val="15"/>
                <w:color w:val="auto"/>
              </w:rPr>
            </w:pPr>
          </w:p>
        </w:tc>
        <w:tc>
          <w:tcPr>
            <w:tcW w:w="5220" w:type="dxa"/>
            <w:vAlign w:val="bottom"/>
          </w:tcPr>
          <w:p>
            <w:pPr>
              <w:ind w:left="80"/>
              <w:spacing w:after="0"/>
              <w:rPr>
                <w:sz w:val="20"/>
                <w:szCs w:val="20"/>
                <w:color w:val="auto"/>
              </w:rPr>
            </w:pPr>
            <w:r>
              <w:rPr>
                <w:rFonts w:ascii="Arial" w:cs="Arial" w:eastAsia="Arial" w:hAnsi="Arial"/>
                <w:sz w:val="15"/>
                <w:szCs w:val="15"/>
                <w:color w:val="auto"/>
              </w:rPr>
              <w:t>Lease liability</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559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659</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Total gross deferred tax assets</w:t>
            </w:r>
          </w:p>
        </w:tc>
        <w:tc>
          <w:tcPr>
            <w:tcW w:w="208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7"/>
              </w:rPr>
              <w:t>17,442</w:t>
            </w: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14,188</w:t>
            </w: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6,227</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Arial" w:cs="Arial" w:eastAsia="Arial" w:hAnsi="Arial"/>
                <w:sz w:val="15"/>
                <w:szCs w:val="15"/>
                <w:color w:val="auto"/>
              </w:rPr>
              <w:t>Less: valuation allowance</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5"/>
                <w:szCs w:val="15"/>
                <w:color w:val="auto"/>
              </w:rPr>
              <w:t>(919)</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(848)</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(896)</w:t>
            </w:r>
          </w:p>
        </w:tc>
      </w:tr>
      <w:tr>
        <w:trPr>
          <w:trHeight w:val="181"/>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208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7"/>
              </w:rPr>
              <w:t>16,523</w:t>
            </w: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13,340</w:t>
            </w: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10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Fixed assets</w:t>
            </w:r>
          </w:p>
        </w:tc>
        <w:tc>
          <w:tcPr>
            <w:tcW w:w="20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(589)</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(697)</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5220" w:type="dxa"/>
            <w:vAlign w:val="bottom"/>
          </w:tcPr>
          <w:p>
            <w:pPr>
              <w:ind w:left="80"/>
              <w:spacing w:after="0"/>
              <w:rPr>
                <w:sz w:val="20"/>
                <w:szCs w:val="20"/>
                <w:color w:val="auto"/>
              </w:rPr>
            </w:pPr>
            <w:r>
              <w:rPr>
                <w:rFonts w:ascii="Arial" w:cs="Arial" w:eastAsia="Arial" w:hAnsi="Arial"/>
                <w:sz w:val="15"/>
                <w:szCs w:val="15"/>
                <w:color w:val="auto"/>
              </w:rPr>
              <w:t>Deferred revenue (offshore)</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5"/>
                <w:szCs w:val="15"/>
                <w:color w:val="auto"/>
                <w:w w:val="92"/>
              </w:rPr>
              <w:t>(1,486)</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(967)</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Unrealized gain on trading securities</w:t>
            </w:r>
          </w:p>
        </w:tc>
        <w:tc>
          <w:tcPr>
            <w:tcW w:w="20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(1,886)</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4"/>
        </w:trPr>
        <w:tc>
          <w:tcPr>
            <w:tcW w:w="20" w:type="dxa"/>
            <w:vAlign w:val="bottom"/>
          </w:tcPr>
          <w:p>
            <w:pPr>
              <w:spacing w:after="0"/>
              <w:rPr>
                <w:sz w:val="15"/>
                <w:szCs w:val="15"/>
                <w:color w:val="auto"/>
              </w:rPr>
            </w:pPr>
          </w:p>
        </w:tc>
        <w:tc>
          <w:tcPr>
            <w:tcW w:w="5220" w:type="dxa"/>
            <w:vAlign w:val="bottom"/>
          </w:tcPr>
          <w:p>
            <w:pPr>
              <w:ind w:left="100"/>
              <w:spacing w:after="0"/>
              <w:rPr>
                <w:sz w:val="20"/>
                <w:szCs w:val="20"/>
                <w:color w:val="auto"/>
              </w:rPr>
            </w:pPr>
            <w:r>
              <w:rPr>
                <w:rFonts w:ascii="Arial" w:cs="Arial" w:eastAsia="Arial" w:hAnsi="Arial"/>
                <w:sz w:val="15"/>
                <w:szCs w:val="15"/>
                <w:color w:val="auto"/>
              </w:rPr>
              <w:t>Equity Investments</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5"/>
                <w:szCs w:val="15"/>
                <w:color w:val="auto"/>
                <w:w w:val="92"/>
              </w:rPr>
              <w:t>(2,584)</w:t>
            </w: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tax liabilities</w:t>
            </w:r>
          </w:p>
        </w:tc>
        <w:tc>
          <w:tcPr>
            <w:tcW w:w="208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(4,659)</w:t>
            </w:r>
          </w:p>
        </w:tc>
        <w:tc>
          <w:tcPr>
            <w:tcW w:w="220" w:type="dxa"/>
            <w:vAlign w:val="bottom"/>
            <w:gridSpan w:val="2"/>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(3,550)</w:t>
            </w: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Arial" w:cs="Arial" w:eastAsia="Arial" w:hAnsi="Arial"/>
                <w:sz w:val="15"/>
                <w:szCs w:val="15"/>
                <w:color w:val="auto"/>
              </w:rPr>
              <w:t>Translation difference</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1"/>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tax assets, net</w:t>
            </w:r>
          </w:p>
        </w:tc>
        <w:tc>
          <w:tcPr>
            <w:tcW w:w="20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11,864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9,790</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2021 and 2020, based on estimates of recoverability. In order to fully realize the U.S. deferred tax assets, the Company must generate sufficient taxable income in future periods before the expiration of the deferred tax assets governed by the tax code.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8" w:name="page119"/>
    <w:bookmarkEnd w:id="11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As of December 31, 2021 and 2020, the Company had valuation allowances, respectively, of $160 and $288 for U.S federal purposes, $237 and $237 for U.S. state purposes and $522 and $323 for PRC income tax purposes.</w:t>
      </w:r>
    </w:p>
    <w:p>
      <w:pPr>
        <w:spacing w:after="0" w:line="146" w:lineRule="exact"/>
        <w:rPr>
          <w:sz w:val="20"/>
          <w:szCs w:val="20"/>
          <w:color w:val="auto"/>
        </w:rPr>
      </w:pPr>
    </w:p>
    <w:p>
      <w:pPr>
        <w:jc w:val="both"/>
        <w:spacing w:after="0" w:line="356" w:lineRule="auto"/>
        <w:rPr>
          <w:sz w:val="20"/>
          <w:szCs w:val="20"/>
          <w:color w:val="auto"/>
        </w:rPr>
      </w:pPr>
      <w:r>
        <w:rPr>
          <w:rFonts w:ascii="Arial" w:cs="Arial" w:eastAsia="Arial" w:hAnsi="Arial"/>
          <w:sz w:val="13"/>
          <w:szCs w:val="13"/>
          <w:color w:val="auto"/>
        </w:rPr>
        <w:t>As of December 31, 2021 and 2020, the Company had net operating loss carry-forwards of, respectively, $56,077 and $44,333 for U.S federal purposes, $545 and $545 for U.S. state purposes and $2,086 and $1,294 for PRC income tax purposes. Such losses begin expiring in 2022, 2032 and 2022 for U.S. federal, U.S. state and PRC income tax purposes,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and 2020, the Company had research credit carry-forwards of, respectively, $200 and $359 for U.S. federal purposes and $377 and $377 for U.S. state purposes.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Such credits begin expiring in 2022 for U.S. federal carry-forwards. There is no expiration date for U.S. state carry-forwards.</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Under provisions of the U.S. Internal Revenue Code (the “IRC”), a limitation applies to the use of the U.S. net operating loss and credit carry-forwards that would be applicable if ACM experiences an “ownership change,” as defined in IRC Section 382. ACM conducted an analysis of its stock ownership under IRC Section 382 and $11,957 of the net operating loss carryforwards are subject to annual limitation as a result of the ownership change in 2017. The net operating loss carryforwards are not expected to expire before utilization.</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The Company’s effective tax rate differs from statutory rates of 21% for U.S. federal income tax purposes and 12.5% to 25% for PRC income tax purpose due to the effects of the valuation allowance and certain permanent differences as they pertain to book-tax differences in employee stock-based compensation and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12.5%. ACM Shanghai obtained the certificate of “advanced and new technology enterprise” in each of 2012, 2016 and 2018 with an effective period of three years, and the provision for PRC corporate income tax for ACM Shanghai is calculated by applying the income tax rate of 12.5% for the years ended December 31, 2021, 2020 and 2019.</w:t>
      </w:r>
    </w:p>
    <w:p>
      <w:pPr>
        <w:spacing w:after="0" w:line="148"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Income tax expense for the years ended December 31, 2021, 2020 and 2019 differed from the amounts computed by applying the statutory U.S. federal income tax rate of 21% to pretax income as a result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w w:val="98"/>
              </w:rPr>
              <w:t>Year Ended December 31,</w:t>
            </w:r>
          </w:p>
        </w:tc>
        <w:tc>
          <w:tcPr>
            <w:tcW w:w="9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7940" w:type="dxa"/>
            <w:vAlign w:val="bottom"/>
            <w:gridSpan w:val="3"/>
          </w:tcPr>
          <w:p>
            <w:pPr>
              <w:spacing w:after="0"/>
              <w:rPr>
                <w:sz w:val="20"/>
                <w:szCs w:val="20"/>
                <w:color w:val="auto"/>
              </w:rPr>
            </w:pPr>
            <w:r>
              <w:rPr>
                <w:rFonts w:ascii="Arial" w:cs="Arial" w:eastAsia="Arial" w:hAnsi="Arial"/>
                <w:sz w:val="15"/>
                <w:szCs w:val="15"/>
                <w:color w:val="auto"/>
              </w:rPr>
              <w:t>Effective tax rate reconciliation:</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Income tax provision at statutory rate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8"/>
              </w:rPr>
              <w:t>21.00%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21.00%</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Arial" w:cs="Arial" w:eastAsia="Arial" w:hAnsi="Arial"/>
                <w:sz w:val="15"/>
                <w:szCs w:val="15"/>
                <w:color w:val="auto"/>
              </w:rPr>
              <w:t>Stock Compensation</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w w:val="88"/>
              </w:rPr>
              <w:t>(12.75)</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(36.99)</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Foreign rate differential</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8"/>
              </w:rPr>
              <w:t>(11.60)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(5.07)</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Arial" w:cs="Arial" w:eastAsia="Arial" w:hAnsi="Arial"/>
                <w:sz w:val="15"/>
                <w:szCs w:val="15"/>
                <w:color w:val="auto"/>
              </w:rPr>
              <w:t>Other permanent difference</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(0.23)</w:t>
            </w:r>
          </w:p>
        </w:tc>
        <w:tc>
          <w:tcPr>
            <w:tcW w:w="1380" w:type="dxa"/>
            <w:vAlign w:val="bottom"/>
            <w:gridSpan w:val="2"/>
          </w:tcPr>
          <w:p>
            <w:pPr>
              <w:jc w:val="right"/>
              <w:ind w:right="280"/>
              <w:spacing w:after="0"/>
              <w:rPr>
                <w:sz w:val="20"/>
                <w:szCs w:val="20"/>
                <w:color w:val="auto"/>
              </w:rPr>
            </w:pPr>
            <w:r>
              <w:rPr>
                <w:rFonts w:ascii="Arial" w:cs="Arial" w:eastAsia="Arial" w:hAnsi="Arial"/>
                <w:sz w:val="15"/>
                <w:szCs w:val="15"/>
                <w:color w:val="auto"/>
              </w:rPr>
              <w:t>11.71</w:t>
            </w:r>
          </w:p>
        </w:tc>
        <w:tc>
          <w:tcPr>
            <w:tcW w:w="2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Foreign income taxed in US</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10.32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6.05</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Arial" w:cs="Arial" w:eastAsia="Arial" w:hAnsi="Arial"/>
                <w:sz w:val="15"/>
                <w:szCs w:val="15"/>
                <w:color w:val="auto"/>
              </w:rPr>
              <w:t>Foreign Research Expense</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(6.59)</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(8.80)</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(5.82)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20" w:type="dxa"/>
            <w:vAlign w:val="bottom"/>
            <w:shd w:val="clear" w:color="auto" w:fill="CCEEFF"/>
          </w:tcPr>
          <w:p>
            <w:pPr>
              <w:ind w:left="80"/>
              <w:spacing w:after="0"/>
              <w:rPr>
                <w:sz w:val="20"/>
                <w:szCs w:val="20"/>
                <w:color w:val="auto"/>
              </w:rPr>
            </w:pPr>
            <w:r>
              <w:rPr>
                <w:rFonts w:ascii="Arial" w:cs="Arial" w:eastAsia="Arial" w:hAnsi="Arial"/>
                <w:sz w:val="15"/>
                <w:szCs w:val="15"/>
                <w:color w:val="auto"/>
              </w:rPr>
              <w:t>Change in valuation allowance</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(0.25)</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220" w:type="dxa"/>
            <w:vAlign w:val="bottom"/>
          </w:tcPr>
          <w:p>
            <w:pPr>
              <w:spacing w:after="0"/>
              <w:rPr>
                <w:sz w:val="20"/>
                <w:szCs w:val="20"/>
                <w:color w:val="auto"/>
              </w:rPr>
            </w:pPr>
            <w:r>
              <w:rPr>
                <w:rFonts w:ascii="Arial" w:cs="Arial" w:eastAsia="Arial" w:hAnsi="Arial"/>
                <w:sz w:val="15"/>
                <w:szCs w:val="15"/>
                <w:color w:val="auto"/>
              </w:rPr>
              <w:t>Total income tax expense (benefit)</w:t>
            </w:r>
          </w:p>
        </w:tc>
        <w:tc>
          <w:tcPr>
            <w:tcW w:w="7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0.31%</w:t>
            </w: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(12.35)%</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(2.74)%</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jc w:val="right"/>
              <w:ind w:right="1445"/>
              <w:spacing w:after="0"/>
              <w:rPr>
                <w:sz w:val="20"/>
                <w:szCs w:val="20"/>
                <w:color w:val="auto"/>
              </w:rPr>
            </w:pPr>
            <w:r>
              <w:rPr>
                <w:rFonts w:ascii="Arial" w:cs="Arial" w:eastAsia="Arial" w:hAnsi="Arial"/>
                <w:sz w:val="12"/>
                <w:szCs w:val="12"/>
                <w:color w:val="auto"/>
              </w:rPr>
              <w:t>119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72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19" w:name="page120"/>
    <w:bookmarkEnd w:id="11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years ended December 31, 2021 and 2020,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center"/>
              <w:ind w:left="65"/>
              <w:spacing w:after="0"/>
              <w:rPr>
                <w:sz w:val="20"/>
                <w:szCs w:val="20"/>
                <w:color w:val="auto"/>
              </w:rPr>
            </w:pPr>
            <w:r>
              <w:rPr>
                <w:rFonts w:ascii="Arial" w:cs="Arial" w:eastAsia="Arial" w:hAnsi="Arial"/>
                <w:sz w:val="15"/>
                <w:szCs w:val="15"/>
                <w:b w:val="1"/>
                <w:bCs w:val="1"/>
                <w:color w:val="auto"/>
                <w:w w:val="91"/>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740" w:type="dxa"/>
            <w:vAlign w:val="bottom"/>
            <w:shd w:val="clear" w:color="auto" w:fill="CCEEFF"/>
          </w:tcPr>
          <w:p>
            <w:pPr>
              <w:jc w:val="right"/>
              <w:ind w:right="623"/>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Pr>
          <w:p>
            <w:pPr>
              <w:ind w:left="80"/>
              <w:spacing w:after="0"/>
              <w:rPr>
                <w:sz w:val="20"/>
                <w:szCs w:val="20"/>
                <w:color w:val="auto"/>
              </w:rPr>
            </w:pPr>
            <w:r>
              <w:rPr>
                <w:rFonts w:ascii="Arial" w:cs="Arial" w:eastAsia="Arial" w:hAnsi="Arial"/>
                <w:sz w:val="15"/>
                <w:szCs w:val="15"/>
                <w:color w:val="auto"/>
              </w:rPr>
              <w:t>Increase of unrecognized tax benefits taken in prior years</w:t>
            </w: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52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116</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Increase of unrecognized tax benefits related to current year</w:t>
            </w: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5,476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410</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Pr>
          <w:p>
            <w:pPr>
              <w:ind w:left="80"/>
              <w:spacing w:after="0"/>
              <w:rPr>
                <w:sz w:val="20"/>
                <w:szCs w:val="20"/>
                <w:color w:val="auto"/>
              </w:rPr>
            </w:pPr>
            <w:r>
              <w:rPr>
                <w:rFonts w:ascii="Arial" w:cs="Arial" w:eastAsia="Arial" w:hAnsi="Arial"/>
                <w:sz w:val="15"/>
                <w:szCs w:val="15"/>
                <w:color w:val="auto"/>
              </w:rPr>
              <w:t>Reductions for tax positions related to prior years</w:t>
            </w:r>
          </w:p>
        </w:tc>
        <w:tc>
          <w:tcPr>
            <w:tcW w:w="7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(32)</w:t>
            </w: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Reductions to unrecognized tax benefits related to lapsing statute of limitations</w:t>
            </w: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3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320" w:type="dxa"/>
            <w:vAlign w:val="bottom"/>
          </w:tcPr>
          <w:p>
            <w:pPr>
              <w:spacing w:after="0"/>
              <w:rPr>
                <w:sz w:val="20"/>
                <w:szCs w:val="20"/>
                <w:color w:val="auto"/>
              </w:rPr>
            </w:pPr>
            <w:r>
              <w:rPr>
                <w:rFonts w:ascii="Arial" w:cs="Arial" w:eastAsia="Arial" w:hAnsi="Arial"/>
                <w:sz w:val="15"/>
                <w:szCs w:val="15"/>
                <w:color w:val="auto"/>
              </w:rPr>
              <w:t>Ending balance</w:t>
            </w:r>
          </w:p>
        </w:tc>
        <w:tc>
          <w:tcPr>
            <w:tcW w:w="740" w:type="dxa"/>
            <w:vAlign w:val="bottom"/>
          </w:tcPr>
          <w:p>
            <w:pPr>
              <w:jc w:val="right"/>
              <w:ind w:right="623"/>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6,066</w:t>
            </w:r>
          </w:p>
        </w:tc>
        <w:tc>
          <w:tcPr>
            <w:tcW w:w="220" w:type="dxa"/>
            <w:vAlign w:val="bottom"/>
          </w:tcPr>
          <w:p>
            <w:pPr>
              <w:spacing w:after="0"/>
              <w:rPr>
                <w:sz w:val="15"/>
                <w:szCs w:val="15"/>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570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323" w:lineRule="auto"/>
        <w:rPr>
          <w:sz w:val="20"/>
          <w:szCs w:val="20"/>
          <w:color w:val="auto"/>
        </w:rPr>
      </w:pPr>
      <w:r>
        <w:rPr>
          <w:rFonts w:ascii="Arial" w:cs="Arial" w:eastAsia="Arial" w:hAnsi="Arial"/>
          <w:sz w:val="13"/>
          <w:szCs w:val="13"/>
          <w:color w:val="auto"/>
        </w:rPr>
        <w:t>The Company is subject to taxation in the United States, California and foreign jurisdictions. The federal, state and foreign income tax returns are under the statute of limitations subject to tax examinations for the tax years ended December 31, 1999 through December 31, 2021. To the extent the Company has tax attribute carry-forwards, the tax years in which the attribute was generated may still be adjusted upon examination by the U.S. Internal Revenue Service or by state or foreign tax authorities to the extent utilized in a future period.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 had $6,066 and $570 of unrecognized tax benefits as of December 31, 2021 and 2020, respectively.</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The Company recognizes interest and penalties related to uncertain tax positions in income tax expense. As of December 31, 2021 and 2020, respectively, the Company had $44 and $44 of accrued penalties related to uncertain tax positions, all of which was recognized in the Company’s consolidated statements of operations and comprehensive income for the year then ended. The amount of the unrecognized tax benefit that, if recognized, would impact the effective tax rate was $5,950 as of December 31, 2021. There were no ongoing examinations by taxing authorities as of December 31, 2021 or 2020.</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intends to indefinitely reinvest the PRC earnings outside of the United States as of December 31, 2021 and 2020. Thus, deferred taxes are not provided in the United States for unremitted earnings in the PRC.</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22 – SEGMENT INFORMATION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Company is engaged in the developing, manufacture and sale of single-wafer wet cleaning equipment, which have been organized as one reporting segment as the equipment has substantially similar nature and economic characteristics. The Company’s principal operating decision maker, ACM’s Chief Executive Officer, receives and reviews the results of the operations for all major type of equipment as a whole when making decisions about allocating resources and assessing performance of the Company. In accordance with FASB ASC 280-10, the Company is not required to report segment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23 – COMMITMENTS AND CONTINGENCIES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leases offices under non-cancelable operating lease agreements. See note 11 for future minimum lease payments under non-cancelable operating lease agreements with initial terms of one year or more.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2021 and 2020, the Company had $5,463 and $1,173 of open capital commitments, respectively.</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unascertainable damages.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0" w:name="page121"/>
    <w:bookmarkEnd w:id="12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Company’s management has evaluated all such proceedings and claims that existed as of December 31, 2021 and 2020. In the opinion of management, no provision for liability nor disclosure was required as of December 31, 2021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 xml:space="preserve">As of December 31, 2021, the Company had one outstanding legal proceeding regarding securities class action. On December 21, 2020, a putative class action lawsuit against ACM and three of its current executive officers was filed in the U.S. District Court for the Northern District of California under the caption </w:t>
      </w:r>
      <w:r>
        <w:rPr>
          <w:rFonts w:ascii="Arial" w:cs="Arial" w:eastAsia="Arial" w:hAnsi="Arial"/>
          <w:sz w:val="14"/>
          <w:szCs w:val="14"/>
          <w:i w:val="1"/>
          <w:iCs w:val="1"/>
          <w:color w:val="auto"/>
        </w:rPr>
        <w:t>Kain v. ACM Research, Inc., et al.</w:t>
      </w:r>
      <w:r>
        <w:rPr>
          <w:rFonts w:ascii="Arial" w:cs="Arial" w:eastAsia="Arial" w:hAnsi="Arial"/>
          <w:sz w:val="14"/>
          <w:szCs w:val="14"/>
          <w:color w:val="auto"/>
        </w:rPr>
        <w:t>, No. 3:20-cv-09241. The complaint asserted claims under Sections 10(b) and 20(a) of the Securities Exchange Act of 1934 and Rule 10b-5 promulgated thereunder, and sought monetary damages in an unspecified amount as well as costs and expenses incurred in the litigation. The suit was dismissed with prejudice on January 10, 2022.</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24 – RESTRICTED NET ASSETS</w:t>
      </w:r>
    </w:p>
    <w:p>
      <w:pPr>
        <w:spacing w:after="0" w:line="194"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In accordance with the PRC’s Foreign Enterprise Law, ACM Shanghai, Shengwei Research (Shanghai), Inc., and ACM Wuxi are required to make contributions to a statutory surplus reserve (note 2).</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As a result of PRC laws and regulations that require annual appropriations of 10% of net after-tax profits to be set aside prior to payment of dividends as a general reserve fund or statutory surplus fund, ACM Shanghai is restricted in its ability to transfer a portion of its net assets to ACM (including any assets received as distributions from Shengwei Research (Shanghai), Inc. and ACM Wuxi. Amounts restricted included paid-in capital and statutory reserve funds, as determined pursuant to PRC accounting standards and regulations, were $671,750, $119,377 and $113,168 as of December 31, 2021, 2020 and 2019,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25 – PARENT COMPANY ONLY CONDENSED FINANCIAL INFORMATION</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ACM’s subsidiaries did not pay any dividends to ACM during the periods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ACM did not have significant capital or other commitments, long-term obligations, or guarantees as of December 31, 2021 or 2020.</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1" w:name="page122"/>
    <w:bookmarkEnd w:id="12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condensed unconsolidated financial information of ACM only as of December 31, 2021 and 2020, and for the years ended December 31, 2021, 2020 and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60" w:type="dxa"/>
            <w:vAlign w:val="bottom"/>
            <w:gridSpan w:val="2"/>
          </w:tcPr>
          <w:p>
            <w:pPr>
              <w:spacing w:after="0"/>
              <w:rPr>
                <w:sz w:val="20"/>
                <w:szCs w:val="20"/>
                <w:color w:val="auto"/>
              </w:rPr>
            </w:pPr>
            <w:r>
              <w:rPr>
                <w:rFonts w:ascii="Arial" w:cs="Arial" w:eastAsia="Arial" w:hAnsi="Arial"/>
                <w:sz w:val="15"/>
                <w:szCs w:val="15"/>
                <w:b w:val="1"/>
                <w:bCs w:val="1"/>
                <w:color w:val="auto"/>
              </w:rPr>
              <w:t>CONDENSED BALANCE SHEET</w:t>
            </w:r>
          </w:p>
        </w:tc>
        <w:tc>
          <w:tcPr>
            <w:tcW w:w="2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Current assets:</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Cash and cash equivalents</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jc w:val="right"/>
              <w:ind w:right="11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29,536</w:t>
            </w: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38"/>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30,188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240"/>
              <w:spacing w:after="0"/>
              <w:rPr>
                <w:sz w:val="20"/>
                <w:szCs w:val="20"/>
                <w:color w:val="auto"/>
              </w:rPr>
            </w:pPr>
            <w:r>
              <w:rPr>
                <w:rFonts w:ascii="Arial" w:cs="Arial" w:eastAsia="Arial" w:hAnsi="Arial"/>
                <w:sz w:val="15"/>
                <w:szCs w:val="15"/>
                <w:color w:val="auto"/>
              </w:rPr>
              <w:t>Accounts receivable</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Due from intercompany</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240"/>
              <w:spacing w:after="0"/>
              <w:rPr>
                <w:sz w:val="20"/>
                <w:szCs w:val="20"/>
                <w:color w:val="auto"/>
              </w:rPr>
            </w:pPr>
            <w:r>
              <w:rPr>
                <w:rFonts w:ascii="Arial" w:cs="Arial" w:eastAsia="Arial" w:hAnsi="Arial"/>
                <w:sz w:val="15"/>
                <w:szCs w:val="15"/>
                <w:color w:val="auto"/>
              </w:rPr>
              <w:t>Other receivable</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Prepaid expenses</w:t>
            </w:r>
          </w:p>
        </w:tc>
        <w:tc>
          <w:tcPr>
            <w:tcW w:w="29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Total current assets</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30,194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30,552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Deferred tax assets</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13,166</w:t>
            </w: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11,076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Investment in unconsolidated subsidiaries</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637,961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102,455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Total assets</w:t>
            </w:r>
          </w:p>
        </w:tc>
        <w:tc>
          <w:tcPr>
            <w:tcW w:w="29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681,321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144,083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Accounts payable</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875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payable</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w:t>
            </w: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Income taxes payable</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FIN-48 payable</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2,282</w:t>
            </w: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Deferred tax liability</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liabilities</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5,117</w:t>
            </w: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40" w:type="dxa"/>
            <w:vAlign w:val="bottom"/>
          </w:tcPr>
          <w:p>
            <w:pPr>
              <w:ind w:left="380"/>
              <w:spacing w:after="0"/>
              <w:rPr>
                <w:sz w:val="20"/>
                <w:szCs w:val="20"/>
                <w:color w:val="auto"/>
              </w:rPr>
            </w:pPr>
            <w:r>
              <w:rPr>
                <w:rFonts w:ascii="Arial" w:cs="Arial" w:eastAsia="Arial" w:hAnsi="Arial"/>
                <w:sz w:val="15"/>
                <w:szCs w:val="15"/>
                <w:color w:val="auto"/>
              </w:rPr>
              <w:t>Total stockholders’ equity</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676,204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141,150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Total liabilities and stockholders equity</w:t>
            </w:r>
          </w:p>
        </w:tc>
        <w:tc>
          <w:tcPr>
            <w:tcW w:w="29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681,321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144,083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4360" w:type="dxa"/>
            <w:vAlign w:val="bottom"/>
            <w:gridSpan w:val="2"/>
          </w:tcPr>
          <w:p>
            <w:pPr>
              <w:spacing w:after="0"/>
              <w:rPr>
                <w:sz w:val="20"/>
                <w:szCs w:val="20"/>
                <w:color w:val="auto"/>
              </w:rPr>
            </w:pPr>
            <w:r>
              <w:rPr>
                <w:rFonts w:ascii="Arial" w:cs="Arial" w:eastAsia="Arial" w:hAnsi="Arial"/>
                <w:sz w:val="15"/>
                <w:szCs w:val="15"/>
                <w:b w:val="1"/>
                <w:bCs w:val="1"/>
                <w:color w:val="auto"/>
              </w:rPr>
              <w:t>CONDENSED STATEMENT OF OPERATIONS</w:t>
            </w:r>
          </w:p>
        </w:tc>
        <w:tc>
          <w:tcPr>
            <w:tcW w:w="2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258"/>
              <w:spacing w:after="0"/>
              <w:rPr>
                <w:sz w:val="20"/>
                <w:szCs w:val="20"/>
                <w:color w:val="auto"/>
              </w:rPr>
            </w:pPr>
            <w:r>
              <w:rPr>
                <w:rFonts w:ascii="Arial" w:cs="Arial" w:eastAsia="Arial" w:hAnsi="Arial"/>
                <w:sz w:val="15"/>
                <w:szCs w:val="15"/>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w w:val="95"/>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Revenue</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1,776</w:t>
            </w: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10,683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Cost of revenue</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(1,707)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(10,036)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96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Operating expenses:</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Sales and marketing expenses</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(2,443)</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(1,361)</w:t>
            </w: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240"/>
              <w:spacing w:after="0"/>
              <w:rPr>
                <w:sz w:val="20"/>
                <w:szCs w:val="20"/>
                <w:color w:val="auto"/>
              </w:rPr>
            </w:pPr>
            <w:r>
              <w:rPr>
                <w:rFonts w:ascii="Arial" w:cs="Arial" w:eastAsia="Arial" w:hAnsi="Arial"/>
                <w:sz w:val="15"/>
                <w:szCs w:val="15"/>
                <w:color w:val="auto"/>
              </w:rPr>
              <w:t>General and administrative expenses</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(5,116)</w:t>
            </w: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(5,010)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(3,639)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Research and development expenses</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Loss from operations</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(7,543)</w:t>
            </w: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(6,302)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(3,958)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Equity in earnings of unconsolidated subsidiaries</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7"/>
              </w:rPr>
              <w:t>43,866</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36,273</w:t>
            </w: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22,510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Change in fair value of financial liability</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(11,964)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Interest income, net</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w:t>
            </w: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Interest expense, net</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income, net</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1,380</w:t>
            </w: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683</w:t>
            </w: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2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37,757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18,780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18,894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tax expense</w:t>
            </w:r>
          </w:p>
        </w:tc>
        <w:tc>
          <w:tcPr>
            <w:tcW w:w="2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ind w:left="80"/>
              <w:spacing w:after="0"/>
              <w:rPr>
                <w:sz w:val="20"/>
                <w:szCs w:val="20"/>
                <w:color w:val="auto"/>
              </w:rPr>
            </w:pPr>
            <w:r>
              <w:rPr>
                <w:rFonts w:ascii="Arial" w:cs="Arial" w:eastAsia="Arial" w:hAnsi="Arial"/>
                <w:sz w:val="15"/>
                <w:szCs w:val="15"/>
                <w:color w:val="auto"/>
              </w:rPr>
              <w:t>Net income</w:t>
            </w:r>
          </w:p>
        </w:tc>
        <w:tc>
          <w:tcPr>
            <w:tcW w:w="2960" w:type="dxa"/>
            <w:vAlign w:val="bottom"/>
          </w:tcPr>
          <w:p>
            <w:pPr>
              <w:spacing w:after="0"/>
              <w:rPr>
                <w:sz w:val="15"/>
                <w:szCs w:val="15"/>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37,757</w:t>
            </w:r>
          </w:p>
        </w:tc>
        <w:tc>
          <w:tcPr>
            <w:tcW w:w="22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18,780</w:t>
            </w:r>
          </w:p>
        </w:tc>
        <w:tc>
          <w:tcPr>
            <w:tcW w:w="460" w:type="dxa"/>
            <w:vAlign w:val="bottom"/>
            <w:gridSpan w:val="2"/>
          </w:tcPr>
          <w:p>
            <w:pPr>
              <w:jc w:val="right"/>
              <w:ind w:right="218"/>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18,894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960" w:type="dxa"/>
            <w:vAlign w:val="bottom"/>
            <w:vMerge w:val="restart"/>
          </w:tcPr>
          <w:p>
            <w:pPr>
              <w:jc w:val="right"/>
              <w:ind w:right="1540"/>
              <w:spacing w:after="0"/>
              <w:rPr>
                <w:sz w:val="20"/>
                <w:szCs w:val="20"/>
                <w:color w:val="auto"/>
              </w:rPr>
            </w:pPr>
            <w:r>
              <w:rPr>
                <w:rFonts w:ascii="Arial" w:cs="Arial" w:eastAsia="Arial" w:hAnsi="Arial"/>
                <w:sz w:val="12"/>
                <w:szCs w:val="12"/>
                <w:color w:val="auto"/>
              </w:rPr>
              <w:t>122</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22" w:name="page123"/>
    <w:bookmarkEnd w:id="12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ACM RESEARCH, INC.</w:t>
      </w:r>
    </w:p>
    <w:p>
      <w:pPr>
        <w:spacing w:after="0" w:line="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5"/>
          <w:szCs w:val="15"/>
          <w:i w:val="1"/>
          <w:iCs w:val="1"/>
          <w:color w:val="auto"/>
        </w:rPr>
        <w:t>(in thousands, except share and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gridSpan w:val="2"/>
          </w:tcPr>
          <w:p>
            <w:pPr>
              <w:spacing w:after="0"/>
              <w:rPr>
                <w:sz w:val="20"/>
                <w:szCs w:val="20"/>
                <w:color w:val="auto"/>
              </w:rPr>
            </w:pPr>
            <w:r>
              <w:rPr>
                <w:rFonts w:ascii="Arial" w:cs="Arial" w:eastAsia="Arial" w:hAnsi="Arial"/>
                <w:sz w:val="15"/>
                <w:szCs w:val="15"/>
                <w:b w:val="1"/>
                <w:bCs w:val="1"/>
                <w:color w:val="auto"/>
              </w:rPr>
              <w:t>CONDENSED STATEMENT OF CASH FLOWS</w:t>
            </w:r>
          </w:p>
        </w:tc>
        <w:tc>
          <w:tcPr>
            <w:tcW w:w="2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5"/>
                <w:szCs w:val="15"/>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27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(5,902)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Net cash provided by investing activities</w:t>
            </w:r>
          </w:p>
        </w:tc>
        <w:tc>
          <w:tcPr>
            <w:tcW w:w="2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2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2,745</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23,347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Net increase (decrease) in cash and cash equivalents</w:t>
            </w:r>
          </w:p>
        </w:tc>
        <w:tc>
          <w:tcPr>
            <w:tcW w:w="2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(652)</w:t>
            </w: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2,455</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15,390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beginning of year</w:t>
            </w:r>
          </w:p>
        </w:tc>
        <w:tc>
          <w:tcPr>
            <w:tcW w:w="2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7"/>
              </w:rPr>
              <w:t>30,188</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27,733</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13,161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2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(818)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 end of year</w:t>
            </w:r>
          </w:p>
        </w:tc>
        <w:tc>
          <w:tcPr>
            <w:tcW w:w="27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29,536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30,188</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700" w:type="dxa"/>
            <w:vAlign w:val="bottom"/>
          </w:tcPr>
          <w:p>
            <w:pPr>
              <w:jc w:val="right"/>
              <w:ind w:right="1540"/>
              <w:spacing w:after="0"/>
              <w:rPr>
                <w:sz w:val="20"/>
                <w:szCs w:val="20"/>
                <w:color w:val="auto"/>
              </w:rPr>
            </w:pPr>
            <w:r>
              <w:rPr>
                <w:rFonts w:ascii="Arial" w:cs="Arial" w:eastAsia="Arial" w:hAnsi="Arial"/>
                <w:sz w:val="12"/>
                <w:szCs w:val="12"/>
                <w:color w:val="auto"/>
              </w:rPr>
              <w:t>123</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23" w:name="page124"/>
    <w:bookmarkEnd w:id="123"/>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Item 9A.  Controls and Procedures</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190" w:lineRule="exact"/>
        <w:rPr>
          <w:sz w:val="20"/>
          <w:szCs w:val="20"/>
          <w:color w:val="auto"/>
        </w:rPr>
      </w:pPr>
    </w:p>
    <w:p>
      <w:pPr>
        <w:jc w:val="both"/>
        <w:ind w:left="10"/>
        <w:spacing w:after="0" w:line="182" w:lineRule="exact"/>
        <w:rPr>
          <w:sz w:val="20"/>
          <w:szCs w:val="20"/>
          <w:color w:val="auto"/>
        </w:rPr>
      </w:pPr>
      <w:r>
        <w:rPr>
          <w:rFonts w:ascii="Arial" w:cs="Arial" w:eastAsia="Arial" w:hAnsi="Arial"/>
          <w:sz w:val="14"/>
          <w:szCs w:val="14"/>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December 31, 2021.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 As a result of the COVID-19 pandemic, in 2021 we have faced additional challenges in operating and monitoring our disclosure controls and procedures as a result of employees working remotely and management travel being limited. In addition, we face potential heightened cybersecurity risks as our level of dependence on our IT networks and related systems increases, stemming from employees working remotely, and the number of malware campaigns and phishing attacks preying on the uncertainties surrounding the COVID</w:t>
      </w:r>
      <w:r>
        <w:rPr>
          <w:rFonts w:ascii="MS PGothic" w:cs="MS PGothic" w:eastAsia="MS PGothic" w:hAnsi="MS PGothic"/>
          <w:sz w:val="14"/>
          <w:szCs w:val="14"/>
          <w:color w:val="auto"/>
        </w:rPr>
        <w:t>‑</w:t>
      </w:r>
      <w:r>
        <w:rPr>
          <w:rFonts w:ascii="Arial" w:cs="Arial" w:eastAsia="Arial" w:hAnsi="Arial"/>
          <w:sz w:val="14"/>
          <w:szCs w:val="14"/>
          <w:color w:val="auto"/>
        </w:rPr>
        <w:t>19 pandemic increases.</w:t>
      </w:r>
    </w:p>
    <w:p>
      <w:pPr>
        <w:spacing w:after="0" w:line="173" w:lineRule="exact"/>
        <w:rPr>
          <w:sz w:val="20"/>
          <w:szCs w:val="20"/>
          <w:color w:val="auto"/>
        </w:rPr>
      </w:pPr>
    </w:p>
    <w:p>
      <w:pPr>
        <w:jc w:val="both"/>
        <w:ind w:left="10"/>
        <w:spacing w:after="0" w:line="284" w:lineRule="auto"/>
        <w:rPr>
          <w:sz w:val="20"/>
          <w:szCs w:val="20"/>
          <w:color w:val="auto"/>
        </w:rPr>
      </w:pPr>
      <w:r>
        <w:rPr>
          <w:rFonts w:ascii="Arial" w:cs="Arial" w:eastAsia="Arial" w:hAnsi="Arial"/>
          <w:sz w:val="14"/>
          <w:szCs w:val="14"/>
          <w:color w:val="auto"/>
        </w:rPr>
        <w:t>Based on that evaluation, our Chief Executive Officer and Chief Financial Officer concluded that, as of December 31, 2021, our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43"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Management’s Report on Internal Control Over Financial Reporting</w:t>
      </w:r>
    </w:p>
    <w:p>
      <w:pPr>
        <w:spacing w:after="0" w:line="190" w:lineRule="exact"/>
        <w:rPr>
          <w:sz w:val="20"/>
          <w:szCs w:val="20"/>
          <w:color w:val="auto"/>
        </w:rPr>
      </w:pPr>
    </w:p>
    <w:p>
      <w:pPr>
        <w:jc w:val="both"/>
        <w:ind w:left="10"/>
        <w:spacing w:after="0" w:line="295" w:lineRule="auto"/>
        <w:rPr>
          <w:sz w:val="20"/>
          <w:szCs w:val="20"/>
          <w:color w:val="auto"/>
        </w:rPr>
      </w:pPr>
      <w:r>
        <w:rPr>
          <w:rFonts w:ascii="Arial" w:cs="Arial" w:eastAsia="Arial" w:hAnsi="Arial"/>
          <w:sz w:val="13"/>
          <w:szCs w:val="13"/>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The company’s internal control over financial reporting includes those policies and procedures that:</w:t>
      </w:r>
    </w:p>
    <w:p>
      <w:pPr>
        <w:spacing w:after="0" w:line="1" w:lineRule="exact"/>
        <w:rPr>
          <w:sz w:val="20"/>
          <w:szCs w:val="20"/>
          <w:color w:val="auto"/>
        </w:rPr>
      </w:pPr>
    </w:p>
    <w:p>
      <w:pPr>
        <w:ind w:left="410" w:hanging="410"/>
        <w:spacing w:after="0"/>
        <w:tabs>
          <w:tab w:leader="none" w:pos="410" w:val="left"/>
        </w:tabs>
        <w:numPr>
          <w:ilvl w:val="0"/>
          <w:numId w:val="82"/>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our company;</w:t>
      </w:r>
    </w:p>
    <w:p>
      <w:pPr>
        <w:spacing w:after="0" w:line="8" w:lineRule="exact"/>
        <w:rPr>
          <w:rFonts w:ascii="Arial" w:cs="Arial" w:eastAsia="Arial" w:hAnsi="Arial"/>
          <w:sz w:val="15"/>
          <w:szCs w:val="15"/>
          <w:color w:val="auto"/>
        </w:rPr>
      </w:pPr>
    </w:p>
    <w:p>
      <w:pPr>
        <w:ind w:left="410" w:right="20" w:hanging="410"/>
        <w:spacing w:after="0" w:line="299" w:lineRule="auto"/>
        <w:tabs>
          <w:tab w:leader="none" w:pos="410" w:val="left"/>
        </w:tabs>
        <w:numPr>
          <w:ilvl w:val="0"/>
          <w:numId w:val="82"/>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our company; and</w:t>
      </w:r>
    </w:p>
    <w:p>
      <w:pPr>
        <w:spacing w:after="0" w:line="286"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124" w:name="page125"/>
    <w:bookmarkEnd w:id="124"/>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9" w:lineRule="exact"/>
        <w:rPr>
          <w:sz w:val="20"/>
          <w:szCs w:val="20"/>
          <w:color w:val="auto"/>
        </w:rPr>
      </w:pPr>
    </w:p>
    <w:p>
      <w:pPr>
        <w:ind w:left="410" w:hanging="410"/>
        <w:spacing w:after="0" w:line="276" w:lineRule="auto"/>
        <w:tabs>
          <w:tab w:leader="none" w:pos="410" w:val="left"/>
        </w:tabs>
        <w:numPr>
          <w:ilvl w:val="0"/>
          <w:numId w:val="83"/>
        </w:numPr>
        <w:rPr>
          <w:rFonts w:ascii="Arial" w:cs="Arial" w:eastAsia="Arial" w:hAnsi="Arial"/>
          <w:sz w:val="15"/>
          <w:szCs w:val="15"/>
          <w:color w:val="auto"/>
        </w:rPr>
      </w:pPr>
      <w:r>
        <w:rPr>
          <w:rFonts w:ascii="Arial" w:cs="Arial" w:eastAsia="Arial" w:hAnsi="Arial"/>
          <w:sz w:val="15"/>
          <w:szCs w:val="15"/>
          <w:color w:val="auto"/>
        </w:rPr>
        <w:t>provide reasonable assurance regarding prevention or timely detection of unauthorized acquisition, use or disposition of our company’s assets that could have a material effect on the financial statements.</w:t>
      </w:r>
    </w:p>
    <w:p>
      <w:pPr>
        <w:spacing w:after="0" w:line="146" w:lineRule="exact"/>
        <w:rPr>
          <w:sz w:val="20"/>
          <w:szCs w:val="20"/>
          <w:color w:val="auto"/>
        </w:rPr>
      </w:pPr>
    </w:p>
    <w:p>
      <w:pPr>
        <w:jc w:val="both"/>
        <w:ind w:left="10" w:right="20"/>
        <w:spacing w:after="0" w:line="35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9" w:lineRule="exact"/>
        <w:rPr>
          <w:sz w:val="20"/>
          <w:szCs w:val="20"/>
          <w:color w:val="auto"/>
        </w:rPr>
      </w:pPr>
    </w:p>
    <w:p>
      <w:pPr>
        <w:jc w:val="both"/>
        <w:ind w:left="10"/>
        <w:spacing w:after="0" w:line="323" w:lineRule="auto"/>
        <w:rPr>
          <w:sz w:val="20"/>
          <w:szCs w:val="20"/>
          <w:color w:val="auto"/>
        </w:rPr>
      </w:pPr>
      <w:r>
        <w:rPr>
          <w:rFonts w:ascii="Arial" w:cs="Arial" w:eastAsia="Arial" w:hAnsi="Arial"/>
          <w:sz w:val="13"/>
          <w:szCs w:val="13"/>
          <w:color w:val="auto"/>
        </w:rPr>
        <w:t>Our management, with the participation of our Chief Executive Officer and Chief Financial Officer, assessed the effectiveness of our internal control over financial reporting as of December 31, 2021.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2021.</w:t>
      </w:r>
    </w:p>
    <w:p>
      <w:pPr>
        <w:spacing w:after="0" w:line="120" w:lineRule="exact"/>
        <w:rPr>
          <w:sz w:val="20"/>
          <w:szCs w:val="20"/>
          <w:color w:val="auto"/>
        </w:rPr>
      </w:pPr>
    </w:p>
    <w:p>
      <w:pPr>
        <w:jc w:val="both"/>
        <w:ind w:left="10"/>
        <w:spacing w:after="0" w:line="276" w:lineRule="auto"/>
        <w:rPr>
          <w:sz w:val="20"/>
          <w:szCs w:val="20"/>
          <w:color w:val="auto"/>
        </w:rPr>
      </w:pPr>
      <w:r>
        <w:rPr>
          <w:rFonts w:ascii="Arial" w:cs="Arial" w:eastAsia="Arial" w:hAnsi="Arial"/>
          <w:sz w:val="15"/>
          <w:szCs w:val="15"/>
          <w:color w:val="auto"/>
        </w:rPr>
        <w:t>BDO China Shu Lun Pan Certified Public Accountants LLP, an independent registered public accounting firm, has issued an attestation report on our internal control over financial reporting, which is included herein.</w:t>
      </w:r>
    </w:p>
    <w:p>
      <w:pPr>
        <w:spacing w:after="0" w:line="146" w:lineRule="exact"/>
        <w:rPr>
          <w:sz w:val="20"/>
          <w:szCs w:val="20"/>
          <w:color w:val="auto"/>
        </w:rPr>
      </w:pPr>
    </w:p>
    <w:p>
      <w:pPr>
        <w:ind w:left="10"/>
        <w:spacing w:after="0"/>
        <w:rPr>
          <w:sz w:val="20"/>
          <w:szCs w:val="20"/>
          <w:color w:val="auto"/>
        </w:rPr>
      </w:pPr>
      <w:r>
        <w:rPr>
          <w:rFonts w:ascii="Arial" w:cs="Arial" w:eastAsia="Arial" w:hAnsi="Arial"/>
          <w:sz w:val="15"/>
          <w:szCs w:val="15"/>
          <w:b w:val="1"/>
          <w:bCs w:val="1"/>
          <w:i w:val="1"/>
          <w:iCs w:val="1"/>
          <w:color w:val="auto"/>
        </w:rPr>
        <w:t>Changes in Internal Control over Financial Reporting and Remediation Efforts</w:t>
      </w:r>
    </w:p>
    <w:p>
      <w:pPr>
        <w:spacing w:after="0" w:line="190" w:lineRule="exact"/>
        <w:rPr>
          <w:sz w:val="20"/>
          <w:szCs w:val="20"/>
          <w:color w:val="auto"/>
        </w:rPr>
      </w:pPr>
    </w:p>
    <w:p>
      <w:pPr>
        <w:jc w:val="both"/>
        <w:ind w:left="10"/>
        <w:spacing w:after="0" w:line="291" w:lineRule="auto"/>
        <w:rPr>
          <w:sz w:val="20"/>
          <w:szCs w:val="20"/>
          <w:color w:val="auto"/>
        </w:rPr>
      </w:pPr>
      <w:r>
        <w:rPr>
          <w:rFonts w:ascii="Arial" w:cs="Arial" w:eastAsia="Arial" w:hAnsi="Arial"/>
          <w:sz w:val="14"/>
          <w:szCs w:val="14"/>
          <w:color w:val="auto"/>
        </w:rPr>
        <w:t>No changes were identified to our internal control over financial reporting during the three months ended December 31, 2021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292"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125" w:name="page126"/>
    <w:bookmarkEnd w:id="12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95250</wp:posOffset>
            </wp:positionV>
            <wp:extent cx="4274185" cy="423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74185" cy="42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Shareholders and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ACM Research,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Fremont, California</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 xml:space="preserve">We have audited ACM Research, Inc. and subsidiaries’ (the “Company’s”) internal control over financial reporting as of December 31, 2021, based on criteria established in </w:t>
      </w:r>
      <w:r>
        <w:rPr>
          <w:rFonts w:ascii="Arial" w:cs="Arial" w:eastAsia="Arial" w:hAnsi="Arial"/>
          <w:sz w:val="15"/>
          <w:szCs w:val="15"/>
          <w:i w:val="1"/>
          <w:iCs w:val="1"/>
          <w:color w:val="auto"/>
        </w:rPr>
        <w:t>Internal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Control – Integrated Framework (2013) </w:t>
      </w:r>
      <w:r>
        <w:rPr>
          <w:rFonts w:ascii="Arial" w:cs="Arial" w:eastAsia="Arial" w:hAnsi="Arial"/>
          <w:sz w:val="15"/>
          <w:szCs w:val="15"/>
          <w:color w:val="auto"/>
        </w:rPr>
        <w:t>issued by the Committee of Sponsoring Organizations of the Treadway Commission (the “COSO criteria”). In our opinion,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maintained, in all material respects, effective internal control over financial reporting as of December 31, 2021, based on the COSO criteria</w:t>
      </w:r>
      <w:r>
        <w:rPr>
          <w:rFonts w:ascii="Arial" w:cs="Arial" w:eastAsia="Arial" w:hAnsi="Arial"/>
          <w:sz w:val="15"/>
          <w:szCs w:val="15"/>
          <w:i w:val="1"/>
          <w:iCs w:val="1"/>
          <w:color w:val="auto"/>
        </w:rPr>
        <w:t>.</w:t>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2021 and 2020, the related consolidated statements of operations and comprehensive income, changes in stockholders’ equity, and cash flows for each of the three years in the period ended December 31, 2021, and the related notes and our report dated March 1, 2022 expressed an unqualified opinion thereon.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6" w:name="page127"/>
    <w:bookmarkEnd w:id="12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194"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ind w:right="20"/>
        <w:spacing w:after="0" w:line="35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BDO China Shu Lun Pan Certified Public Accountants LLP</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Shenzhen, The People’s Republic of China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March 1, 2022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7" w:name="page128"/>
    <w:bookmarkEnd w:id="12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III</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9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2022 Annual Meeting of Stockholders to be filed with the SEC within 120 days after the end of the fiscal year covered by this report.</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19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2022 Annual Meeting of Stockholders to be filed with the SEC within 120 days after the end of the fiscal year covered by this report.</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9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2022 Annual Meeting of Stockholders to be filed with the SEC within 120 days after the end of the fiscal year covered by this report.</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19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2022 Annual Meeting of Stockholders to be filed with the SEC within 120 days after the end of the fiscal year covered by this report.</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Principal Accounting Fees and Services</w:t>
      </w:r>
    </w:p>
    <w:p>
      <w:pPr>
        <w:spacing w:after="0" w:line="19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Information responsive to this item is incorporated herein by reference to our definitive proxy statement with respect to our 2022 Annual Meeting of Stockholders to be filed with the SEC within 120 days after the end of the fiscal year covered by this report.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8" w:name="page129"/>
    <w:bookmarkEnd w:id="128"/>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PART IV</w:t>
      </w:r>
    </w:p>
    <w:p>
      <w:pPr>
        <w:spacing w:after="0" w:line="190" w:lineRule="exact"/>
        <w:rPr>
          <w:sz w:val="20"/>
          <w:szCs w:val="20"/>
          <w:color w:val="auto"/>
        </w:rPr>
      </w:pPr>
    </w:p>
    <w:p>
      <w:pPr>
        <w:ind w:left="10"/>
        <w:spacing w:after="0"/>
        <w:tabs>
          <w:tab w:leader="none" w:pos="649"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Exhibits and Financial Statement Schedules</w:t>
      </w:r>
    </w:p>
    <w:p>
      <w:pPr>
        <w:spacing w:after="0" w:line="194" w:lineRule="exact"/>
        <w:rPr>
          <w:sz w:val="20"/>
          <w:szCs w:val="20"/>
          <w:color w:val="auto"/>
        </w:rPr>
      </w:pPr>
    </w:p>
    <w:p>
      <w:pPr>
        <w:ind w:left="390" w:hanging="390"/>
        <w:spacing w:after="0"/>
        <w:tabs>
          <w:tab w:leader="none" w:pos="390" w:val="left"/>
        </w:tabs>
        <w:numPr>
          <w:ilvl w:val="0"/>
          <w:numId w:val="84"/>
        </w:numPr>
        <w:rPr>
          <w:rFonts w:ascii="Arial" w:cs="Arial" w:eastAsia="Arial" w:hAnsi="Arial"/>
          <w:sz w:val="15"/>
          <w:szCs w:val="15"/>
          <w:color w:val="auto"/>
        </w:rPr>
      </w:pPr>
      <w:r>
        <w:rPr>
          <w:rFonts w:ascii="Arial" w:cs="Arial" w:eastAsia="Arial" w:hAnsi="Arial"/>
          <w:sz w:val="15"/>
          <w:szCs w:val="15"/>
          <w:color w:val="auto"/>
        </w:rPr>
        <w:t>See “Item 8. Financial Statements and Supplementary Data – Index to Consolidated Financial Statements” of Part II above and “Exhibit Index” below.</w:t>
      </w:r>
    </w:p>
    <w:p>
      <w:pPr>
        <w:spacing w:after="0" w:line="189" w:lineRule="exact"/>
        <w:rPr>
          <w:rFonts w:ascii="Arial" w:cs="Arial" w:eastAsia="Arial" w:hAnsi="Arial"/>
          <w:sz w:val="15"/>
          <w:szCs w:val="15"/>
          <w:color w:val="auto"/>
        </w:rPr>
      </w:pPr>
    </w:p>
    <w:p>
      <w:pPr>
        <w:ind w:left="410" w:hanging="410"/>
        <w:spacing w:after="0"/>
        <w:tabs>
          <w:tab w:leader="none" w:pos="41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Exhibits.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tcPr>
          <w:p>
            <w:pPr>
              <w:jc w:val="center"/>
              <w:ind w:right="245"/>
              <w:spacing w:after="0"/>
              <w:rPr>
                <w:sz w:val="20"/>
                <w:szCs w:val="20"/>
                <w:color w:val="auto"/>
              </w:rPr>
            </w:pPr>
            <w:r>
              <w:rPr>
                <w:rFonts w:ascii="Arial" w:cs="Arial" w:eastAsia="Arial" w:hAnsi="Arial"/>
                <w:sz w:val="15"/>
                <w:szCs w:val="15"/>
                <w:b w:val="1"/>
                <w:bCs w:val="1"/>
                <w:color w:val="auto"/>
                <w:w w:val="95"/>
              </w:rPr>
              <w:t>Exhibit</w:t>
            </w:r>
          </w:p>
        </w:tc>
        <w:tc>
          <w:tcPr>
            <w:tcW w:w="180" w:type="dxa"/>
            <w:vAlign w:val="bottom"/>
          </w:tcPr>
          <w:p>
            <w:pPr>
              <w:spacing w:after="0"/>
              <w:rPr>
                <w:sz w:val="15"/>
                <w:szCs w:val="15"/>
                <w:color w:val="auto"/>
              </w:rPr>
            </w:pPr>
          </w:p>
        </w:tc>
        <w:tc>
          <w:tcPr>
            <w:tcW w:w="9760" w:type="dxa"/>
            <w:vAlign w:val="bottom"/>
          </w:tcPr>
          <w:p>
            <w:pPr>
              <w:spacing w:after="0"/>
              <w:rPr>
                <w:sz w:val="15"/>
                <w:szCs w:val="15"/>
                <w:color w:val="auto"/>
              </w:rPr>
            </w:pPr>
          </w:p>
        </w:tc>
      </w:tr>
      <w:tr>
        <w:trPr>
          <w:trHeight w:val="198"/>
        </w:trPr>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45"/>
              <w:spacing w:after="0"/>
              <w:rPr>
                <w:sz w:val="20"/>
                <w:szCs w:val="20"/>
                <w:color w:val="auto"/>
              </w:rPr>
            </w:pPr>
            <w:r>
              <w:rPr>
                <w:rFonts w:ascii="Arial" w:cs="Arial" w:eastAsia="Arial" w:hAnsi="Arial"/>
                <w:sz w:val="15"/>
                <w:szCs w:val="15"/>
                <w:b w:val="1"/>
                <w:bCs w:val="1"/>
                <w:color w:val="auto"/>
                <w:w w:val="90"/>
              </w:rPr>
              <w:t>No.</w:t>
            </w:r>
          </w:p>
        </w:tc>
        <w:tc>
          <w:tcPr>
            <w:tcW w:w="180" w:type="dxa"/>
            <w:vAlign w:val="bottom"/>
            <w:tcBorders>
              <w:bottom w:val="single" w:sz="8" w:color="CCEEFF"/>
            </w:tcBorders>
          </w:tcPr>
          <w:p>
            <w:pPr>
              <w:spacing w:after="0"/>
              <w:rPr>
                <w:sz w:val="17"/>
                <w:szCs w:val="17"/>
                <w:color w:val="auto"/>
              </w:rPr>
            </w:pPr>
          </w:p>
        </w:tc>
        <w:tc>
          <w:tcPr>
            <w:tcW w:w="9760" w:type="dxa"/>
            <w:vAlign w:val="bottom"/>
            <w:tcBorders>
              <w:bottom w:val="single" w:sz="8" w:color="auto"/>
            </w:tcBorders>
          </w:tcPr>
          <w:p>
            <w:pPr>
              <w:ind w:left="4500"/>
              <w:spacing w:after="0"/>
              <w:rPr>
                <w:sz w:val="20"/>
                <w:szCs w:val="20"/>
                <w:color w:val="auto"/>
              </w:rPr>
            </w:pPr>
            <w:r>
              <w:rPr>
                <w:rFonts w:ascii="Arial" w:cs="Arial" w:eastAsia="Arial" w:hAnsi="Arial"/>
                <w:sz w:val="15"/>
                <w:szCs w:val="15"/>
                <w:b w:val="1"/>
                <w:bCs w:val="1"/>
                <w:color w:val="auto"/>
              </w:rPr>
              <w:t>Description</w:t>
            </w:r>
          </w:p>
        </w:tc>
      </w:tr>
      <w:tr>
        <w:trPr>
          <w:trHeight w:val="147"/>
        </w:trPr>
        <w:tc>
          <w:tcPr>
            <w:tcW w:w="1320" w:type="dxa"/>
            <w:vAlign w:val="bottom"/>
            <w:gridSpan w:val="6"/>
            <w:shd w:val="clear" w:color="auto" w:fill="CCEEFF"/>
          </w:tcPr>
          <w:p>
            <w:pPr>
              <w:spacing w:after="0" w:line="147" w:lineRule="exact"/>
              <w:rPr>
                <w:rFonts w:ascii="Arial" w:cs="Arial" w:eastAsia="Arial" w:hAnsi="Arial"/>
                <w:sz w:val="15"/>
                <w:szCs w:val="15"/>
                <w:color w:val="0000EE"/>
              </w:rPr>
            </w:pPr>
            <w:hyperlink r:id="rId141">
              <w:r>
                <w:rPr>
                  <w:rFonts w:ascii="Arial" w:cs="Arial" w:eastAsia="Arial" w:hAnsi="Arial"/>
                  <w:sz w:val="15"/>
                  <w:szCs w:val="15"/>
                  <w:color w:val="0000EE"/>
                </w:rPr>
                <w:t>3.</w:t>
              </w:r>
              <w:r>
                <w:rPr>
                  <w:rFonts w:ascii="Arial" w:cs="Arial" w:eastAsia="Arial" w:hAnsi="Arial"/>
                  <w:sz w:val="15"/>
                  <w:szCs w:val="15"/>
                  <w:u w:val="single" w:color="auto"/>
                  <w:color w:val="0000EE"/>
                </w:rPr>
                <w:t>01(a)</w:t>
              </w:r>
            </w:hyperlink>
          </w:p>
        </w:tc>
        <w:tc>
          <w:tcPr>
            <w:tcW w:w="180" w:type="dxa"/>
            <w:vAlign w:val="bottom"/>
            <w:shd w:val="clear" w:color="auto" w:fill="CCEEFF"/>
          </w:tcPr>
          <w:p>
            <w:pPr>
              <w:spacing w:after="0"/>
              <w:rPr>
                <w:sz w:val="12"/>
                <w:szCs w:val="12"/>
                <w:color w:val="auto"/>
              </w:rPr>
            </w:pPr>
          </w:p>
        </w:tc>
        <w:tc>
          <w:tcPr>
            <w:tcW w:w="9760" w:type="dxa"/>
            <w:vAlign w:val="bottom"/>
            <w:shd w:val="clear" w:color="auto" w:fill="CCEEFF"/>
          </w:tcPr>
          <w:p>
            <w:pPr>
              <w:spacing w:after="0" w:line="147" w:lineRule="exact"/>
              <w:rPr>
                <w:sz w:val="20"/>
                <w:szCs w:val="20"/>
                <w:color w:val="auto"/>
              </w:rPr>
            </w:pPr>
            <w:r>
              <w:rPr>
                <w:rFonts w:ascii="Arial" w:cs="Arial" w:eastAsia="Arial" w:hAnsi="Arial"/>
                <w:sz w:val="15"/>
                <w:szCs w:val="15"/>
                <w:color w:val="auto"/>
                <w:w w:val="96"/>
              </w:rPr>
              <w:t>Restated Certificate of Incorporation of ACM Research, Inc. (incorporated herein by reference to Exhibit 3.01 to the Current Report on Form 8-K filed on</w:t>
            </w:r>
          </w:p>
        </w:tc>
      </w:tr>
      <w:tr>
        <w:trPr>
          <w:trHeight w:val="195"/>
        </w:trPr>
        <w:tc>
          <w:tcPr>
            <w:tcW w:w="26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November 14, 2017)</w:t>
            </w:r>
          </w:p>
        </w:tc>
      </w:tr>
      <w:tr>
        <w:trPr>
          <w:trHeight w:val="147"/>
        </w:trPr>
        <w:tc>
          <w:tcPr>
            <w:tcW w:w="1320" w:type="dxa"/>
            <w:vAlign w:val="bottom"/>
            <w:gridSpan w:val="6"/>
          </w:tcPr>
          <w:p>
            <w:pPr>
              <w:spacing w:after="0" w:line="147" w:lineRule="exact"/>
              <w:rPr>
                <w:rFonts w:ascii="Arial" w:cs="Arial" w:eastAsia="Arial" w:hAnsi="Arial"/>
                <w:sz w:val="15"/>
                <w:szCs w:val="15"/>
                <w:color w:val="0000EE"/>
              </w:rPr>
            </w:pPr>
            <w:hyperlink r:id="rId142">
              <w:r>
                <w:rPr>
                  <w:rFonts w:ascii="Arial" w:cs="Arial" w:eastAsia="Arial" w:hAnsi="Arial"/>
                  <w:sz w:val="15"/>
                  <w:szCs w:val="15"/>
                  <w:color w:val="0000EE"/>
                </w:rPr>
                <w:t>3.</w:t>
              </w:r>
              <w:r>
                <w:rPr>
                  <w:rFonts w:ascii="Arial" w:cs="Arial" w:eastAsia="Arial" w:hAnsi="Arial"/>
                  <w:sz w:val="15"/>
                  <w:szCs w:val="15"/>
                  <w:u w:val="single" w:color="auto"/>
                  <w:color w:val="0000EE"/>
                </w:rPr>
                <w:t>01(b)</w:t>
              </w:r>
            </w:hyperlink>
          </w:p>
        </w:tc>
        <w:tc>
          <w:tcPr>
            <w:tcW w:w="9940" w:type="dxa"/>
            <w:vAlign w:val="bottom"/>
            <w:gridSpan w:val="2"/>
          </w:tcPr>
          <w:p>
            <w:pPr>
              <w:ind w:left="180"/>
              <w:spacing w:after="0" w:line="147" w:lineRule="exact"/>
              <w:rPr>
                <w:sz w:val="20"/>
                <w:szCs w:val="20"/>
                <w:color w:val="auto"/>
              </w:rPr>
            </w:pPr>
            <w:r>
              <w:rPr>
                <w:rFonts w:ascii="Arial" w:cs="Arial" w:eastAsia="Arial" w:hAnsi="Arial"/>
                <w:sz w:val="15"/>
                <w:szCs w:val="15"/>
                <w:color w:val="auto"/>
                <w:w w:val="92"/>
              </w:rPr>
              <w:t>Certificate of Amendment to Restated Certificate of Incorporation of ACM Research, Inc., dated July 13, 2021 (incorporated herein by reference to Exhibit 3.01</w:t>
            </w:r>
          </w:p>
        </w:tc>
      </w:tr>
      <w:tr>
        <w:trPr>
          <w:trHeight w:val="194"/>
        </w:trPr>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940" w:type="dxa"/>
            <w:vAlign w:val="bottom"/>
            <w:gridSpan w:val="2"/>
          </w:tcPr>
          <w:p>
            <w:pPr>
              <w:ind w:left="180"/>
              <w:spacing w:after="0"/>
              <w:rPr>
                <w:sz w:val="20"/>
                <w:szCs w:val="20"/>
                <w:color w:val="auto"/>
              </w:rPr>
            </w:pPr>
            <w:r>
              <w:rPr>
                <w:rFonts w:ascii="Arial" w:cs="Arial" w:eastAsia="Arial" w:hAnsi="Arial"/>
                <w:sz w:val="15"/>
                <w:szCs w:val="15"/>
                <w:color w:val="auto"/>
              </w:rPr>
              <w:t>to the Current Report filed on July 13, 2021)</w:t>
            </w:r>
          </w:p>
        </w:tc>
      </w:tr>
      <w:tr>
        <w:trPr>
          <w:trHeight w:val="162"/>
        </w:trPr>
        <w:tc>
          <w:tcPr>
            <w:tcW w:w="260" w:type="dxa"/>
            <w:vAlign w:val="bottom"/>
            <w:tcBorders>
              <w:bottom w:val="single" w:sz="8" w:color="0000EE"/>
            </w:tcBorders>
            <w:shd w:val="clear" w:color="auto" w:fill="CCEEFF"/>
          </w:tcPr>
          <w:p>
            <w:pPr>
              <w:spacing w:after="0" w:line="149" w:lineRule="exact"/>
              <w:rPr>
                <w:rFonts w:ascii="Arial" w:cs="Arial" w:eastAsia="Arial" w:hAnsi="Arial"/>
                <w:sz w:val="15"/>
                <w:szCs w:val="15"/>
                <w:color w:val="0000EE"/>
                <w:w w:val="82"/>
              </w:rPr>
            </w:pPr>
            <w:hyperlink r:id="rId143">
              <w:r>
                <w:rPr>
                  <w:rFonts w:ascii="Arial" w:cs="Arial" w:eastAsia="Arial" w:hAnsi="Arial"/>
                  <w:sz w:val="15"/>
                  <w:szCs w:val="15"/>
                  <w:color w:val="0000EE"/>
                  <w:w w:val="82"/>
                </w:rPr>
                <w:t>3.</w:t>
              </w:r>
              <w:r>
                <w:rPr>
                  <w:rFonts w:ascii="Arial" w:cs="Arial" w:eastAsia="Arial" w:hAnsi="Arial"/>
                  <w:sz w:val="15"/>
                  <w:szCs w:val="15"/>
                  <w:u w:val="single" w:color="auto"/>
                  <w:color w:val="0000EE"/>
                  <w:w w:val="82"/>
                </w:rPr>
                <w:t>02</w:t>
              </w:r>
            </w:hyperlink>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9940" w:type="dxa"/>
            <w:vAlign w:val="bottom"/>
            <w:tcBorders>
              <w:bottom w:val="single" w:sz="8" w:color="CCEEFF"/>
            </w:tcBorders>
            <w:gridSpan w:val="2"/>
            <w:shd w:val="clear" w:color="auto" w:fill="CCEEFF"/>
          </w:tcPr>
          <w:p>
            <w:pPr>
              <w:ind w:left="180"/>
              <w:spacing w:after="0" w:line="149" w:lineRule="exact"/>
              <w:rPr>
                <w:sz w:val="20"/>
                <w:szCs w:val="20"/>
                <w:color w:val="auto"/>
              </w:rPr>
            </w:pPr>
            <w:r>
              <w:rPr>
                <w:rFonts w:ascii="Arial" w:cs="Arial" w:eastAsia="Arial" w:hAnsi="Arial"/>
                <w:sz w:val="15"/>
                <w:szCs w:val="15"/>
                <w:color w:val="auto"/>
                <w:w w:val="95"/>
              </w:rPr>
              <w:t>Restated Bylaws of ACM Research, Inc. (incorporated herein by reference to Exhibit 3.02 to the Current Report on Form 8-K filed on November 14, 2017)</w:t>
            </w:r>
          </w:p>
        </w:tc>
      </w:tr>
      <w:tr>
        <w:trPr>
          <w:trHeight w:val="147"/>
        </w:trPr>
        <w:tc>
          <w:tcPr>
            <w:tcW w:w="320" w:type="dxa"/>
            <w:vAlign w:val="bottom"/>
            <w:gridSpan w:val="2"/>
          </w:tcPr>
          <w:p>
            <w:pPr>
              <w:spacing w:after="0" w:line="147" w:lineRule="exact"/>
              <w:rPr>
                <w:rFonts w:ascii="Arial" w:cs="Arial" w:eastAsia="Arial" w:hAnsi="Arial"/>
                <w:sz w:val="15"/>
                <w:szCs w:val="15"/>
                <w:color w:val="0000EE"/>
              </w:rPr>
            </w:pPr>
            <w:hyperlink r:id="rId144">
              <w:r>
                <w:rPr>
                  <w:rFonts w:ascii="Arial" w:cs="Arial" w:eastAsia="Arial" w:hAnsi="Arial"/>
                  <w:sz w:val="15"/>
                  <w:szCs w:val="15"/>
                  <w:color w:val="0000EE"/>
                </w:rPr>
                <w:t>4.</w:t>
              </w:r>
              <w:r>
                <w:rPr>
                  <w:rFonts w:ascii="Arial" w:cs="Arial" w:eastAsia="Arial" w:hAnsi="Arial"/>
                  <w:sz w:val="15"/>
                  <w:szCs w:val="15"/>
                  <w:u w:val="single" w:color="auto"/>
                  <w:color w:val="0000EE"/>
                </w:rPr>
                <w:t>01</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940" w:type="dxa"/>
            <w:vAlign w:val="bottom"/>
            <w:gridSpan w:val="2"/>
          </w:tcPr>
          <w:p>
            <w:pPr>
              <w:ind w:left="180"/>
              <w:spacing w:after="0" w:line="147" w:lineRule="exact"/>
              <w:rPr>
                <w:sz w:val="20"/>
                <w:szCs w:val="20"/>
                <w:color w:val="auto"/>
              </w:rPr>
            </w:pPr>
            <w:r>
              <w:rPr>
                <w:rFonts w:ascii="Arial" w:cs="Arial" w:eastAsia="Arial" w:hAnsi="Arial"/>
                <w:sz w:val="15"/>
                <w:szCs w:val="15"/>
                <w:color w:val="auto"/>
                <w:w w:val="97"/>
              </w:rPr>
              <w:t>Senior Secured Promissory Note dated March 30, 2018 issued by Shengxin (Shanghai) Management Consulting Limited Partnership to ACM Research</w:t>
            </w:r>
          </w:p>
        </w:tc>
      </w:tr>
      <w:tr>
        <w:trPr>
          <w:trHeight w:val="194"/>
        </w:trPr>
        <w:tc>
          <w:tcPr>
            <w:tcW w:w="2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940" w:type="dxa"/>
            <w:vAlign w:val="bottom"/>
            <w:gridSpan w:val="2"/>
          </w:tcPr>
          <w:p>
            <w:pPr>
              <w:ind w:left="180"/>
              <w:spacing w:after="0"/>
              <w:rPr>
                <w:sz w:val="20"/>
                <w:szCs w:val="20"/>
                <w:color w:val="auto"/>
              </w:rPr>
            </w:pPr>
            <w:r>
              <w:rPr>
                <w:rFonts w:ascii="Arial" w:cs="Arial" w:eastAsia="Arial" w:hAnsi="Arial"/>
                <w:sz w:val="15"/>
                <w:szCs w:val="15"/>
                <w:color w:val="auto"/>
              </w:rPr>
              <w:t>(Shanghai), Inc. (incorporated herein by reference to Exhibit 10.03 to the Quarterly Report on Form 10-Q filed on May 14, 2018)</w:t>
            </w:r>
          </w:p>
        </w:tc>
      </w:tr>
      <w:tr>
        <w:trPr>
          <w:trHeight w:val="148"/>
        </w:trPr>
        <w:tc>
          <w:tcPr>
            <w:tcW w:w="320" w:type="dxa"/>
            <w:vAlign w:val="bottom"/>
            <w:gridSpan w:val="2"/>
            <w:shd w:val="clear" w:color="auto" w:fill="CCEEFF"/>
          </w:tcPr>
          <w:p>
            <w:pPr>
              <w:spacing w:after="0" w:line="149" w:lineRule="exact"/>
              <w:rPr>
                <w:rFonts w:ascii="Arial" w:cs="Arial" w:eastAsia="Arial" w:hAnsi="Arial"/>
                <w:sz w:val="15"/>
                <w:szCs w:val="15"/>
                <w:color w:val="0000EE"/>
              </w:rPr>
            </w:pPr>
            <w:hyperlink r:id="rId145">
              <w:r>
                <w:rPr>
                  <w:rFonts w:ascii="Arial" w:cs="Arial" w:eastAsia="Arial" w:hAnsi="Arial"/>
                  <w:sz w:val="15"/>
                  <w:szCs w:val="15"/>
                  <w:color w:val="0000EE"/>
                </w:rPr>
                <w:t>4.</w:t>
              </w:r>
              <w:r>
                <w:rPr>
                  <w:rFonts w:ascii="Arial" w:cs="Arial" w:eastAsia="Arial" w:hAnsi="Arial"/>
                  <w:sz w:val="15"/>
                  <w:szCs w:val="15"/>
                  <w:u w:val="single" w:color="auto"/>
                  <w:color w:val="0000EE"/>
                </w:rPr>
                <w:t>02</w:t>
              </w:r>
            </w:hyperlink>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9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5"/>
                <w:szCs w:val="15"/>
                <w:color w:val="auto"/>
                <w:w w:val="93"/>
              </w:rPr>
              <w:t>Intercompany Promissory Note dated March 30, 2018 issued by ACM Research (Shanghai), Inc. to ACM Research, Inc. (incorporated herein by reference to</w:t>
            </w:r>
          </w:p>
        </w:tc>
      </w:tr>
      <w:tr>
        <w:trPr>
          <w:trHeight w:val="195"/>
        </w:trPr>
        <w:tc>
          <w:tcPr>
            <w:tcW w:w="26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Exhibit 10.04 to the Quarterly Report on Form 10-Q filed on May 14, 2018)</w:t>
            </w:r>
          </w:p>
        </w:tc>
      </w:tr>
      <w:tr>
        <w:trPr>
          <w:trHeight w:val="147"/>
        </w:trPr>
        <w:tc>
          <w:tcPr>
            <w:tcW w:w="320" w:type="dxa"/>
            <w:vAlign w:val="bottom"/>
            <w:gridSpan w:val="2"/>
          </w:tcPr>
          <w:p>
            <w:pPr>
              <w:spacing w:after="0" w:line="147" w:lineRule="exact"/>
              <w:rPr>
                <w:rFonts w:ascii="Arial" w:cs="Arial" w:eastAsia="Arial" w:hAnsi="Arial"/>
                <w:sz w:val="15"/>
                <w:szCs w:val="15"/>
                <w:color w:val="0000EE"/>
              </w:rPr>
            </w:pPr>
            <w:hyperlink r:id="rId146">
              <w:r>
                <w:rPr>
                  <w:rFonts w:ascii="Arial" w:cs="Arial" w:eastAsia="Arial" w:hAnsi="Arial"/>
                  <w:sz w:val="15"/>
                  <w:szCs w:val="15"/>
                  <w:color w:val="0000EE"/>
                </w:rPr>
                <w:t>4.</w:t>
              </w:r>
              <w:r>
                <w:rPr>
                  <w:rFonts w:ascii="Arial" w:cs="Arial" w:eastAsia="Arial" w:hAnsi="Arial"/>
                  <w:sz w:val="15"/>
                  <w:szCs w:val="15"/>
                  <w:u w:val="single" w:color="auto"/>
                  <w:color w:val="0000EE"/>
                </w:rPr>
                <w:t>03</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940" w:type="dxa"/>
            <w:vAlign w:val="bottom"/>
            <w:gridSpan w:val="2"/>
          </w:tcPr>
          <w:p>
            <w:pPr>
              <w:ind w:left="180"/>
              <w:spacing w:after="0" w:line="147" w:lineRule="exact"/>
              <w:rPr>
                <w:sz w:val="20"/>
                <w:szCs w:val="20"/>
                <w:color w:val="auto"/>
              </w:rPr>
            </w:pPr>
            <w:r>
              <w:rPr>
                <w:rFonts w:ascii="Arial" w:cs="Arial" w:eastAsia="Arial" w:hAnsi="Arial"/>
                <w:sz w:val="15"/>
                <w:szCs w:val="15"/>
                <w:color w:val="auto"/>
                <w:w w:val="91"/>
              </w:rPr>
              <w:t>Warrant Exercise Agreement dated March 30, 2018 by and among ACM Research, Inc., ACM Research (Shanghai), Inc., and Shengxin (Shanghai) Management</w:t>
            </w:r>
          </w:p>
        </w:tc>
      </w:tr>
      <w:tr>
        <w:trPr>
          <w:trHeight w:val="194"/>
        </w:trPr>
        <w:tc>
          <w:tcPr>
            <w:tcW w:w="26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940" w:type="dxa"/>
            <w:vAlign w:val="bottom"/>
            <w:gridSpan w:val="2"/>
          </w:tcPr>
          <w:p>
            <w:pPr>
              <w:ind w:left="180"/>
              <w:spacing w:after="0"/>
              <w:rPr>
                <w:sz w:val="20"/>
                <w:szCs w:val="20"/>
                <w:color w:val="auto"/>
              </w:rPr>
            </w:pPr>
            <w:r>
              <w:rPr>
                <w:rFonts w:ascii="Arial" w:cs="Arial" w:eastAsia="Arial" w:hAnsi="Arial"/>
                <w:sz w:val="15"/>
                <w:szCs w:val="15"/>
                <w:color w:val="auto"/>
              </w:rPr>
              <w:t>Consulting Limited Partnership (incorporated herein by reference to Exhibit 10.02 to the Quarterly Report on Form 10-Q filed on May 14, 2018)</w:t>
            </w:r>
          </w:p>
        </w:tc>
      </w:tr>
      <w:tr>
        <w:trPr>
          <w:trHeight w:val="148"/>
        </w:trPr>
        <w:tc>
          <w:tcPr>
            <w:tcW w:w="1320" w:type="dxa"/>
            <w:vAlign w:val="bottom"/>
            <w:gridSpan w:val="6"/>
            <w:shd w:val="clear" w:color="auto" w:fill="CCEEFF"/>
          </w:tcPr>
          <w:p>
            <w:pPr>
              <w:spacing w:after="0" w:line="149" w:lineRule="exact"/>
              <w:rPr>
                <w:rFonts w:ascii="Arial" w:cs="Arial" w:eastAsia="Arial" w:hAnsi="Arial"/>
                <w:sz w:val="15"/>
                <w:szCs w:val="15"/>
                <w:color w:val="0000EE"/>
              </w:rPr>
            </w:pPr>
            <w:hyperlink r:id="rId147">
              <w:r>
                <w:rPr>
                  <w:rFonts w:ascii="Arial" w:cs="Arial" w:eastAsia="Arial" w:hAnsi="Arial"/>
                  <w:sz w:val="15"/>
                  <w:szCs w:val="15"/>
                  <w:color w:val="0000EE"/>
                </w:rPr>
                <w:t>4.</w:t>
              </w:r>
              <w:r>
                <w:rPr>
                  <w:rFonts w:ascii="Arial" w:cs="Arial" w:eastAsia="Arial" w:hAnsi="Arial"/>
                  <w:sz w:val="15"/>
                  <w:szCs w:val="15"/>
                  <w:u w:val="single" w:color="auto"/>
                  <w:color w:val="0000EE"/>
                </w:rPr>
                <w:t>04‡</w:t>
              </w:r>
            </w:hyperlink>
          </w:p>
        </w:tc>
        <w:tc>
          <w:tcPr>
            <w:tcW w:w="99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5"/>
                <w:szCs w:val="15"/>
                <w:color w:val="auto"/>
                <w:w w:val="93"/>
              </w:rPr>
              <w:t>Warrant to Purchase Class A Common Stock issued to Shengxin (Shanghai) Management Consulting Limited Partnership dated July 29, 2020 (incorporated</w:t>
            </w:r>
          </w:p>
        </w:tc>
      </w:tr>
      <w:tr>
        <w:trPr>
          <w:trHeight w:val="195"/>
        </w:trPr>
        <w:tc>
          <w:tcPr>
            <w:tcW w:w="26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herein by reference to Exhibit 4.01 to the Quarterly Report on Form 10-Q filed on August 10, 2020)</w:t>
            </w:r>
          </w:p>
        </w:tc>
      </w:tr>
      <w:tr>
        <w:trPr>
          <w:trHeight w:val="147"/>
        </w:trPr>
        <w:tc>
          <w:tcPr>
            <w:tcW w:w="260" w:type="dxa"/>
            <w:vAlign w:val="bottom"/>
            <w:tcBorders>
              <w:bottom w:val="single" w:sz="8" w:color="0000EE"/>
            </w:tcBorders>
          </w:tcPr>
          <w:p>
            <w:pPr>
              <w:spacing w:after="0" w:line="147" w:lineRule="exact"/>
              <w:rPr>
                <w:rFonts w:ascii="Arial" w:cs="Arial" w:eastAsia="Arial" w:hAnsi="Arial"/>
                <w:sz w:val="15"/>
                <w:szCs w:val="15"/>
                <w:color w:val="0000EE"/>
                <w:w w:val="82"/>
              </w:rPr>
            </w:pPr>
            <w:hyperlink w:anchor="page135">
              <w:r>
                <w:rPr>
                  <w:rFonts w:ascii="Arial" w:cs="Arial" w:eastAsia="Arial" w:hAnsi="Arial"/>
                  <w:sz w:val="15"/>
                  <w:szCs w:val="15"/>
                  <w:color w:val="0000EE"/>
                  <w:w w:val="82"/>
                </w:rPr>
                <w:t>4.</w:t>
              </w:r>
              <w:r>
                <w:rPr>
                  <w:rFonts w:ascii="Arial" w:cs="Arial" w:eastAsia="Arial" w:hAnsi="Arial"/>
                  <w:sz w:val="15"/>
                  <w:szCs w:val="15"/>
                  <w:u w:val="single" w:color="auto"/>
                  <w:color w:val="0000EE"/>
                  <w:w w:val="82"/>
                </w:rPr>
                <w:t>05</w:t>
              </w:r>
            </w:hyperlink>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940" w:type="dxa"/>
            <w:vAlign w:val="bottom"/>
            <w:gridSpan w:val="2"/>
          </w:tcPr>
          <w:p>
            <w:pPr>
              <w:ind w:left="180"/>
              <w:spacing w:after="0" w:line="147" w:lineRule="exact"/>
              <w:rPr>
                <w:sz w:val="20"/>
                <w:szCs w:val="20"/>
                <w:color w:val="auto"/>
              </w:rPr>
            </w:pPr>
            <w:r>
              <w:rPr>
                <w:rFonts w:ascii="Arial" w:cs="Arial" w:eastAsia="Arial" w:hAnsi="Arial"/>
                <w:sz w:val="15"/>
                <w:szCs w:val="15"/>
                <w:color w:val="auto"/>
              </w:rPr>
              <w:t>Description of ACM Research, Inc.’s Securities</w:t>
            </w:r>
          </w:p>
        </w:tc>
      </w:tr>
      <w:tr>
        <w:trPr>
          <w:trHeight w:val="161"/>
        </w:trPr>
        <w:tc>
          <w:tcPr>
            <w:tcW w:w="1320" w:type="dxa"/>
            <w:vAlign w:val="bottom"/>
            <w:gridSpan w:val="6"/>
            <w:shd w:val="clear" w:color="auto" w:fill="CCEEFF"/>
          </w:tcPr>
          <w:p>
            <w:pPr>
              <w:spacing w:after="0" w:line="161" w:lineRule="exact"/>
              <w:rPr>
                <w:rFonts w:ascii="Arial" w:cs="Arial" w:eastAsia="Arial" w:hAnsi="Arial"/>
                <w:sz w:val="15"/>
                <w:szCs w:val="15"/>
                <w:color w:val="0000EE"/>
              </w:rPr>
            </w:pPr>
            <w:hyperlink r:id="rId148">
              <w:r>
                <w:rPr>
                  <w:rFonts w:ascii="Arial" w:cs="Arial" w:eastAsia="Arial" w:hAnsi="Arial"/>
                  <w:sz w:val="15"/>
                  <w:szCs w:val="15"/>
                  <w:color w:val="0000EE"/>
                </w:rPr>
                <w:t>10.</w:t>
              </w:r>
              <w:r>
                <w:rPr>
                  <w:rFonts w:ascii="Arial" w:cs="Arial" w:eastAsia="Arial" w:hAnsi="Arial"/>
                  <w:sz w:val="15"/>
                  <w:szCs w:val="15"/>
                  <w:u w:val="single" w:color="auto"/>
                  <w:color w:val="0000EE"/>
                </w:rPr>
                <w:t>01(a)</w:t>
              </w:r>
            </w:hyperlink>
          </w:p>
        </w:tc>
        <w:tc>
          <w:tcPr>
            <w:tcW w:w="994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5"/>
                <w:szCs w:val="15"/>
                <w:color w:val="auto"/>
                <w:w w:val="94"/>
              </w:rPr>
              <w:t>Lease dated March 22, 2017 between ACM Research, Inc. and D&amp;J Construction, Inc. (incorporated herein by reference to Exhibit 10.01 to the Registration</w:t>
            </w:r>
          </w:p>
        </w:tc>
      </w:tr>
      <w:tr>
        <w:trPr>
          <w:trHeight w:val="195"/>
        </w:trPr>
        <w:tc>
          <w:tcPr>
            <w:tcW w:w="26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Statement on Form S-1 filed on September 13, 2017)</w:t>
            </w:r>
          </w:p>
        </w:tc>
      </w:tr>
      <w:tr>
        <w:trPr>
          <w:trHeight w:val="147"/>
        </w:trPr>
        <w:tc>
          <w:tcPr>
            <w:tcW w:w="1320" w:type="dxa"/>
            <w:vAlign w:val="bottom"/>
            <w:gridSpan w:val="6"/>
          </w:tcPr>
          <w:p>
            <w:pPr>
              <w:spacing w:after="0" w:line="147" w:lineRule="exact"/>
              <w:rPr>
                <w:rFonts w:ascii="Arial" w:cs="Arial" w:eastAsia="Arial" w:hAnsi="Arial"/>
                <w:sz w:val="15"/>
                <w:szCs w:val="15"/>
                <w:color w:val="0000EE"/>
              </w:rPr>
            </w:pPr>
            <w:hyperlink r:id="rId149">
              <w:r>
                <w:rPr>
                  <w:rFonts w:ascii="Arial" w:cs="Arial" w:eastAsia="Arial" w:hAnsi="Arial"/>
                  <w:sz w:val="15"/>
                  <w:szCs w:val="15"/>
                  <w:color w:val="0000EE"/>
                </w:rPr>
                <w:t>10.</w:t>
              </w:r>
              <w:r>
                <w:rPr>
                  <w:rFonts w:ascii="Arial" w:cs="Arial" w:eastAsia="Arial" w:hAnsi="Arial"/>
                  <w:sz w:val="15"/>
                  <w:szCs w:val="15"/>
                  <w:u w:val="single" w:color="auto"/>
                  <w:color w:val="0000EE"/>
                </w:rPr>
                <w:t>01(b)</w:t>
              </w:r>
            </w:hyperlink>
          </w:p>
        </w:tc>
        <w:tc>
          <w:tcPr>
            <w:tcW w:w="9940" w:type="dxa"/>
            <w:vAlign w:val="bottom"/>
            <w:gridSpan w:val="2"/>
          </w:tcPr>
          <w:p>
            <w:pPr>
              <w:ind w:left="180"/>
              <w:spacing w:after="0" w:line="147" w:lineRule="exact"/>
              <w:rPr>
                <w:sz w:val="20"/>
                <w:szCs w:val="20"/>
                <w:color w:val="auto"/>
              </w:rPr>
            </w:pPr>
            <w:r>
              <w:rPr>
                <w:rFonts w:ascii="Arial" w:cs="Arial" w:eastAsia="Arial" w:hAnsi="Arial"/>
                <w:sz w:val="15"/>
                <w:szCs w:val="15"/>
                <w:color w:val="auto"/>
                <w:w w:val="92"/>
              </w:rPr>
              <w:t>Lease Amendment dated February 28, 2018 between ACM Research, Inc. and D&amp;J Construction, Inc. (incorporated herein by reference to Exhibit 10.06 to the</w:t>
            </w:r>
          </w:p>
        </w:tc>
      </w:tr>
      <w:tr>
        <w:trPr>
          <w:trHeight w:val="194"/>
        </w:trPr>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20" w:type="dxa"/>
            <w:vAlign w:val="bottom"/>
          </w:tcPr>
          <w:p>
            <w:pPr>
              <w:spacing w:after="0"/>
              <w:rPr>
                <w:sz w:val="16"/>
                <w:szCs w:val="16"/>
                <w:color w:val="auto"/>
              </w:rPr>
            </w:pPr>
          </w:p>
        </w:tc>
        <w:tc>
          <w:tcPr>
            <w:tcW w:w="9940" w:type="dxa"/>
            <w:vAlign w:val="bottom"/>
            <w:gridSpan w:val="2"/>
          </w:tcPr>
          <w:p>
            <w:pPr>
              <w:ind w:left="180"/>
              <w:spacing w:after="0"/>
              <w:rPr>
                <w:sz w:val="20"/>
                <w:szCs w:val="20"/>
                <w:color w:val="auto"/>
              </w:rPr>
            </w:pPr>
            <w:r>
              <w:rPr>
                <w:rFonts w:ascii="Arial" w:cs="Arial" w:eastAsia="Arial" w:hAnsi="Arial"/>
                <w:sz w:val="15"/>
                <w:szCs w:val="15"/>
                <w:color w:val="auto"/>
              </w:rPr>
              <w:t>Amended Quarterly Report on Form 10-Q/A filed on October 15, 2018)</w:t>
            </w:r>
          </w:p>
        </w:tc>
      </w:tr>
      <w:tr>
        <w:trPr>
          <w:trHeight w:val="148"/>
        </w:trPr>
        <w:tc>
          <w:tcPr>
            <w:tcW w:w="1320" w:type="dxa"/>
            <w:vAlign w:val="bottom"/>
            <w:gridSpan w:val="6"/>
            <w:shd w:val="clear" w:color="auto" w:fill="CCEEFF"/>
          </w:tcPr>
          <w:p>
            <w:pPr>
              <w:spacing w:after="0" w:line="149" w:lineRule="exact"/>
              <w:rPr>
                <w:rFonts w:ascii="Arial" w:cs="Arial" w:eastAsia="Arial" w:hAnsi="Arial"/>
                <w:sz w:val="15"/>
                <w:szCs w:val="15"/>
                <w:color w:val="0000EE"/>
              </w:rPr>
            </w:pPr>
            <w:hyperlink r:id="rId150">
              <w:r>
                <w:rPr>
                  <w:rFonts w:ascii="Arial" w:cs="Arial" w:eastAsia="Arial" w:hAnsi="Arial"/>
                  <w:sz w:val="15"/>
                  <w:szCs w:val="15"/>
                  <w:color w:val="0000EE"/>
                </w:rPr>
                <w:t>10.</w:t>
              </w:r>
              <w:r>
                <w:rPr>
                  <w:rFonts w:ascii="Arial" w:cs="Arial" w:eastAsia="Arial" w:hAnsi="Arial"/>
                  <w:sz w:val="15"/>
                  <w:szCs w:val="15"/>
                  <w:u w:val="single" w:color="auto"/>
                  <w:color w:val="0000EE"/>
                </w:rPr>
                <w:t>01(c)</w:t>
              </w:r>
            </w:hyperlink>
          </w:p>
        </w:tc>
        <w:tc>
          <w:tcPr>
            <w:tcW w:w="99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5"/>
                <w:szCs w:val="15"/>
                <w:color w:val="auto"/>
                <w:w w:val="94"/>
              </w:rPr>
              <w:t>Lease Amendment dated February 4, 2019 between ACM Research, Inc. and D&amp;J Construction, Inc. (incorporated herein by reference to Exhibit 10.1 to the</w:t>
            </w:r>
          </w:p>
        </w:tc>
      </w:tr>
      <w:tr>
        <w:trPr>
          <w:trHeight w:val="195"/>
        </w:trPr>
        <w:tc>
          <w:tcPr>
            <w:tcW w:w="26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Current Report on Form 8-K filed on February 8, 2019)</w:t>
            </w:r>
          </w:p>
        </w:tc>
      </w:tr>
      <w:tr>
        <w:trPr>
          <w:trHeight w:val="147"/>
        </w:trPr>
        <w:tc>
          <w:tcPr>
            <w:tcW w:w="1320" w:type="dxa"/>
            <w:vAlign w:val="bottom"/>
            <w:gridSpan w:val="6"/>
          </w:tcPr>
          <w:p>
            <w:pPr>
              <w:spacing w:after="0" w:line="147" w:lineRule="exact"/>
              <w:rPr>
                <w:rFonts w:ascii="Arial" w:cs="Arial" w:eastAsia="Arial" w:hAnsi="Arial"/>
                <w:sz w:val="15"/>
                <w:szCs w:val="15"/>
                <w:color w:val="0000EE"/>
              </w:rPr>
            </w:pPr>
            <w:hyperlink w:anchor="page139">
              <w:r>
                <w:rPr>
                  <w:rFonts w:ascii="Arial" w:cs="Arial" w:eastAsia="Arial" w:hAnsi="Arial"/>
                  <w:sz w:val="15"/>
                  <w:szCs w:val="15"/>
                  <w:color w:val="0000EE"/>
                </w:rPr>
                <w:t>10.</w:t>
              </w:r>
              <w:r>
                <w:rPr>
                  <w:rFonts w:ascii="Arial" w:cs="Arial" w:eastAsia="Arial" w:hAnsi="Arial"/>
                  <w:sz w:val="15"/>
                  <w:szCs w:val="15"/>
                  <w:u w:val="single" w:color="auto"/>
                  <w:color w:val="0000EE"/>
                </w:rPr>
                <w:t>01(d)</w:t>
              </w:r>
            </w:hyperlink>
          </w:p>
        </w:tc>
        <w:tc>
          <w:tcPr>
            <w:tcW w:w="9940" w:type="dxa"/>
            <w:vAlign w:val="bottom"/>
            <w:gridSpan w:val="2"/>
          </w:tcPr>
          <w:p>
            <w:pPr>
              <w:ind w:left="180"/>
              <w:spacing w:after="0" w:line="147" w:lineRule="exact"/>
              <w:rPr>
                <w:sz w:val="20"/>
                <w:szCs w:val="20"/>
                <w:color w:val="auto"/>
              </w:rPr>
            </w:pPr>
            <w:r>
              <w:rPr>
                <w:rFonts w:ascii="Arial" w:cs="Arial" w:eastAsia="Arial" w:hAnsi="Arial"/>
                <w:sz w:val="15"/>
                <w:szCs w:val="15"/>
                <w:color w:val="auto"/>
              </w:rPr>
              <w:t>Lease Amendment dated January 4, 2021 between ACM Research, Inc. and D&amp;J Construction, Inc.</w:t>
            </w:r>
          </w:p>
        </w:tc>
      </w:tr>
      <w:tr>
        <w:trPr>
          <w:trHeight w:val="161"/>
        </w:trPr>
        <w:tc>
          <w:tcPr>
            <w:tcW w:w="420" w:type="dxa"/>
            <w:vAlign w:val="bottom"/>
            <w:tcBorders>
              <w:top w:val="single" w:sz="8" w:color="0000EE"/>
            </w:tcBorders>
            <w:gridSpan w:val="3"/>
            <w:shd w:val="clear" w:color="auto" w:fill="CCEEFF"/>
          </w:tcPr>
          <w:p>
            <w:pPr>
              <w:spacing w:after="0" w:line="161" w:lineRule="exact"/>
              <w:rPr>
                <w:rFonts w:ascii="Arial" w:cs="Arial" w:eastAsia="Arial" w:hAnsi="Arial"/>
                <w:sz w:val="15"/>
                <w:szCs w:val="15"/>
                <w:color w:val="0000EE"/>
              </w:rPr>
            </w:pPr>
            <w:hyperlink r:id="rId151">
              <w:r>
                <w:rPr>
                  <w:rFonts w:ascii="Arial" w:cs="Arial" w:eastAsia="Arial" w:hAnsi="Arial"/>
                  <w:sz w:val="15"/>
                  <w:szCs w:val="15"/>
                  <w:color w:val="0000EE"/>
                </w:rPr>
                <w:t>10.</w:t>
              </w:r>
              <w:r>
                <w:rPr>
                  <w:rFonts w:ascii="Arial" w:cs="Arial" w:eastAsia="Arial" w:hAnsi="Arial"/>
                  <w:sz w:val="15"/>
                  <w:szCs w:val="15"/>
                  <w:u w:val="single" w:color="auto"/>
                  <w:color w:val="0000EE"/>
                </w:rPr>
                <w:t>02</w:t>
              </w:r>
            </w:hyperlink>
          </w:p>
        </w:tc>
        <w:tc>
          <w:tcPr>
            <w:tcW w:w="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94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5"/>
                <w:szCs w:val="15"/>
                <w:color w:val="auto"/>
                <w:w w:val="92"/>
              </w:rPr>
              <w:t>Lease Agreement dated April 26, 2018 between ACM Research (Shanghai), Inc. and Shanghai Zhangjiang Group Co., Ltd. (incorporated herein by reference to</w:t>
            </w:r>
          </w:p>
        </w:tc>
      </w:tr>
      <w:tr>
        <w:trPr>
          <w:trHeight w:val="195"/>
        </w:trPr>
        <w:tc>
          <w:tcPr>
            <w:tcW w:w="26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Exhibit 10.01 to the Amended Quarterly Report on Form 10-Q/A filed on October 15, 2018)</w:t>
            </w:r>
          </w:p>
        </w:tc>
      </w:tr>
      <w:tr>
        <w:trPr>
          <w:trHeight w:val="147"/>
        </w:trPr>
        <w:tc>
          <w:tcPr>
            <w:tcW w:w="420" w:type="dxa"/>
            <w:vAlign w:val="bottom"/>
            <w:gridSpan w:val="3"/>
          </w:tcPr>
          <w:p>
            <w:pPr>
              <w:spacing w:after="0" w:line="147" w:lineRule="exact"/>
              <w:rPr>
                <w:rFonts w:ascii="Arial" w:cs="Arial" w:eastAsia="Arial" w:hAnsi="Arial"/>
                <w:sz w:val="15"/>
                <w:szCs w:val="15"/>
                <w:color w:val="0000EE"/>
              </w:rPr>
            </w:pPr>
            <w:hyperlink r:id="rId152">
              <w:r>
                <w:rPr>
                  <w:rFonts w:ascii="Arial" w:cs="Arial" w:eastAsia="Arial" w:hAnsi="Arial"/>
                  <w:sz w:val="15"/>
                  <w:szCs w:val="15"/>
                  <w:color w:val="0000EE"/>
                </w:rPr>
                <w:t>10.</w:t>
              </w:r>
              <w:r>
                <w:rPr>
                  <w:rFonts w:ascii="Arial" w:cs="Arial" w:eastAsia="Arial" w:hAnsi="Arial"/>
                  <w:sz w:val="15"/>
                  <w:szCs w:val="15"/>
                  <w:u w:val="single" w:color="auto"/>
                  <w:color w:val="0000EE"/>
                </w:rPr>
                <w:t>03</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940" w:type="dxa"/>
            <w:vAlign w:val="bottom"/>
            <w:gridSpan w:val="2"/>
          </w:tcPr>
          <w:p>
            <w:pPr>
              <w:ind w:left="180"/>
              <w:spacing w:after="0" w:line="147" w:lineRule="exact"/>
              <w:rPr>
                <w:sz w:val="20"/>
                <w:szCs w:val="20"/>
                <w:color w:val="auto"/>
              </w:rPr>
            </w:pPr>
            <w:r>
              <w:rPr>
                <w:rFonts w:ascii="Arial" w:cs="Arial" w:eastAsia="Arial" w:hAnsi="Arial"/>
                <w:sz w:val="15"/>
                <w:szCs w:val="15"/>
                <w:color w:val="auto"/>
                <w:w w:val="91"/>
              </w:rPr>
              <w:t>Lease Agreement dated January 18, 2018 between ACM Research (Shanghai), Inc. and Shanghai Shengyu Culture Development Co., Ltd. (incorporated herein</w:t>
            </w:r>
          </w:p>
        </w:tc>
      </w:tr>
      <w:tr>
        <w:trPr>
          <w:trHeight w:val="194"/>
        </w:trPr>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940" w:type="dxa"/>
            <w:vAlign w:val="bottom"/>
            <w:gridSpan w:val="2"/>
          </w:tcPr>
          <w:p>
            <w:pPr>
              <w:ind w:left="180"/>
              <w:spacing w:after="0"/>
              <w:rPr>
                <w:sz w:val="20"/>
                <w:szCs w:val="20"/>
                <w:color w:val="auto"/>
              </w:rPr>
            </w:pPr>
            <w:r>
              <w:rPr>
                <w:rFonts w:ascii="Arial" w:cs="Arial" w:eastAsia="Arial" w:hAnsi="Arial"/>
                <w:sz w:val="15"/>
                <w:szCs w:val="15"/>
                <w:color w:val="auto"/>
              </w:rPr>
              <w:t>by reference to Exhibit 10.05 to the Amended Quarterly Report on Form 10-Q/A filed on October 15, 2018)</w:t>
            </w:r>
          </w:p>
        </w:tc>
      </w:tr>
      <w:tr>
        <w:trPr>
          <w:trHeight w:val="148"/>
        </w:trPr>
        <w:tc>
          <w:tcPr>
            <w:tcW w:w="420" w:type="dxa"/>
            <w:vAlign w:val="bottom"/>
            <w:gridSpan w:val="3"/>
            <w:shd w:val="clear" w:color="auto" w:fill="CCEEFF"/>
          </w:tcPr>
          <w:p>
            <w:pPr>
              <w:spacing w:after="0" w:line="149" w:lineRule="exact"/>
              <w:rPr>
                <w:rFonts w:ascii="Arial" w:cs="Arial" w:eastAsia="Arial" w:hAnsi="Arial"/>
                <w:sz w:val="15"/>
                <w:szCs w:val="15"/>
                <w:color w:val="0000EE"/>
              </w:rPr>
            </w:pPr>
            <w:hyperlink r:id="rId153">
              <w:r>
                <w:rPr>
                  <w:rFonts w:ascii="Arial" w:cs="Arial" w:eastAsia="Arial" w:hAnsi="Arial"/>
                  <w:sz w:val="15"/>
                  <w:szCs w:val="15"/>
                  <w:color w:val="0000EE"/>
                </w:rPr>
                <w:t>10.</w:t>
              </w:r>
              <w:r>
                <w:rPr>
                  <w:rFonts w:ascii="Arial" w:cs="Arial" w:eastAsia="Arial" w:hAnsi="Arial"/>
                  <w:sz w:val="15"/>
                  <w:szCs w:val="15"/>
                  <w:u w:val="single" w:color="auto"/>
                  <w:color w:val="0000EE"/>
                </w:rPr>
                <w:t>04</w:t>
              </w:r>
            </w:hyperlink>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9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5"/>
                <w:szCs w:val="15"/>
                <w:color w:val="auto"/>
                <w:w w:val="93"/>
              </w:rPr>
              <w:t>Securities Purchase Agreement dated March 14, 2017 by and among ACM Research, Inc., Shengxin (Shanghai) Management Consulting Limited Partnership</w:t>
            </w:r>
          </w:p>
        </w:tc>
      </w:tr>
      <w:tr>
        <w:trPr>
          <w:trHeight w:val="195"/>
        </w:trPr>
        <w:tc>
          <w:tcPr>
            <w:tcW w:w="26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w w:val="92"/>
              </w:rPr>
              <w:t>and ACM Research (Shanghai), Inc. (incorporated herein by reference to Exhibit 10.03 to the Registration Statement on Form S-1 filed on September 13, 2017)</w:t>
            </w:r>
          </w:p>
        </w:tc>
      </w:tr>
      <w:tr>
        <w:trPr>
          <w:trHeight w:val="147"/>
        </w:trPr>
        <w:tc>
          <w:tcPr>
            <w:tcW w:w="420" w:type="dxa"/>
            <w:vAlign w:val="bottom"/>
            <w:gridSpan w:val="3"/>
          </w:tcPr>
          <w:p>
            <w:pPr>
              <w:spacing w:after="0" w:line="147" w:lineRule="exact"/>
              <w:rPr>
                <w:rFonts w:ascii="Arial" w:cs="Arial" w:eastAsia="Arial" w:hAnsi="Arial"/>
                <w:sz w:val="15"/>
                <w:szCs w:val="15"/>
                <w:color w:val="0000EE"/>
              </w:rPr>
            </w:pPr>
            <w:hyperlink r:id="rId154">
              <w:r>
                <w:rPr>
                  <w:rFonts w:ascii="Arial" w:cs="Arial" w:eastAsia="Arial" w:hAnsi="Arial"/>
                  <w:sz w:val="15"/>
                  <w:szCs w:val="15"/>
                  <w:color w:val="0000EE"/>
                </w:rPr>
                <w:t>10.</w:t>
              </w:r>
              <w:r>
                <w:rPr>
                  <w:rFonts w:ascii="Arial" w:cs="Arial" w:eastAsia="Arial" w:hAnsi="Arial"/>
                  <w:sz w:val="15"/>
                  <w:szCs w:val="15"/>
                  <w:u w:val="single" w:color="auto"/>
                  <w:color w:val="0000EE"/>
                </w:rPr>
                <w:t>05</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940" w:type="dxa"/>
            <w:vAlign w:val="bottom"/>
            <w:gridSpan w:val="2"/>
          </w:tcPr>
          <w:p>
            <w:pPr>
              <w:ind w:left="180"/>
              <w:spacing w:after="0" w:line="147" w:lineRule="exact"/>
              <w:rPr>
                <w:sz w:val="20"/>
                <w:szCs w:val="20"/>
                <w:color w:val="auto"/>
              </w:rPr>
            </w:pPr>
            <w:r>
              <w:rPr>
                <w:rFonts w:ascii="Arial" w:cs="Arial" w:eastAsia="Arial" w:hAnsi="Arial"/>
                <w:sz w:val="15"/>
                <w:szCs w:val="15"/>
                <w:color w:val="auto"/>
                <w:w w:val="89"/>
              </w:rPr>
              <w:t>Securities Purchase Agreement dated March 23, 2017 between ACM Research, Inc. and Shanghai Science and Technology Venture Capital Co., Ltd., as amended</w:t>
            </w:r>
          </w:p>
        </w:tc>
      </w:tr>
      <w:tr>
        <w:trPr>
          <w:trHeight w:val="194"/>
        </w:trPr>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940" w:type="dxa"/>
            <w:vAlign w:val="bottom"/>
            <w:gridSpan w:val="2"/>
          </w:tcPr>
          <w:p>
            <w:pPr>
              <w:ind w:left="180"/>
              <w:spacing w:after="0"/>
              <w:rPr>
                <w:sz w:val="20"/>
                <w:szCs w:val="20"/>
                <w:color w:val="auto"/>
              </w:rPr>
            </w:pPr>
            <w:r>
              <w:rPr>
                <w:rFonts w:ascii="Arial" w:cs="Arial" w:eastAsia="Arial" w:hAnsi="Arial"/>
                <w:sz w:val="15"/>
                <w:szCs w:val="15"/>
                <w:color w:val="auto"/>
              </w:rPr>
              <w:t>(incorporated herein by reference to Exhibit 10.04 to the Amended Registration Statement on Form S-1/A filed on October 18, 2017)</w:t>
            </w:r>
          </w:p>
        </w:tc>
      </w:tr>
      <w:tr>
        <w:trPr>
          <w:trHeight w:val="148"/>
        </w:trPr>
        <w:tc>
          <w:tcPr>
            <w:tcW w:w="420" w:type="dxa"/>
            <w:vAlign w:val="bottom"/>
            <w:gridSpan w:val="3"/>
            <w:shd w:val="clear" w:color="auto" w:fill="CCEEFF"/>
          </w:tcPr>
          <w:p>
            <w:pPr>
              <w:spacing w:after="0" w:line="149" w:lineRule="exact"/>
              <w:rPr>
                <w:rFonts w:ascii="Arial" w:cs="Arial" w:eastAsia="Arial" w:hAnsi="Arial"/>
                <w:sz w:val="15"/>
                <w:szCs w:val="15"/>
                <w:color w:val="0000EE"/>
              </w:rPr>
            </w:pPr>
            <w:hyperlink r:id="rId155">
              <w:r>
                <w:rPr>
                  <w:rFonts w:ascii="Arial" w:cs="Arial" w:eastAsia="Arial" w:hAnsi="Arial"/>
                  <w:sz w:val="15"/>
                  <w:szCs w:val="15"/>
                  <w:color w:val="0000EE"/>
                </w:rPr>
                <w:t>10.</w:t>
              </w:r>
              <w:r>
                <w:rPr>
                  <w:rFonts w:ascii="Arial" w:cs="Arial" w:eastAsia="Arial" w:hAnsi="Arial"/>
                  <w:sz w:val="15"/>
                  <w:szCs w:val="15"/>
                  <w:u w:val="single" w:color="auto"/>
                  <w:color w:val="0000EE"/>
                </w:rPr>
                <w:t>06</w:t>
              </w:r>
            </w:hyperlink>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9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5"/>
                <w:szCs w:val="15"/>
                <w:color w:val="auto"/>
                <w:w w:val="92"/>
              </w:rPr>
              <w:t>Ordinary Share Purchase Agreement dated September 6, 2017 by and among ACM Research, Inc., Ninebell Co., Ltd. and Moon-Soo Choi (incorporated herein</w:t>
            </w:r>
          </w:p>
        </w:tc>
      </w:tr>
      <w:tr>
        <w:trPr>
          <w:trHeight w:val="195"/>
        </w:trPr>
        <w:tc>
          <w:tcPr>
            <w:tcW w:w="26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by reference to Exhibit 10.07 to the Amended Registration Statement on Form S-1/A filed on October 18, 2017)</w:t>
            </w:r>
          </w:p>
        </w:tc>
      </w:tr>
      <w:tr>
        <w:trPr>
          <w:trHeight w:val="477"/>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40" w:type="dxa"/>
            <w:vAlign w:val="bottom"/>
            <w:gridSpan w:val="2"/>
          </w:tcPr>
          <w:p>
            <w:pPr>
              <w:ind w:left="4220"/>
              <w:spacing w:after="0"/>
              <w:rPr>
                <w:sz w:val="20"/>
                <w:szCs w:val="20"/>
                <w:color w:val="auto"/>
              </w:rPr>
            </w:pPr>
            <w:r>
              <w:rPr>
                <w:rFonts w:ascii="Arial" w:cs="Arial" w:eastAsia="Arial" w:hAnsi="Arial"/>
                <w:sz w:val="12"/>
                <w:szCs w:val="12"/>
                <w:color w:val="auto"/>
              </w:rPr>
              <w:t>129</w:t>
            </w:r>
          </w:p>
        </w:tc>
      </w:tr>
      <w:tr>
        <w:trPr>
          <w:trHeight w:val="34"/>
        </w:trPr>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760" w:type="dxa"/>
            <w:vAlign w:val="bottom"/>
            <w:tcBorders>
              <w:bottom w:val="single" w:sz="8" w:color="auto"/>
            </w:tcBorders>
          </w:tcPr>
          <w:p>
            <w:pPr>
              <w:spacing w:after="0"/>
              <w:rPr>
                <w:sz w:val="3"/>
                <w:szCs w:val="3"/>
                <w:color w:val="auto"/>
              </w:rPr>
            </w:pPr>
          </w:p>
        </w:tc>
      </w:tr>
    </w:tbl>
    <w:p>
      <w:pPr>
        <w:sectPr>
          <w:pgSz w:w="11900" w:h="16838" w:orient="portrait"/>
          <w:cols w:equalWidth="0" w:num="1">
            <w:col w:w="11270"/>
          </w:cols>
          <w:pgMar w:left="310" w:top="124" w:right="319" w:bottom="1440" w:gutter="0" w:footer="0" w:header="0"/>
        </w:sectPr>
      </w:pPr>
    </w:p>
    <w:bookmarkStart w:id="129" w:name="page130"/>
    <w:bookmarkEnd w:id="12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 w:type="dxa"/>
            <w:vAlign w:val="bottom"/>
            <w:gridSpan w:val="2"/>
            <w:shd w:val="clear" w:color="auto" w:fill="CCEEFF"/>
          </w:tcPr>
          <w:p>
            <w:pPr>
              <w:spacing w:after="0"/>
              <w:rPr>
                <w:rFonts w:ascii="Arial" w:cs="Arial" w:eastAsia="Arial" w:hAnsi="Arial"/>
                <w:sz w:val="15"/>
                <w:szCs w:val="15"/>
                <w:color w:val="0000EE"/>
              </w:rPr>
            </w:pPr>
            <w:hyperlink r:id="rId156">
              <w:r>
                <w:rPr>
                  <w:rFonts w:ascii="Arial" w:cs="Arial" w:eastAsia="Arial" w:hAnsi="Arial"/>
                  <w:sz w:val="15"/>
                  <w:szCs w:val="15"/>
                  <w:color w:val="0000EE"/>
                </w:rPr>
                <w:t>10.</w:t>
              </w:r>
              <w:r>
                <w:rPr>
                  <w:rFonts w:ascii="Arial" w:cs="Arial" w:eastAsia="Arial" w:hAnsi="Arial"/>
                  <w:sz w:val="15"/>
                  <w:szCs w:val="15"/>
                  <w:u w:val="single" w:color="auto"/>
                  <w:color w:val="0000EE"/>
                </w:rPr>
                <w:t>07</w:t>
              </w:r>
            </w:hyperlink>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20" w:type="dxa"/>
            <w:vAlign w:val="bottom"/>
            <w:shd w:val="clear" w:color="auto" w:fill="CCEEFF"/>
          </w:tcPr>
          <w:p>
            <w:pPr>
              <w:ind w:left="460"/>
              <w:spacing w:after="0"/>
              <w:rPr>
                <w:sz w:val="20"/>
                <w:szCs w:val="20"/>
                <w:color w:val="auto"/>
              </w:rPr>
            </w:pPr>
            <w:r>
              <w:rPr>
                <w:rFonts w:ascii="Arial" w:cs="Arial" w:eastAsia="Arial" w:hAnsi="Arial"/>
                <w:sz w:val="15"/>
                <w:szCs w:val="15"/>
                <w:color w:val="auto"/>
                <w:w w:val="97"/>
              </w:rPr>
              <w:t>Form of Second Amended and Restated Registration Rights Agreement to be entered into between ACM Research, Inc. and certain of its stockholders</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(incorporated herein by reference to Exhibit 10.09 to the Amended Registration Statement on Form S-1/A filed on October 18, 2017)</w:t>
            </w:r>
          </w:p>
        </w:tc>
      </w:tr>
      <w:tr>
        <w:trPr>
          <w:trHeight w:val="147"/>
        </w:trPr>
        <w:tc>
          <w:tcPr>
            <w:tcW w:w="420" w:type="dxa"/>
            <w:vAlign w:val="bottom"/>
            <w:gridSpan w:val="2"/>
          </w:tcPr>
          <w:p>
            <w:pPr>
              <w:spacing w:after="0" w:line="147" w:lineRule="exact"/>
              <w:rPr>
                <w:rFonts w:ascii="Arial" w:cs="Arial" w:eastAsia="Arial" w:hAnsi="Arial"/>
                <w:sz w:val="15"/>
                <w:szCs w:val="15"/>
                <w:color w:val="0000EE"/>
              </w:rPr>
            </w:pPr>
            <w:hyperlink r:id="rId157">
              <w:r>
                <w:rPr>
                  <w:rFonts w:ascii="Arial" w:cs="Arial" w:eastAsia="Arial" w:hAnsi="Arial"/>
                  <w:sz w:val="15"/>
                  <w:szCs w:val="15"/>
                  <w:color w:val="0000EE"/>
                </w:rPr>
                <w:t>10.</w:t>
              </w:r>
              <w:r>
                <w:rPr>
                  <w:rFonts w:ascii="Arial" w:cs="Arial" w:eastAsia="Arial" w:hAnsi="Arial"/>
                  <w:sz w:val="15"/>
                  <w:szCs w:val="15"/>
                  <w:u w:val="single" w:color="auto"/>
                  <w:color w:val="0000EE"/>
                </w:rPr>
                <w:t>08</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20" w:type="dxa"/>
            <w:vAlign w:val="bottom"/>
          </w:tcPr>
          <w:p>
            <w:pPr>
              <w:ind w:left="460"/>
              <w:spacing w:after="0" w:line="147" w:lineRule="exact"/>
              <w:rPr>
                <w:sz w:val="20"/>
                <w:szCs w:val="20"/>
                <w:color w:val="auto"/>
              </w:rPr>
            </w:pPr>
            <w:r>
              <w:rPr>
                <w:rFonts w:ascii="Arial" w:cs="Arial" w:eastAsia="Arial" w:hAnsi="Arial"/>
                <w:sz w:val="15"/>
                <w:szCs w:val="15"/>
                <w:color w:val="auto"/>
                <w:w w:val="93"/>
              </w:rPr>
              <w:t>Stock Purchase Agreement, dated October 11, 2017, by and among ACM Research, Inc., Xunxin (Shanghai) Capital Co., Limited, Xinxin (Hongkong) Capital</w:t>
            </w:r>
          </w:p>
        </w:tc>
      </w:tr>
      <w:tr>
        <w:trPr>
          <w:trHeight w:val="184"/>
        </w:trPr>
        <w:tc>
          <w:tcPr>
            <w:tcW w:w="3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w w:val="92"/>
              </w:rPr>
              <w:t>Co., Limited and David H. Wang (incorporated herein by reference to Exhibit 10.10 to the Amended Registration Statement on Form S-1/A filed on October 18,</w:t>
            </w:r>
          </w:p>
        </w:tc>
      </w:tr>
      <w:tr>
        <w:trPr>
          <w:trHeight w:val="190"/>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rPr>
              <w:t>2017)</w:t>
            </w:r>
          </w:p>
        </w:tc>
      </w:tr>
      <w:tr>
        <w:trPr>
          <w:trHeight w:val="148"/>
        </w:trPr>
        <w:tc>
          <w:tcPr>
            <w:tcW w:w="420" w:type="dxa"/>
            <w:vAlign w:val="bottom"/>
            <w:gridSpan w:val="2"/>
            <w:shd w:val="clear" w:color="auto" w:fill="CCEEFF"/>
          </w:tcPr>
          <w:p>
            <w:pPr>
              <w:spacing w:after="0" w:line="149" w:lineRule="exact"/>
              <w:rPr>
                <w:rFonts w:ascii="Arial" w:cs="Arial" w:eastAsia="Arial" w:hAnsi="Arial"/>
                <w:sz w:val="15"/>
                <w:szCs w:val="15"/>
                <w:color w:val="0000EE"/>
              </w:rPr>
            </w:pPr>
            <w:hyperlink r:id="rId158">
              <w:r>
                <w:rPr>
                  <w:rFonts w:ascii="Arial" w:cs="Arial" w:eastAsia="Arial" w:hAnsi="Arial"/>
                  <w:sz w:val="15"/>
                  <w:szCs w:val="15"/>
                  <w:color w:val="0000EE"/>
                </w:rPr>
                <w:t>10.</w:t>
              </w:r>
              <w:r>
                <w:rPr>
                  <w:rFonts w:ascii="Arial" w:cs="Arial" w:eastAsia="Arial" w:hAnsi="Arial"/>
                  <w:sz w:val="15"/>
                  <w:szCs w:val="15"/>
                  <w:u w:val="single" w:color="auto"/>
                  <w:color w:val="0000EE"/>
                </w:rPr>
                <w:t>09</w:t>
              </w:r>
            </w:hyperlink>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220" w:type="dxa"/>
            <w:vAlign w:val="bottom"/>
            <w:shd w:val="clear" w:color="auto" w:fill="CCEEFF"/>
          </w:tcPr>
          <w:p>
            <w:pPr>
              <w:ind w:left="460"/>
              <w:spacing w:after="0" w:line="149" w:lineRule="exact"/>
              <w:rPr>
                <w:sz w:val="20"/>
                <w:szCs w:val="20"/>
                <w:color w:val="auto"/>
              </w:rPr>
            </w:pPr>
            <w:r>
              <w:rPr>
                <w:rFonts w:ascii="Arial" w:cs="Arial" w:eastAsia="Arial" w:hAnsi="Arial"/>
                <w:sz w:val="15"/>
                <w:szCs w:val="15"/>
                <w:color w:val="auto"/>
                <w:w w:val="93"/>
              </w:rPr>
              <w:t>Nomination and Voting Agreement, dated October 11, 2017, by and among Xinxin (Hongkong) Capital Co., Limited, ACM Research, Inc., David H. Wang, and</w:t>
            </w:r>
          </w:p>
        </w:tc>
      </w:tr>
      <w:tr>
        <w:trPr>
          <w:trHeight w:val="184"/>
        </w:trPr>
        <w:tc>
          <w:tcPr>
            <w:tcW w:w="32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w w:val="94"/>
              </w:rPr>
              <w:t>the individuals named therein (incorporated herein by reference to Exhibit 10.12 to the Amended Registration Statement on Form S-1/A filed on October 18,</w:t>
            </w:r>
          </w:p>
        </w:tc>
      </w:tr>
      <w:tr>
        <w:trPr>
          <w:trHeight w:val="192"/>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2017)</w:t>
            </w:r>
          </w:p>
        </w:tc>
      </w:tr>
      <w:tr>
        <w:trPr>
          <w:trHeight w:val="147"/>
        </w:trPr>
        <w:tc>
          <w:tcPr>
            <w:tcW w:w="420" w:type="dxa"/>
            <w:vAlign w:val="bottom"/>
            <w:gridSpan w:val="2"/>
          </w:tcPr>
          <w:p>
            <w:pPr>
              <w:spacing w:after="0" w:line="147" w:lineRule="exact"/>
              <w:rPr>
                <w:rFonts w:ascii="Arial" w:cs="Arial" w:eastAsia="Arial" w:hAnsi="Arial"/>
                <w:sz w:val="15"/>
                <w:szCs w:val="15"/>
                <w:color w:val="0000EE"/>
              </w:rPr>
            </w:pPr>
            <w:hyperlink r:id="rId159">
              <w:r>
                <w:rPr>
                  <w:rFonts w:ascii="Arial" w:cs="Arial" w:eastAsia="Arial" w:hAnsi="Arial"/>
                  <w:sz w:val="15"/>
                  <w:szCs w:val="15"/>
                  <w:color w:val="0000EE"/>
                </w:rPr>
                <w:t>10.</w:t>
              </w:r>
              <w:r>
                <w:rPr>
                  <w:rFonts w:ascii="Arial" w:cs="Arial" w:eastAsia="Arial" w:hAnsi="Arial"/>
                  <w:sz w:val="15"/>
                  <w:szCs w:val="15"/>
                  <w:u w:val="single" w:color="auto"/>
                  <w:color w:val="0000EE"/>
                </w:rPr>
                <w:t>10</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20" w:type="dxa"/>
            <w:vAlign w:val="bottom"/>
          </w:tcPr>
          <w:p>
            <w:pPr>
              <w:ind w:left="460"/>
              <w:spacing w:after="0" w:line="147" w:lineRule="exact"/>
              <w:rPr>
                <w:sz w:val="20"/>
                <w:szCs w:val="20"/>
                <w:color w:val="auto"/>
              </w:rPr>
            </w:pPr>
            <w:r>
              <w:rPr>
                <w:rFonts w:ascii="Arial" w:cs="Arial" w:eastAsia="Arial" w:hAnsi="Arial"/>
                <w:sz w:val="15"/>
                <w:szCs w:val="15"/>
                <w:color w:val="auto"/>
                <w:w w:val="92"/>
              </w:rPr>
              <w:t>Termination Agreement between ACM Research, Inc. and Xinxin (Hongkong) Capital Co., Limited, dated as of May 18, 2021 (incorporated herein by reference</w:t>
            </w:r>
          </w:p>
        </w:tc>
      </w:tr>
      <w:tr>
        <w:trPr>
          <w:trHeight w:val="194"/>
        </w:trPr>
        <w:tc>
          <w:tcPr>
            <w:tcW w:w="3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rPr>
              <w:t>to Exhibit 10.01 to the Current Report on Form 8-K filed on May 21, 2021)</w:t>
            </w:r>
          </w:p>
        </w:tc>
      </w:tr>
      <w:tr>
        <w:trPr>
          <w:trHeight w:val="148"/>
        </w:trPr>
        <w:tc>
          <w:tcPr>
            <w:tcW w:w="320" w:type="dxa"/>
            <w:vAlign w:val="bottom"/>
            <w:tcBorders>
              <w:bottom w:val="single" w:sz="8" w:color="0000EE"/>
            </w:tcBorders>
            <w:shd w:val="clear" w:color="auto" w:fill="CCEEFF"/>
          </w:tcPr>
          <w:p>
            <w:pPr>
              <w:spacing w:after="0" w:line="149" w:lineRule="exact"/>
              <w:rPr>
                <w:rFonts w:ascii="Arial" w:cs="Arial" w:eastAsia="Arial" w:hAnsi="Arial"/>
                <w:sz w:val="15"/>
                <w:szCs w:val="15"/>
                <w:color w:val="0000EE"/>
                <w:w w:val="79"/>
              </w:rPr>
            </w:pPr>
            <w:hyperlink r:id="rId160">
              <w:r>
                <w:rPr>
                  <w:rFonts w:ascii="Arial" w:cs="Arial" w:eastAsia="Arial" w:hAnsi="Arial"/>
                  <w:sz w:val="15"/>
                  <w:szCs w:val="15"/>
                  <w:color w:val="0000EE"/>
                  <w:w w:val="79"/>
                </w:rPr>
                <w:t>10.</w:t>
              </w:r>
              <w:r>
                <w:rPr>
                  <w:rFonts w:ascii="Arial" w:cs="Arial" w:eastAsia="Arial" w:hAnsi="Arial"/>
                  <w:sz w:val="15"/>
                  <w:szCs w:val="15"/>
                  <w:u w:val="single" w:color="auto"/>
                  <w:color w:val="0000EE"/>
                  <w:w w:val="79"/>
                </w:rPr>
                <w:t>11</w:t>
              </w:r>
            </w:hyperlink>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220" w:type="dxa"/>
            <w:vAlign w:val="bottom"/>
            <w:tcBorders>
              <w:bottom w:val="single" w:sz="8" w:color="CCEEFF"/>
            </w:tcBorders>
            <w:shd w:val="clear" w:color="auto" w:fill="CCEEFF"/>
          </w:tcPr>
          <w:p>
            <w:pPr>
              <w:ind w:left="460"/>
              <w:spacing w:after="0" w:line="149" w:lineRule="exact"/>
              <w:rPr>
                <w:sz w:val="20"/>
                <w:szCs w:val="20"/>
                <w:color w:val="auto"/>
              </w:rPr>
            </w:pPr>
            <w:r>
              <w:rPr>
                <w:rFonts w:ascii="Arial" w:cs="Arial" w:eastAsia="Arial" w:hAnsi="Arial"/>
                <w:sz w:val="15"/>
                <w:szCs w:val="15"/>
                <w:color w:val="auto"/>
                <w:w w:val="94"/>
              </w:rPr>
              <w:t>Voting Agreement, dated March 23, 2017, by and among Shanghai Technology Venture Capital Co., Ltd. (also known as Shanghai Science and Technology</w:t>
            </w:r>
          </w:p>
        </w:tc>
      </w:tr>
      <w:tr>
        <w:trPr>
          <w:trHeight w:val="184"/>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20" w:type="dxa"/>
            <w:vAlign w:val="bottom"/>
            <w:shd w:val="clear" w:color="auto" w:fill="CCEEFF"/>
          </w:tcPr>
          <w:p>
            <w:pPr>
              <w:ind w:left="460"/>
              <w:spacing w:after="0"/>
              <w:rPr>
                <w:sz w:val="20"/>
                <w:szCs w:val="20"/>
                <w:color w:val="auto"/>
              </w:rPr>
            </w:pPr>
            <w:r>
              <w:rPr>
                <w:rFonts w:ascii="Arial" w:cs="Arial" w:eastAsia="Arial" w:hAnsi="Arial"/>
                <w:sz w:val="15"/>
                <w:szCs w:val="15"/>
                <w:color w:val="auto"/>
                <w:w w:val="93"/>
              </w:rPr>
              <w:t>Venture Capital Co., Ltd.) and ACM Research, Inc. (incorporated herein by reference to Exhibit 10.13 to the Amended Registration Statement on Form S-1/A</w:t>
            </w:r>
          </w:p>
        </w:tc>
      </w:tr>
      <w:tr>
        <w:trPr>
          <w:trHeight w:val="192"/>
        </w:trPr>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filed on October 18, 2017)</w:t>
            </w:r>
          </w:p>
        </w:tc>
      </w:tr>
      <w:tr>
        <w:trPr>
          <w:trHeight w:val="147"/>
        </w:trPr>
        <w:tc>
          <w:tcPr>
            <w:tcW w:w="420" w:type="dxa"/>
            <w:vAlign w:val="bottom"/>
            <w:gridSpan w:val="2"/>
          </w:tcPr>
          <w:p>
            <w:pPr>
              <w:spacing w:after="0" w:line="147" w:lineRule="exact"/>
              <w:rPr>
                <w:rFonts w:ascii="Arial" w:cs="Arial" w:eastAsia="Arial" w:hAnsi="Arial"/>
                <w:sz w:val="15"/>
                <w:szCs w:val="15"/>
                <w:color w:val="0000EE"/>
              </w:rPr>
            </w:pPr>
            <w:hyperlink r:id="rId161">
              <w:r>
                <w:rPr>
                  <w:rFonts w:ascii="Arial" w:cs="Arial" w:eastAsia="Arial" w:hAnsi="Arial"/>
                  <w:sz w:val="15"/>
                  <w:szCs w:val="15"/>
                  <w:color w:val="0000EE"/>
                </w:rPr>
                <w:t>10.</w:t>
              </w:r>
              <w:r>
                <w:rPr>
                  <w:rFonts w:ascii="Arial" w:cs="Arial" w:eastAsia="Arial" w:hAnsi="Arial"/>
                  <w:sz w:val="15"/>
                  <w:szCs w:val="15"/>
                  <w:u w:val="single" w:color="auto"/>
                  <w:color w:val="0000EE"/>
                </w:rPr>
                <w:t>12</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20" w:type="dxa"/>
            <w:vAlign w:val="bottom"/>
          </w:tcPr>
          <w:p>
            <w:pPr>
              <w:ind w:left="460"/>
              <w:spacing w:after="0" w:line="147" w:lineRule="exact"/>
              <w:rPr>
                <w:sz w:val="20"/>
                <w:szCs w:val="20"/>
                <w:color w:val="auto"/>
              </w:rPr>
            </w:pPr>
            <w:r>
              <w:rPr>
                <w:rFonts w:ascii="Arial" w:cs="Arial" w:eastAsia="Arial" w:hAnsi="Arial"/>
                <w:sz w:val="15"/>
                <w:szCs w:val="15"/>
                <w:color w:val="auto"/>
                <w:w w:val="95"/>
              </w:rPr>
              <w:t>Form of Capital Increase Agreement between ACM Research, Inc. and certain investors (incorporated herein by reference to Exhibit 10.01 to the Quarterly</w:t>
            </w:r>
          </w:p>
        </w:tc>
      </w:tr>
      <w:tr>
        <w:trPr>
          <w:trHeight w:val="194"/>
        </w:trPr>
        <w:tc>
          <w:tcPr>
            <w:tcW w:w="3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rPr>
              <w:t>Report on Form 10-Q filed on August 12, 2019)</w:t>
            </w:r>
          </w:p>
        </w:tc>
      </w:tr>
      <w:tr>
        <w:trPr>
          <w:trHeight w:val="148"/>
        </w:trPr>
        <w:tc>
          <w:tcPr>
            <w:tcW w:w="1040" w:type="dxa"/>
            <w:vAlign w:val="bottom"/>
            <w:gridSpan w:val="7"/>
            <w:shd w:val="clear" w:color="auto" w:fill="CCEEFF"/>
          </w:tcPr>
          <w:p>
            <w:pPr>
              <w:spacing w:after="0" w:line="149" w:lineRule="exact"/>
              <w:rPr>
                <w:rFonts w:ascii="Arial" w:cs="Arial" w:eastAsia="Arial" w:hAnsi="Arial"/>
                <w:sz w:val="15"/>
                <w:szCs w:val="15"/>
                <w:color w:val="0000EE"/>
              </w:rPr>
            </w:pPr>
            <w:hyperlink r:id="rId162">
              <w:r>
                <w:rPr>
                  <w:rFonts w:ascii="Arial" w:cs="Arial" w:eastAsia="Arial" w:hAnsi="Arial"/>
                  <w:sz w:val="15"/>
                  <w:szCs w:val="15"/>
                  <w:color w:val="0000EE"/>
                </w:rPr>
                <w:t>10.</w:t>
              </w:r>
              <w:r>
                <w:rPr>
                  <w:rFonts w:ascii="Arial" w:cs="Arial" w:eastAsia="Arial" w:hAnsi="Arial"/>
                  <w:sz w:val="15"/>
                  <w:szCs w:val="15"/>
                  <w:u w:val="single" w:color="auto"/>
                  <w:color w:val="0000EE"/>
                </w:rPr>
                <w:t>12</w:t>
              </w:r>
              <w:r>
                <w:rPr>
                  <w:rFonts w:ascii="Arial" w:cs="Arial" w:eastAsia="Arial" w:hAnsi="Arial"/>
                  <w:sz w:val="15"/>
                  <w:szCs w:val="15"/>
                  <w:color w:val="0000EE"/>
                </w:rPr>
                <w:t xml:space="preserve"> (a)</w:t>
              </w:r>
            </w:hyperlink>
          </w:p>
        </w:tc>
        <w:tc>
          <w:tcPr>
            <w:tcW w:w="10220" w:type="dxa"/>
            <w:vAlign w:val="bottom"/>
            <w:shd w:val="clear" w:color="auto" w:fill="CCEEFF"/>
          </w:tcPr>
          <w:p>
            <w:pPr>
              <w:ind w:left="460"/>
              <w:spacing w:after="0" w:line="149" w:lineRule="exact"/>
              <w:rPr>
                <w:sz w:val="20"/>
                <w:szCs w:val="20"/>
                <w:color w:val="auto"/>
              </w:rPr>
            </w:pPr>
            <w:r>
              <w:rPr>
                <w:rFonts w:ascii="Arial" w:cs="Arial" w:eastAsia="Arial" w:hAnsi="Arial"/>
                <w:sz w:val="15"/>
                <w:szCs w:val="15"/>
                <w:color w:val="auto"/>
                <w:w w:val="91"/>
              </w:rPr>
              <w:t>Schedule identifying agreements substantially identical to the form of Capital Increase Agreement filed as Exhibit 10.12 hereto (incorporated herein by reference</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 Exhibit 10.01(a) to the Quarterly Report on Form 10-Q filed on August 12, 2019)</w:t>
            </w:r>
          </w:p>
        </w:tc>
      </w:tr>
      <w:tr>
        <w:trPr>
          <w:trHeight w:val="147"/>
        </w:trPr>
        <w:tc>
          <w:tcPr>
            <w:tcW w:w="420" w:type="dxa"/>
            <w:vAlign w:val="bottom"/>
            <w:gridSpan w:val="2"/>
          </w:tcPr>
          <w:p>
            <w:pPr>
              <w:spacing w:after="0" w:line="147" w:lineRule="exact"/>
              <w:rPr>
                <w:rFonts w:ascii="Arial" w:cs="Arial" w:eastAsia="Arial" w:hAnsi="Arial"/>
                <w:sz w:val="15"/>
                <w:szCs w:val="15"/>
                <w:color w:val="0000EE"/>
              </w:rPr>
            </w:pPr>
            <w:hyperlink r:id="rId163">
              <w:r>
                <w:rPr>
                  <w:rFonts w:ascii="Arial" w:cs="Arial" w:eastAsia="Arial" w:hAnsi="Arial"/>
                  <w:sz w:val="15"/>
                  <w:szCs w:val="15"/>
                  <w:color w:val="0000EE"/>
                </w:rPr>
                <w:t>10.</w:t>
              </w:r>
              <w:r>
                <w:rPr>
                  <w:rFonts w:ascii="Arial" w:cs="Arial" w:eastAsia="Arial" w:hAnsi="Arial"/>
                  <w:sz w:val="15"/>
                  <w:szCs w:val="15"/>
                  <w:u w:val="single" w:color="auto"/>
                  <w:color w:val="0000EE"/>
                </w:rPr>
                <w:t>13</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20" w:type="dxa"/>
            <w:vAlign w:val="bottom"/>
          </w:tcPr>
          <w:p>
            <w:pPr>
              <w:ind w:left="460"/>
              <w:spacing w:after="0" w:line="147" w:lineRule="exact"/>
              <w:rPr>
                <w:sz w:val="20"/>
                <w:szCs w:val="20"/>
                <w:color w:val="auto"/>
              </w:rPr>
            </w:pPr>
            <w:r>
              <w:rPr>
                <w:rFonts w:ascii="Arial" w:cs="Arial" w:eastAsia="Arial" w:hAnsi="Arial"/>
                <w:sz w:val="15"/>
                <w:szCs w:val="15"/>
                <w:color w:val="auto"/>
                <w:w w:val="91"/>
              </w:rPr>
              <w:t>Form of Agreement between ACM Research, Inc. and certain Investors (incorporated herein by reference to Exhibit 10.02 to the Quarterly Report on Form 10-Q</w:t>
            </w:r>
          </w:p>
        </w:tc>
      </w:tr>
      <w:tr>
        <w:trPr>
          <w:trHeight w:val="194"/>
        </w:trPr>
        <w:tc>
          <w:tcPr>
            <w:tcW w:w="3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rPr>
              <w:t>filed on August 12, 2019)</w:t>
            </w:r>
          </w:p>
        </w:tc>
      </w:tr>
      <w:tr>
        <w:trPr>
          <w:trHeight w:val="148"/>
        </w:trPr>
        <w:tc>
          <w:tcPr>
            <w:tcW w:w="1040" w:type="dxa"/>
            <w:vAlign w:val="bottom"/>
            <w:gridSpan w:val="7"/>
            <w:shd w:val="clear" w:color="auto" w:fill="CCEEFF"/>
          </w:tcPr>
          <w:p>
            <w:pPr>
              <w:spacing w:after="0" w:line="149" w:lineRule="exact"/>
              <w:rPr>
                <w:rFonts w:ascii="Arial" w:cs="Arial" w:eastAsia="Arial" w:hAnsi="Arial"/>
                <w:sz w:val="15"/>
                <w:szCs w:val="15"/>
                <w:color w:val="0000EE"/>
              </w:rPr>
            </w:pPr>
            <w:hyperlink r:id="rId164">
              <w:r>
                <w:rPr>
                  <w:rFonts w:ascii="Arial" w:cs="Arial" w:eastAsia="Arial" w:hAnsi="Arial"/>
                  <w:sz w:val="15"/>
                  <w:szCs w:val="15"/>
                  <w:color w:val="0000EE"/>
                </w:rPr>
                <w:t>10.</w:t>
              </w:r>
              <w:r>
                <w:rPr>
                  <w:rFonts w:ascii="Arial" w:cs="Arial" w:eastAsia="Arial" w:hAnsi="Arial"/>
                  <w:sz w:val="15"/>
                  <w:szCs w:val="15"/>
                  <w:u w:val="single" w:color="auto"/>
                  <w:color w:val="0000EE"/>
                </w:rPr>
                <w:t>13(a)</w:t>
              </w:r>
            </w:hyperlink>
          </w:p>
        </w:tc>
        <w:tc>
          <w:tcPr>
            <w:tcW w:w="10220" w:type="dxa"/>
            <w:vAlign w:val="bottom"/>
            <w:shd w:val="clear" w:color="auto" w:fill="CCEEFF"/>
          </w:tcPr>
          <w:p>
            <w:pPr>
              <w:ind w:left="460"/>
              <w:spacing w:after="0" w:line="149" w:lineRule="exact"/>
              <w:rPr>
                <w:sz w:val="20"/>
                <w:szCs w:val="20"/>
                <w:color w:val="auto"/>
              </w:rPr>
            </w:pPr>
            <w:r>
              <w:rPr>
                <w:rFonts w:ascii="Arial" w:cs="Arial" w:eastAsia="Arial" w:hAnsi="Arial"/>
                <w:sz w:val="15"/>
                <w:szCs w:val="15"/>
                <w:color w:val="auto"/>
                <w:w w:val="95"/>
              </w:rPr>
              <w:t>Schedule identifying agreements substantially identical to the form of Agreement filed as Exhibit 10.13 hereto (incorporated herein by reference to Exhibit</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10.02(a) to the Quarterly Report on Form 10-Q filed on August 12, 2019)</w:t>
            </w:r>
          </w:p>
        </w:tc>
      </w:tr>
      <w:tr>
        <w:trPr>
          <w:trHeight w:val="147"/>
        </w:trPr>
        <w:tc>
          <w:tcPr>
            <w:tcW w:w="420" w:type="dxa"/>
            <w:vAlign w:val="bottom"/>
            <w:gridSpan w:val="2"/>
          </w:tcPr>
          <w:p>
            <w:pPr>
              <w:spacing w:after="0" w:line="147" w:lineRule="exact"/>
              <w:rPr>
                <w:rFonts w:ascii="Arial" w:cs="Arial" w:eastAsia="Arial" w:hAnsi="Arial"/>
                <w:sz w:val="15"/>
                <w:szCs w:val="15"/>
                <w:color w:val="0000EE"/>
              </w:rPr>
            </w:pPr>
            <w:hyperlink r:id="rId165">
              <w:r>
                <w:rPr>
                  <w:rFonts w:ascii="Arial" w:cs="Arial" w:eastAsia="Arial" w:hAnsi="Arial"/>
                  <w:sz w:val="15"/>
                  <w:szCs w:val="15"/>
                  <w:color w:val="0000EE"/>
                </w:rPr>
                <w:t>10.</w:t>
              </w:r>
              <w:r>
                <w:rPr>
                  <w:rFonts w:ascii="Arial" w:cs="Arial" w:eastAsia="Arial" w:hAnsi="Arial"/>
                  <w:sz w:val="15"/>
                  <w:szCs w:val="15"/>
                  <w:u w:val="single" w:color="auto"/>
                  <w:color w:val="0000EE"/>
                </w:rPr>
                <w:t>14</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20" w:type="dxa"/>
            <w:vAlign w:val="bottom"/>
          </w:tcPr>
          <w:p>
            <w:pPr>
              <w:ind w:left="460"/>
              <w:spacing w:after="0" w:line="147" w:lineRule="exact"/>
              <w:rPr>
                <w:sz w:val="20"/>
                <w:szCs w:val="20"/>
                <w:color w:val="auto"/>
              </w:rPr>
            </w:pPr>
            <w:r>
              <w:rPr>
                <w:rFonts w:ascii="Arial" w:cs="Arial" w:eastAsia="Arial" w:hAnsi="Arial"/>
                <w:sz w:val="15"/>
                <w:szCs w:val="15"/>
                <w:color w:val="auto"/>
                <w:w w:val="94"/>
              </w:rPr>
              <w:t>Partnership Agreement of Hefei Shixi Chanheng Integrated Circuit Industry Venture Capital Fund Partnership (LP) dated September 5, 2019 by and among</w:t>
            </w:r>
          </w:p>
        </w:tc>
      </w:tr>
      <w:tr>
        <w:trPr>
          <w:trHeight w:val="184"/>
        </w:trPr>
        <w:tc>
          <w:tcPr>
            <w:tcW w:w="3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w w:val="92"/>
              </w:rPr>
              <w:t>Infotech National Emerging Industry Venture Investment Guidance Fund (LP), Hefei Guozheng Asset Management Co, Ltd., Hefei Economic and Technological</w:t>
            </w:r>
          </w:p>
        </w:tc>
      </w:tr>
      <w:tr>
        <w:trPr>
          <w:trHeight w:val="181"/>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w w:val="92"/>
              </w:rPr>
              <w:t>Development Zone Industrial Investment Guidance Fund Co., Ltd., ACM Research (Shanghai), Inc., Hefei Tongyi Equity Investment Partnership (LP), Shenzen</w:t>
            </w:r>
          </w:p>
        </w:tc>
      </w:tr>
      <w:tr>
        <w:trPr>
          <w:trHeight w:val="181"/>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w w:val="94"/>
              </w:rPr>
              <w:t>Waitan Technology Development Co., Ltd., and Beijing Shixi Qingliu Investment Co., Ltd. (incorporated herein by reference to Exhibit 10.03 to the Quarterly</w:t>
            </w:r>
          </w:p>
        </w:tc>
      </w:tr>
      <w:tr>
        <w:trPr>
          <w:trHeight w:val="190"/>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rPr>
              <w:t>Report on Form 10-Q filed on November 13, 2019)</w:t>
            </w:r>
          </w:p>
        </w:tc>
      </w:tr>
      <w:tr>
        <w:trPr>
          <w:trHeight w:val="148"/>
        </w:trPr>
        <w:tc>
          <w:tcPr>
            <w:tcW w:w="500" w:type="dxa"/>
            <w:vAlign w:val="bottom"/>
            <w:gridSpan w:val="3"/>
            <w:shd w:val="clear" w:color="auto" w:fill="CCEEFF"/>
          </w:tcPr>
          <w:p>
            <w:pPr>
              <w:spacing w:after="0" w:line="149" w:lineRule="exact"/>
              <w:rPr>
                <w:rFonts w:ascii="Arial" w:cs="Arial" w:eastAsia="Arial" w:hAnsi="Arial"/>
                <w:sz w:val="15"/>
                <w:szCs w:val="15"/>
                <w:color w:val="0000EE"/>
              </w:rPr>
            </w:pPr>
            <w:hyperlink r:id="rId166">
              <w:r>
                <w:rPr>
                  <w:rFonts w:ascii="Arial" w:cs="Arial" w:eastAsia="Arial" w:hAnsi="Arial"/>
                  <w:sz w:val="15"/>
                  <w:szCs w:val="15"/>
                  <w:color w:val="0000EE"/>
                </w:rPr>
                <w:t>10.</w:t>
              </w:r>
              <w:r>
                <w:rPr>
                  <w:rFonts w:ascii="Arial" w:cs="Arial" w:eastAsia="Arial" w:hAnsi="Arial"/>
                  <w:sz w:val="15"/>
                  <w:szCs w:val="15"/>
                  <w:u w:val="single" w:color="auto"/>
                  <w:color w:val="0000EE"/>
                </w:rPr>
                <w:t>15+</w:t>
              </w:r>
            </w:hyperlink>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220" w:type="dxa"/>
            <w:vAlign w:val="bottom"/>
            <w:shd w:val="clear" w:color="auto" w:fill="CCEEFF"/>
          </w:tcPr>
          <w:p>
            <w:pPr>
              <w:ind w:left="460"/>
              <w:spacing w:after="0" w:line="149" w:lineRule="exact"/>
              <w:rPr>
                <w:sz w:val="20"/>
                <w:szCs w:val="20"/>
                <w:color w:val="auto"/>
              </w:rPr>
            </w:pPr>
            <w:r>
              <w:rPr>
                <w:rFonts w:ascii="Arial" w:cs="Arial" w:eastAsia="Arial" w:hAnsi="Arial"/>
                <w:sz w:val="15"/>
                <w:szCs w:val="15"/>
                <w:color w:val="auto"/>
                <w:w w:val="98"/>
              </w:rPr>
              <w:t>2016 Omnibus Incentive Plan of ACM Research, Inc. (incorporated herein by reference to Exhibit 10.01 to the Quarterly Report on Form 10-Q filed on</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December 8, 2017)</w:t>
            </w:r>
          </w:p>
        </w:tc>
      </w:tr>
      <w:tr>
        <w:trPr>
          <w:trHeight w:val="147"/>
        </w:trPr>
        <w:tc>
          <w:tcPr>
            <w:tcW w:w="1040" w:type="dxa"/>
            <w:vAlign w:val="bottom"/>
            <w:gridSpan w:val="7"/>
          </w:tcPr>
          <w:p>
            <w:pPr>
              <w:spacing w:after="0" w:line="147" w:lineRule="exact"/>
              <w:rPr>
                <w:rFonts w:ascii="Arial" w:cs="Arial" w:eastAsia="Arial" w:hAnsi="Arial"/>
                <w:sz w:val="15"/>
                <w:szCs w:val="15"/>
                <w:color w:val="0000EE"/>
              </w:rPr>
            </w:pPr>
            <w:hyperlink r:id="rId167">
              <w:r>
                <w:rPr>
                  <w:rFonts w:ascii="Arial" w:cs="Arial" w:eastAsia="Arial" w:hAnsi="Arial"/>
                  <w:sz w:val="15"/>
                  <w:szCs w:val="15"/>
                  <w:color w:val="0000EE"/>
                </w:rPr>
                <w:t>10.</w:t>
              </w:r>
              <w:r>
                <w:rPr>
                  <w:rFonts w:ascii="Arial" w:cs="Arial" w:eastAsia="Arial" w:hAnsi="Arial"/>
                  <w:sz w:val="15"/>
                  <w:szCs w:val="15"/>
                  <w:u w:val="single" w:color="auto"/>
                  <w:color w:val="0000EE"/>
                </w:rPr>
                <w:t>15(a)+</w:t>
              </w:r>
            </w:hyperlink>
          </w:p>
        </w:tc>
        <w:tc>
          <w:tcPr>
            <w:tcW w:w="10220" w:type="dxa"/>
            <w:vAlign w:val="bottom"/>
          </w:tcPr>
          <w:p>
            <w:pPr>
              <w:ind w:left="460"/>
              <w:spacing w:after="0" w:line="147" w:lineRule="exact"/>
              <w:rPr>
                <w:sz w:val="20"/>
                <w:szCs w:val="20"/>
                <w:color w:val="auto"/>
              </w:rPr>
            </w:pPr>
            <w:r>
              <w:rPr>
                <w:rFonts w:ascii="Arial" w:cs="Arial" w:eastAsia="Arial" w:hAnsi="Arial"/>
                <w:sz w:val="15"/>
                <w:szCs w:val="15"/>
                <w:color w:val="auto"/>
                <w:w w:val="93"/>
              </w:rPr>
              <w:t>Form of Incentive Stock Option Grant Notice and Agreement under 2016 Omnibus Incentive Plan (incorporated herein by reference to Exhibit 10.10(a) to the</w:t>
            </w:r>
          </w:p>
        </w:tc>
      </w:tr>
      <w:tr>
        <w:trPr>
          <w:trHeight w:val="194"/>
        </w:trPr>
        <w:tc>
          <w:tcPr>
            <w:tcW w:w="3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rPr>
              <w:t>Registration Statement on Form S-1 filed on September 13, 2017)</w:t>
            </w:r>
          </w:p>
        </w:tc>
      </w:tr>
      <w:tr>
        <w:trPr>
          <w:trHeight w:val="148"/>
        </w:trPr>
        <w:tc>
          <w:tcPr>
            <w:tcW w:w="1040" w:type="dxa"/>
            <w:vAlign w:val="bottom"/>
            <w:gridSpan w:val="7"/>
            <w:shd w:val="clear" w:color="auto" w:fill="CCEEFF"/>
          </w:tcPr>
          <w:p>
            <w:pPr>
              <w:spacing w:after="0" w:line="149" w:lineRule="exact"/>
              <w:rPr>
                <w:rFonts w:ascii="Arial" w:cs="Arial" w:eastAsia="Arial" w:hAnsi="Arial"/>
                <w:sz w:val="15"/>
                <w:szCs w:val="15"/>
                <w:color w:val="0000EE"/>
              </w:rPr>
            </w:pPr>
            <w:hyperlink r:id="rId168">
              <w:r>
                <w:rPr>
                  <w:rFonts w:ascii="Arial" w:cs="Arial" w:eastAsia="Arial" w:hAnsi="Arial"/>
                  <w:sz w:val="15"/>
                  <w:szCs w:val="15"/>
                  <w:color w:val="0000EE"/>
                </w:rPr>
                <w:t>10.</w:t>
              </w:r>
              <w:r>
                <w:rPr>
                  <w:rFonts w:ascii="Arial" w:cs="Arial" w:eastAsia="Arial" w:hAnsi="Arial"/>
                  <w:sz w:val="15"/>
                  <w:szCs w:val="15"/>
                  <w:u w:val="single" w:color="auto"/>
                  <w:color w:val="0000EE"/>
                </w:rPr>
                <w:t>15(b)+</w:t>
              </w:r>
            </w:hyperlink>
          </w:p>
        </w:tc>
        <w:tc>
          <w:tcPr>
            <w:tcW w:w="10220" w:type="dxa"/>
            <w:vAlign w:val="bottom"/>
            <w:shd w:val="clear" w:color="auto" w:fill="CCEEFF"/>
          </w:tcPr>
          <w:p>
            <w:pPr>
              <w:ind w:left="460"/>
              <w:spacing w:after="0" w:line="149" w:lineRule="exact"/>
              <w:rPr>
                <w:sz w:val="20"/>
                <w:szCs w:val="20"/>
                <w:color w:val="auto"/>
              </w:rPr>
            </w:pPr>
            <w:r>
              <w:rPr>
                <w:rFonts w:ascii="Arial" w:cs="Arial" w:eastAsia="Arial" w:hAnsi="Arial"/>
                <w:sz w:val="15"/>
                <w:szCs w:val="15"/>
                <w:color w:val="auto"/>
                <w:w w:val="93"/>
              </w:rPr>
              <w:t>Form of Non-qualified Stock Option Grant Notice and Agreement under 2016 Omnibus Incentive Plan (incorporated herein by reference to Exhibit 10.10(b) to</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the Registration Statement on Form S-1 filed on September 13, 2017)</w:t>
            </w:r>
          </w:p>
        </w:tc>
      </w:tr>
      <w:tr>
        <w:trPr>
          <w:trHeight w:val="147"/>
        </w:trPr>
        <w:tc>
          <w:tcPr>
            <w:tcW w:w="1040" w:type="dxa"/>
            <w:vAlign w:val="bottom"/>
            <w:gridSpan w:val="7"/>
          </w:tcPr>
          <w:p>
            <w:pPr>
              <w:spacing w:after="0" w:line="147" w:lineRule="exact"/>
              <w:rPr>
                <w:rFonts w:ascii="Arial" w:cs="Arial" w:eastAsia="Arial" w:hAnsi="Arial"/>
                <w:sz w:val="15"/>
                <w:szCs w:val="15"/>
                <w:color w:val="0000EE"/>
              </w:rPr>
            </w:pPr>
            <w:hyperlink r:id="rId169">
              <w:r>
                <w:rPr>
                  <w:rFonts w:ascii="Arial" w:cs="Arial" w:eastAsia="Arial" w:hAnsi="Arial"/>
                  <w:sz w:val="15"/>
                  <w:szCs w:val="15"/>
                  <w:color w:val="0000EE"/>
                </w:rPr>
                <w:t>10.</w:t>
              </w:r>
              <w:r>
                <w:rPr>
                  <w:rFonts w:ascii="Arial" w:cs="Arial" w:eastAsia="Arial" w:hAnsi="Arial"/>
                  <w:sz w:val="15"/>
                  <w:szCs w:val="15"/>
                  <w:u w:val="single" w:color="auto"/>
                  <w:color w:val="0000EE"/>
                </w:rPr>
                <w:t>15(c)+</w:t>
              </w:r>
            </w:hyperlink>
          </w:p>
        </w:tc>
        <w:tc>
          <w:tcPr>
            <w:tcW w:w="10220" w:type="dxa"/>
            <w:vAlign w:val="bottom"/>
          </w:tcPr>
          <w:p>
            <w:pPr>
              <w:ind w:left="460"/>
              <w:spacing w:after="0" w:line="147" w:lineRule="exact"/>
              <w:rPr>
                <w:sz w:val="20"/>
                <w:szCs w:val="20"/>
                <w:color w:val="auto"/>
              </w:rPr>
            </w:pPr>
            <w:r>
              <w:rPr>
                <w:rFonts w:ascii="Arial" w:cs="Arial" w:eastAsia="Arial" w:hAnsi="Arial"/>
                <w:sz w:val="15"/>
                <w:szCs w:val="15"/>
                <w:color w:val="auto"/>
                <w:w w:val="94"/>
              </w:rPr>
              <w:t>Form of Restricted Stock Unit Grant Notice and Agreement under 2016 Omnibus Incentive Plan  (incorporated herein by reference to Exhibit 10.10(c) to the</w:t>
            </w:r>
          </w:p>
        </w:tc>
      </w:tr>
      <w:tr>
        <w:trPr>
          <w:trHeight w:val="194"/>
        </w:trPr>
        <w:tc>
          <w:tcPr>
            <w:tcW w:w="3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rPr>
              <w:t>Registration Statement on Form S-1 filed on September 13, 2017)</w:t>
            </w:r>
          </w:p>
        </w:tc>
      </w:tr>
      <w:tr>
        <w:trPr>
          <w:trHeight w:val="148"/>
        </w:trPr>
        <w:tc>
          <w:tcPr>
            <w:tcW w:w="500" w:type="dxa"/>
            <w:vAlign w:val="bottom"/>
            <w:gridSpan w:val="3"/>
            <w:shd w:val="clear" w:color="auto" w:fill="CCEEFF"/>
          </w:tcPr>
          <w:p>
            <w:pPr>
              <w:spacing w:after="0" w:line="149" w:lineRule="exact"/>
              <w:rPr>
                <w:rFonts w:ascii="Arial" w:cs="Arial" w:eastAsia="Arial" w:hAnsi="Arial"/>
                <w:sz w:val="15"/>
                <w:szCs w:val="15"/>
                <w:color w:val="0000EE"/>
              </w:rPr>
            </w:pPr>
            <w:hyperlink r:id="rId170">
              <w:r>
                <w:rPr>
                  <w:rFonts w:ascii="Arial" w:cs="Arial" w:eastAsia="Arial" w:hAnsi="Arial"/>
                  <w:sz w:val="15"/>
                  <w:szCs w:val="15"/>
                  <w:color w:val="0000EE"/>
                </w:rPr>
                <w:t>10.</w:t>
              </w:r>
              <w:r>
                <w:rPr>
                  <w:rFonts w:ascii="Arial" w:cs="Arial" w:eastAsia="Arial" w:hAnsi="Arial"/>
                  <w:sz w:val="15"/>
                  <w:szCs w:val="15"/>
                  <w:u w:val="single" w:color="auto"/>
                  <w:color w:val="0000EE"/>
                </w:rPr>
                <w:t>16+</w:t>
              </w:r>
            </w:hyperlink>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220" w:type="dxa"/>
            <w:vAlign w:val="bottom"/>
            <w:shd w:val="clear" w:color="auto" w:fill="CCEEFF"/>
          </w:tcPr>
          <w:p>
            <w:pPr>
              <w:ind w:left="460"/>
              <w:spacing w:after="0" w:line="149" w:lineRule="exact"/>
              <w:rPr>
                <w:sz w:val="20"/>
                <w:szCs w:val="20"/>
                <w:color w:val="auto"/>
              </w:rPr>
            </w:pPr>
            <w:r>
              <w:rPr>
                <w:rFonts w:ascii="Arial" w:cs="Arial" w:eastAsia="Arial" w:hAnsi="Arial"/>
                <w:sz w:val="15"/>
                <w:szCs w:val="15"/>
                <w:color w:val="auto"/>
                <w:w w:val="92"/>
              </w:rPr>
              <w:t>Form of Nonstatutory Stock Option Agreement of ACM Research, Inc. (incorporated herein by reference to Exhibit 10.11 to the Registration Statement on Form</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S-1 filed on September 13, 2017)</w:t>
            </w:r>
          </w:p>
        </w:tc>
      </w:tr>
      <w:tr>
        <w:trPr>
          <w:trHeight w:val="147"/>
        </w:trPr>
        <w:tc>
          <w:tcPr>
            <w:tcW w:w="500" w:type="dxa"/>
            <w:vAlign w:val="bottom"/>
            <w:gridSpan w:val="3"/>
          </w:tcPr>
          <w:p>
            <w:pPr>
              <w:spacing w:after="0" w:line="147" w:lineRule="exact"/>
              <w:rPr>
                <w:rFonts w:ascii="Arial" w:cs="Arial" w:eastAsia="Arial" w:hAnsi="Arial"/>
                <w:sz w:val="15"/>
                <w:szCs w:val="15"/>
                <w:color w:val="0000EE"/>
              </w:rPr>
            </w:pPr>
            <w:hyperlink r:id="rId171">
              <w:r>
                <w:rPr>
                  <w:rFonts w:ascii="Arial" w:cs="Arial" w:eastAsia="Arial" w:hAnsi="Arial"/>
                  <w:sz w:val="15"/>
                  <w:szCs w:val="15"/>
                  <w:color w:val="0000EE"/>
                </w:rPr>
                <w:t>10.</w:t>
              </w:r>
              <w:r>
                <w:rPr>
                  <w:rFonts w:ascii="Arial" w:cs="Arial" w:eastAsia="Arial" w:hAnsi="Arial"/>
                  <w:sz w:val="15"/>
                  <w:szCs w:val="15"/>
                  <w:u w:val="single" w:color="auto"/>
                  <w:color w:val="0000EE"/>
                </w:rPr>
                <w:t>17+</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20" w:type="dxa"/>
            <w:vAlign w:val="bottom"/>
          </w:tcPr>
          <w:p>
            <w:pPr>
              <w:ind w:left="460"/>
              <w:spacing w:after="0" w:line="147" w:lineRule="exact"/>
              <w:rPr>
                <w:sz w:val="20"/>
                <w:szCs w:val="20"/>
                <w:color w:val="auto"/>
              </w:rPr>
            </w:pPr>
            <w:r>
              <w:rPr>
                <w:rFonts w:ascii="Arial" w:cs="Arial" w:eastAsia="Arial" w:hAnsi="Arial"/>
                <w:sz w:val="15"/>
                <w:szCs w:val="15"/>
                <w:color w:val="auto"/>
                <w:w w:val="91"/>
              </w:rPr>
              <w:t>1998 Stock Option Plan of ACM Research, Inc. (incorporated herein by reference to Exhibit 10.12 to the Registration Statement on Form S-1 filed on September</w:t>
            </w:r>
          </w:p>
        </w:tc>
      </w:tr>
      <w:tr>
        <w:trPr>
          <w:trHeight w:val="194"/>
        </w:trPr>
        <w:tc>
          <w:tcPr>
            <w:tcW w:w="3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rPr>
              <w:t>13, 2017)</w:t>
            </w:r>
          </w:p>
        </w:tc>
      </w:tr>
      <w:tr>
        <w:trPr>
          <w:trHeight w:val="148"/>
        </w:trPr>
        <w:tc>
          <w:tcPr>
            <w:tcW w:w="1040" w:type="dxa"/>
            <w:vAlign w:val="bottom"/>
            <w:gridSpan w:val="7"/>
            <w:shd w:val="clear" w:color="auto" w:fill="CCEEFF"/>
          </w:tcPr>
          <w:p>
            <w:pPr>
              <w:spacing w:after="0" w:line="149" w:lineRule="exact"/>
              <w:rPr>
                <w:rFonts w:ascii="Arial" w:cs="Arial" w:eastAsia="Arial" w:hAnsi="Arial"/>
                <w:sz w:val="15"/>
                <w:szCs w:val="15"/>
                <w:color w:val="0000EE"/>
              </w:rPr>
            </w:pPr>
            <w:hyperlink r:id="rId172">
              <w:r>
                <w:rPr>
                  <w:rFonts w:ascii="Arial" w:cs="Arial" w:eastAsia="Arial" w:hAnsi="Arial"/>
                  <w:sz w:val="15"/>
                  <w:szCs w:val="15"/>
                  <w:color w:val="0000EE"/>
                </w:rPr>
                <w:t>10.</w:t>
              </w:r>
              <w:r>
                <w:rPr>
                  <w:rFonts w:ascii="Arial" w:cs="Arial" w:eastAsia="Arial" w:hAnsi="Arial"/>
                  <w:sz w:val="15"/>
                  <w:szCs w:val="15"/>
                  <w:u w:val="single" w:color="auto"/>
                  <w:color w:val="0000EE"/>
                </w:rPr>
                <w:t>17(a)+</w:t>
              </w:r>
            </w:hyperlink>
          </w:p>
        </w:tc>
        <w:tc>
          <w:tcPr>
            <w:tcW w:w="10220" w:type="dxa"/>
            <w:vAlign w:val="bottom"/>
            <w:shd w:val="clear" w:color="auto" w:fill="CCEEFF"/>
          </w:tcPr>
          <w:p>
            <w:pPr>
              <w:ind w:left="460"/>
              <w:spacing w:after="0" w:line="149" w:lineRule="exact"/>
              <w:rPr>
                <w:sz w:val="20"/>
                <w:szCs w:val="20"/>
                <w:color w:val="auto"/>
              </w:rPr>
            </w:pPr>
            <w:r>
              <w:rPr>
                <w:rFonts w:ascii="Arial" w:cs="Arial" w:eastAsia="Arial" w:hAnsi="Arial"/>
                <w:sz w:val="15"/>
                <w:szCs w:val="15"/>
                <w:color w:val="auto"/>
                <w:w w:val="91"/>
              </w:rPr>
              <w:t>Form of Incentive Stock Option Agreement under 1998 Stock Option Plan (incorporated herein by reference to Exhibit 10.12(a) to the Registration Statement on</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Form S-1 filed on September 13, 2017)</w:t>
            </w:r>
          </w:p>
        </w:tc>
      </w:tr>
      <w:tr>
        <w:trPr>
          <w:trHeight w:val="147"/>
        </w:trPr>
        <w:tc>
          <w:tcPr>
            <w:tcW w:w="1040" w:type="dxa"/>
            <w:vAlign w:val="bottom"/>
            <w:gridSpan w:val="7"/>
          </w:tcPr>
          <w:p>
            <w:pPr>
              <w:spacing w:after="0" w:line="147" w:lineRule="exact"/>
              <w:rPr>
                <w:rFonts w:ascii="Arial" w:cs="Arial" w:eastAsia="Arial" w:hAnsi="Arial"/>
                <w:sz w:val="15"/>
                <w:szCs w:val="15"/>
                <w:color w:val="0000EE"/>
              </w:rPr>
            </w:pPr>
            <w:hyperlink r:id="rId173">
              <w:r>
                <w:rPr>
                  <w:rFonts w:ascii="Arial" w:cs="Arial" w:eastAsia="Arial" w:hAnsi="Arial"/>
                  <w:sz w:val="15"/>
                  <w:szCs w:val="15"/>
                  <w:color w:val="0000EE"/>
                </w:rPr>
                <w:t>10.</w:t>
              </w:r>
              <w:r>
                <w:rPr>
                  <w:rFonts w:ascii="Arial" w:cs="Arial" w:eastAsia="Arial" w:hAnsi="Arial"/>
                  <w:sz w:val="15"/>
                  <w:szCs w:val="15"/>
                  <w:u w:val="single" w:color="auto"/>
                  <w:color w:val="0000EE"/>
                </w:rPr>
                <w:t>17(b)+</w:t>
              </w:r>
            </w:hyperlink>
          </w:p>
        </w:tc>
        <w:tc>
          <w:tcPr>
            <w:tcW w:w="10220" w:type="dxa"/>
            <w:vAlign w:val="bottom"/>
          </w:tcPr>
          <w:p>
            <w:pPr>
              <w:ind w:left="460"/>
              <w:spacing w:after="0" w:line="147" w:lineRule="exact"/>
              <w:rPr>
                <w:sz w:val="20"/>
                <w:szCs w:val="20"/>
                <w:color w:val="auto"/>
              </w:rPr>
            </w:pPr>
            <w:r>
              <w:rPr>
                <w:rFonts w:ascii="Arial" w:cs="Arial" w:eastAsia="Arial" w:hAnsi="Arial"/>
                <w:sz w:val="15"/>
                <w:szCs w:val="15"/>
                <w:color w:val="auto"/>
                <w:w w:val="97"/>
              </w:rPr>
              <w:t>Form of Non-statutory Stock Option Agreement under 1998 Stock Option Plan  (incorporated herein by reference to Exhibit 10.12(b) to the Registration</w:t>
            </w:r>
          </w:p>
        </w:tc>
      </w:tr>
      <w:tr>
        <w:trPr>
          <w:trHeight w:val="194"/>
        </w:trPr>
        <w:tc>
          <w:tcPr>
            <w:tcW w:w="3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460"/>
              <w:spacing w:after="0"/>
              <w:rPr>
                <w:sz w:val="20"/>
                <w:szCs w:val="20"/>
                <w:color w:val="auto"/>
              </w:rPr>
            </w:pPr>
            <w:r>
              <w:rPr>
                <w:rFonts w:ascii="Arial" w:cs="Arial" w:eastAsia="Arial" w:hAnsi="Arial"/>
                <w:sz w:val="15"/>
                <w:szCs w:val="15"/>
                <w:color w:val="auto"/>
              </w:rPr>
              <w:t>Statement on Form S-1 filed on September 13, 2017)</w:t>
            </w:r>
          </w:p>
        </w:tc>
      </w:tr>
      <w:tr>
        <w:trPr>
          <w:trHeight w:val="478"/>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20" w:type="dxa"/>
            <w:vAlign w:val="bottom"/>
          </w:tcPr>
          <w:p>
            <w:pPr>
              <w:ind w:left="4500"/>
              <w:spacing w:after="0"/>
              <w:rPr>
                <w:sz w:val="20"/>
                <w:szCs w:val="20"/>
                <w:color w:val="auto"/>
              </w:rPr>
            </w:pPr>
            <w:r>
              <w:rPr>
                <w:rFonts w:ascii="Arial" w:cs="Arial" w:eastAsia="Arial" w:hAnsi="Arial"/>
                <w:sz w:val="12"/>
                <w:szCs w:val="12"/>
                <w:color w:val="auto"/>
              </w:rPr>
              <w:t>130</w:t>
            </w:r>
          </w:p>
        </w:tc>
      </w:tr>
      <w:tr>
        <w:trPr>
          <w:trHeight w:val="34"/>
        </w:trPr>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2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30" w:name="page131"/>
    <w:bookmarkEnd w:id="13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 w:type="dxa"/>
            <w:vAlign w:val="bottom"/>
            <w:gridSpan w:val="2"/>
            <w:shd w:val="clear" w:color="auto" w:fill="CCEEFF"/>
          </w:tcPr>
          <w:p>
            <w:pPr>
              <w:spacing w:after="0"/>
              <w:rPr>
                <w:rFonts w:ascii="Arial" w:cs="Arial" w:eastAsia="Arial" w:hAnsi="Arial"/>
                <w:sz w:val="15"/>
                <w:szCs w:val="15"/>
                <w:color w:val="0000EE"/>
              </w:rPr>
            </w:pPr>
            <w:hyperlink r:id="rId174">
              <w:r>
                <w:rPr>
                  <w:rFonts w:ascii="Arial" w:cs="Arial" w:eastAsia="Arial" w:hAnsi="Arial"/>
                  <w:sz w:val="15"/>
                  <w:szCs w:val="15"/>
                  <w:color w:val="0000EE"/>
                </w:rPr>
                <w:t>10.</w:t>
              </w:r>
              <w:r>
                <w:rPr>
                  <w:rFonts w:ascii="Arial" w:cs="Arial" w:eastAsia="Arial" w:hAnsi="Arial"/>
                  <w:sz w:val="15"/>
                  <w:szCs w:val="15"/>
                  <w:u w:val="single" w:color="auto"/>
                  <w:color w:val="0000EE"/>
                </w:rPr>
                <w:t>18</w:t>
              </w:r>
            </w:hyperlink>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60" w:type="dxa"/>
            <w:vAlign w:val="bottom"/>
            <w:shd w:val="clear" w:color="auto" w:fill="CCEEFF"/>
          </w:tcPr>
          <w:p>
            <w:pPr>
              <w:ind w:left="500"/>
              <w:spacing w:after="0"/>
              <w:rPr>
                <w:sz w:val="20"/>
                <w:szCs w:val="20"/>
                <w:color w:val="auto"/>
              </w:rPr>
            </w:pPr>
            <w:r>
              <w:rPr>
                <w:rFonts w:ascii="Arial" w:cs="Arial" w:eastAsia="Arial" w:hAnsi="Arial"/>
                <w:sz w:val="15"/>
                <w:szCs w:val="15"/>
                <w:color w:val="auto"/>
                <w:w w:val="95"/>
              </w:rPr>
              <w:t>Form of Indemnification Agreement entered into between ACM Research, Inc. and certain of its directors and officers  (incorporated herein by reference to</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Exhibit 10.13 to the Registration Statement on Form S-1 filed on September 13, 2017)</w:t>
            </w:r>
          </w:p>
        </w:tc>
      </w:tr>
      <w:tr>
        <w:trPr>
          <w:trHeight w:val="147"/>
        </w:trPr>
        <w:tc>
          <w:tcPr>
            <w:tcW w:w="480" w:type="dxa"/>
            <w:vAlign w:val="bottom"/>
            <w:gridSpan w:val="4"/>
          </w:tcPr>
          <w:p>
            <w:pPr>
              <w:spacing w:after="0" w:line="147" w:lineRule="exact"/>
              <w:rPr>
                <w:rFonts w:ascii="Arial" w:cs="Arial" w:eastAsia="Arial" w:hAnsi="Arial"/>
                <w:sz w:val="15"/>
                <w:szCs w:val="15"/>
                <w:color w:val="0000EE"/>
                <w:w w:val="99"/>
              </w:rPr>
            </w:pPr>
            <w:hyperlink r:id="rId175">
              <w:r>
                <w:rPr>
                  <w:rFonts w:ascii="Arial" w:cs="Arial" w:eastAsia="Arial" w:hAnsi="Arial"/>
                  <w:sz w:val="15"/>
                  <w:szCs w:val="15"/>
                  <w:color w:val="0000EE"/>
                  <w:w w:val="99"/>
                </w:rPr>
                <w:t>10.</w:t>
              </w:r>
              <w:r>
                <w:rPr>
                  <w:rFonts w:ascii="Arial" w:cs="Arial" w:eastAsia="Arial" w:hAnsi="Arial"/>
                  <w:sz w:val="15"/>
                  <w:szCs w:val="15"/>
                  <w:u w:val="single" w:color="auto"/>
                  <w:color w:val="0000EE"/>
                  <w:w w:val="99"/>
                </w:rPr>
                <w:t>19+</w:t>
              </w:r>
            </w:hyperlink>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4"/>
              </w:rPr>
              <w:t>Letter agreement dated June 12, 2019 between ACM Research, Inc. and Mark McKechnie  (incorporated herein by reference to Exhibit 10.02 to the Current</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Report on Form 8-K filed on August 13, 2019)</w:t>
            </w:r>
          </w:p>
        </w:tc>
      </w:tr>
      <w:tr>
        <w:trPr>
          <w:trHeight w:val="162"/>
        </w:trPr>
        <w:tc>
          <w:tcPr>
            <w:tcW w:w="1000" w:type="dxa"/>
            <w:vAlign w:val="bottom"/>
            <w:gridSpan w:val="6"/>
            <w:shd w:val="clear" w:color="auto" w:fill="CCEEFF"/>
          </w:tcPr>
          <w:p>
            <w:pPr>
              <w:spacing w:after="0" w:line="149" w:lineRule="exact"/>
              <w:rPr>
                <w:rFonts w:ascii="Arial" w:cs="Arial" w:eastAsia="Arial" w:hAnsi="Arial"/>
                <w:sz w:val="15"/>
                <w:szCs w:val="15"/>
                <w:color w:val="0000EE"/>
              </w:rPr>
            </w:pPr>
            <w:hyperlink w:anchor="page140">
              <w:r>
                <w:rPr>
                  <w:rFonts w:ascii="Arial" w:cs="Arial" w:eastAsia="Arial" w:hAnsi="Arial"/>
                  <w:sz w:val="15"/>
                  <w:szCs w:val="15"/>
                  <w:color w:val="0000EE"/>
                </w:rPr>
                <w:t>10.</w:t>
              </w:r>
              <w:r>
                <w:rPr>
                  <w:rFonts w:ascii="Arial" w:cs="Arial" w:eastAsia="Arial" w:hAnsi="Arial"/>
                  <w:sz w:val="15"/>
                  <w:szCs w:val="15"/>
                  <w:u w:val="single" w:color="auto"/>
                  <w:color w:val="0000EE"/>
                </w:rPr>
                <w:t>20+‡</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rPr>
              <w:t>Employment Agreement dated January 8, 2018 between ACM Research (Shanghai), Inc and Lisa Feng</w:t>
            </w:r>
          </w:p>
        </w:tc>
      </w:tr>
      <w:tr>
        <w:trPr>
          <w:trHeight w:val="147"/>
        </w:trPr>
        <w:tc>
          <w:tcPr>
            <w:tcW w:w="400" w:type="dxa"/>
            <w:vAlign w:val="bottom"/>
            <w:tcBorders>
              <w:top w:val="single" w:sz="8" w:color="0000EE"/>
            </w:tcBorders>
            <w:gridSpan w:val="2"/>
          </w:tcPr>
          <w:p>
            <w:pPr>
              <w:spacing w:after="0" w:line="147" w:lineRule="exact"/>
              <w:rPr>
                <w:rFonts w:ascii="Arial" w:cs="Arial" w:eastAsia="Arial" w:hAnsi="Arial"/>
                <w:sz w:val="15"/>
                <w:szCs w:val="15"/>
                <w:color w:val="0000EE"/>
              </w:rPr>
            </w:pPr>
            <w:hyperlink r:id="rId176">
              <w:r>
                <w:rPr>
                  <w:rFonts w:ascii="Arial" w:cs="Arial" w:eastAsia="Arial" w:hAnsi="Arial"/>
                  <w:sz w:val="15"/>
                  <w:szCs w:val="15"/>
                  <w:color w:val="0000EE"/>
                </w:rPr>
                <w:t>10.</w:t>
              </w:r>
              <w:r>
                <w:rPr>
                  <w:rFonts w:ascii="Arial" w:cs="Arial" w:eastAsia="Arial" w:hAnsi="Arial"/>
                  <w:sz w:val="15"/>
                  <w:szCs w:val="15"/>
                  <w:u w:val="single" w:color="auto"/>
                  <w:color w:val="0000EE"/>
                </w:rPr>
                <w:t>21</w:t>
              </w:r>
            </w:hyperlink>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0260" w:type="dxa"/>
            <w:vAlign w:val="bottom"/>
            <w:tcBorders>
              <w:top w:val="single" w:sz="8" w:color="CCEEFF"/>
            </w:tcBorders>
          </w:tcPr>
          <w:p>
            <w:pPr>
              <w:ind w:left="500"/>
              <w:spacing w:after="0" w:line="147" w:lineRule="exact"/>
              <w:rPr>
                <w:sz w:val="20"/>
                <w:szCs w:val="20"/>
                <w:color w:val="auto"/>
              </w:rPr>
            </w:pPr>
            <w:r>
              <w:rPr>
                <w:rFonts w:ascii="Arial" w:cs="Arial" w:eastAsia="Arial" w:hAnsi="Arial"/>
                <w:sz w:val="15"/>
                <w:szCs w:val="15"/>
                <w:color w:val="auto"/>
                <w:w w:val="97"/>
              </w:rPr>
              <w:t>Note Assignment and Cancellation Agreement dated April 30, 2020 by and among ACM Research, Inc., ACM Research (Shanghai), Inc. and Shengxin</w:t>
            </w:r>
          </w:p>
        </w:tc>
      </w:tr>
      <w:tr>
        <w:trPr>
          <w:trHeight w:val="184"/>
        </w:trPr>
        <w:tc>
          <w:tcPr>
            <w:tcW w:w="3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w w:val="93"/>
              </w:rPr>
              <w:t>(Shanghai) Management Consulting Limited Partnership (incorporated herein by reference to Exhibit 10.02 to the Quarterly Report Form 10-Q filed on May 8,</w:t>
            </w:r>
          </w:p>
        </w:tc>
      </w:tr>
      <w:tr>
        <w:trPr>
          <w:trHeight w:val="190"/>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2020)</w:t>
            </w:r>
          </w:p>
        </w:tc>
      </w:tr>
      <w:tr>
        <w:trPr>
          <w:trHeight w:val="148"/>
        </w:trPr>
        <w:tc>
          <w:tcPr>
            <w:tcW w:w="1000" w:type="dxa"/>
            <w:vAlign w:val="bottom"/>
            <w:gridSpan w:val="6"/>
            <w:shd w:val="clear" w:color="auto" w:fill="CCEEFF"/>
          </w:tcPr>
          <w:p>
            <w:pPr>
              <w:spacing w:after="0" w:line="149" w:lineRule="exact"/>
              <w:rPr>
                <w:rFonts w:ascii="Arial" w:cs="Arial" w:eastAsia="Arial" w:hAnsi="Arial"/>
                <w:sz w:val="15"/>
                <w:szCs w:val="15"/>
                <w:color w:val="0000EE"/>
              </w:rPr>
            </w:pPr>
            <w:hyperlink r:id="rId177">
              <w:r>
                <w:rPr>
                  <w:rFonts w:ascii="Arial" w:cs="Arial" w:eastAsia="Arial" w:hAnsi="Arial"/>
                  <w:sz w:val="15"/>
                  <w:szCs w:val="15"/>
                  <w:color w:val="0000EE"/>
                </w:rPr>
                <w:t>10.</w:t>
              </w:r>
              <w:r>
                <w:rPr>
                  <w:rFonts w:ascii="Arial" w:cs="Arial" w:eastAsia="Arial" w:hAnsi="Arial"/>
                  <w:sz w:val="15"/>
                  <w:szCs w:val="15"/>
                  <w:u w:val="single" w:color="auto"/>
                  <w:color w:val="0000EE"/>
                </w:rPr>
                <w:t>22(a)</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1"/>
              </w:rPr>
              <w:t>Share Transfer and Note Cancellation Agreement dated April 30, 2020 between ACM Research, Inc. and Shengxin (Shanghai) Management Consulting Limited</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Partnership (incorporated herein by reference to Exhibit 10.03 to the Quarterly Report on Form 10-Q filed on May 8, 2020)</w:t>
            </w:r>
          </w:p>
        </w:tc>
      </w:tr>
      <w:tr>
        <w:trPr>
          <w:trHeight w:val="147"/>
        </w:trPr>
        <w:tc>
          <w:tcPr>
            <w:tcW w:w="1000" w:type="dxa"/>
            <w:vAlign w:val="bottom"/>
            <w:gridSpan w:val="6"/>
          </w:tcPr>
          <w:p>
            <w:pPr>
              <w:spacing w:after="0" w:line="147" w:lineRule="exact"/>
              <w:rPr>
                <w:rFonts w:ascii="Arial" w:cs="Arial" w:eastAsia="Arial" w:hAnsi="Arial"/>
                <w:sz w:val="15"/>
                <w:szCs w:val="15"/>
                <w:color w:val="0000EE"/>
              </w:rPr>
            </w:pPr>
            <w:hyperlink r:id="rId178">
              <w:r>
                <w:rPr>
                  <w:rFonts w:ascii="Arial" w:cs="Arial" w:eastAsia="Arial" w:hAnsi="Arial"/>
                  <w:sz w:val="15"/>
                  <w:szCs w:val="15"/>
                  <w:color w:val="0000EE"/>
                </w:rPr>
                <w:t>10.</w:t>
              </w:r>
              <w:r>
                <w:rPr>
                  <w:rFonts w:ascii="Arial" w:cs="Arial" w:eastAsia="Arial" w:hAnsi="Arial"/>
                  <w:sz w:val="15"/>
                  <w:szCs w:val="15"/>
                  <w:u w:val="single" w:color="auto"/>
                  <w:color w:val="0000EE"/>
                </w:rPr>
                <w:t>22(b)</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0"/>
              </w:rPr>
              <w:t>Amendment No. 1 to Share Transfer and Note Cancellation Agreement dated July 29, 2020 between ACM Research, Inc. and Shengxin (Shanghai) Management</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w w:val="99"/>
              </w:rPr>
              <w:t>Consulting Limited Partnership (incorporated herein by reference to Exhibit 10.01 to the Quarterly Report on Form 10-Q filed on November 9, 2020)</w:t>
            </w:r>
          </w:p>
        </w:tc>
      </w:tr>
      <w:tr>
        <w:trPr>
          <w:trHeight w:val="148"/>
        </w:trPr>
        <w:tc>
          <w:tcPr>
            <w:tcW w:w="1000" w:type="dxa"/>
            <w:vAlign w:val="bottom"/>
            <w:gridSpan w:val="6"/>
            <w:shd w:val="clear" w:color="auto" w:fill="CCEEFF"/>
          </w:tcPr>
          <w:p>
            <w:pPr>
              <w:spacing w:after="0" w:line="149" w:lineRule="exact"/>
              <w:rPr>
                <w:rFonts w:ascii="Arial" w:cs="Arial" w:eastAsia="Arial" w:hAnsi="Arial"/>
                <w:sz w:val="15"/>
                <w:szCs w:val="15"/>
                <w:color w:val="0000EE"/>
              </w:rPr>
            </w:pPr>
            <w:hyperlink r:id="rId179">
              <w:r>
                <w:rPr>
                  <w:rFonts w:ascii="Arial" w:cs="Arial" w:eastAsia="Arial" w:hAnsi="Arial"/>
                  <w:sz w:val="15"/>
                  <w:szCs w:val="15"/>
                  <w:color w:val="0000EE"/>
                </w:rPr>
                <w:t>10.</w:t>
              </w:r>
              <w:r>
                <w:rPr>
                  <w:rFonts w:ascii="Arial" w:cs="Arial" w:eastAsia="Arial" w:hAnsi="Arial"/>
                  <w:sz w:val="15"/>
                  <w:szCs w:val="15"/>
                  <w:u w:val="single" w:color="auto"/>
                  <w:color w:val="0000EE"/>
                </w:rPr>
                <w:t>23‡†</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2"/>
              </w:rPr>
              <w:t>Grant Contract for State-owned Construction Land Use Right in Shanghai City (Category of R&amp;D Headquarters and Industrial Projects) dated as of May 7, 2020</w:t>
            </w:r>
          </w:p>
        </w:tc>
      </w:tr>
      <w:tr>
        <w:trPr>
          <w:trHeight w:val="184"/>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w w:val="92"/>
              </w:rPr>
              <w:t>between ACM Research (Lingang), Inc. and China (Shanghai) Pilot Free Trade Zone Lin-gang Special Area Administration (incorporated herein by reference to</w:t>
            </w:r>
          </w:p>
        </w:tc>
      </w:tr>
      <w:tr>
        <w:trPr>
          <w:trHeight w:val="192"/>
        </w:trPr>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Exhibit 10.01 to the Current Report on Form 8-K filed on May 13, 2020)</w:t>
            </w:r>
          </w:p>
        </w:tc>
      </w:tr>
      <w:tr>
        <w:trPr>
          <w:trHeight w:val="147"/>
        </w:trPr>
        <w:tc>
          <w:tcPr>
            <w:tcW w:w="1000" w:type="dxa"/>
            <w:vAlign w:val="bottom"/>
            <w:gridSpan w:val="6"/>
          </w:tcPr>
          <w:p>
            <w:pPr>
              <w:spacing w:after="0" w:line="147" w:lineRule="exact"/>
              <w:rPr>
                <w:rFonts w:ascii="Arial" w:cs="Arial" w:eastAsia="Arial" w:hAnsi="Arial"/>
                <w:sz w:val="15"/>
                <w:szCs w:val="15"/>
                <w:color w:val="0000EE"/>
              </w:rPr>
            </w:pPr>
            <w:hyperlink r:id="rId180">
              <w:r>
                <w:rPr>
                  <w:rFonts w:ascii="Arial" w:cs="Arial" w:eastAsia="Arial" w:hAnsi="Arial"/>
                  <w:sz w:val="15"/>
                  <w:szCs w:val="15"/>
                  <w:color w:val="0000EE"/>
                </w:rPr>
                <w:t>10.</w:t>
              </w:r>
              <w:r>
                <w:rPr>
                  <w:rFonts w:ascii="Arial" w:cs="Arial" w:eastAsia="Arial" w:hAnsi="Arial"/>
                  <w:sz w:val="15"/>
                  <w:szCs w:val="15"/>
                  <w:u w:val="single" w:color="auto"/>
                  <w:color w:val="0000EE"/>
                </w:rPr>
                <w:t>24†</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2"/>
              </w:rPr>
              <w:t>Commitment Letter Regarding the Lock-up of Shares, effective as of May 26, 2020, of ACM Research, Inc. (incorporated herein by reference to Exhibit 10.01 to</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the Current Report on Form 8-K filed on June 1, 2020)</w:t>
            </w:r>
          </w:p>
        </w:tc>
      </w:tr>
      <w:tr>
        <w:trPr>
          <w:trHeight w:val="148"/>
        </w:trPr>
        <w:tc>
          <w:tcPr>
            <w:tcW w:w="1000" w:type="dxa"/>
            <w:vAlign w:val="bottom"/>
            <w:gridSpan w:val="6"/>
            <w:shd w:val="clear" w:color="auto" w:fill="CCEEFF"/>
          </w:tcPr>
          <w:p>
            <w:pPr>
              <w:spacing w:after="0" w:line="149" w:lineRule="exact"/>
              <w:rPr>
                <w:rFonts w:ascii="Arial" w:cs="Arial" w:eastAsia="Arial" w:hAnsi="Arial"/>
                <w:sz w:val="15"/>
                <w:szCs w:val="15"/>
                <w:color w:val="0000EE"/>
              </w:rPr>
            </w:pPr>
            <w:hyperlink r:id="rId181">
              <w:r>
                <w:rPr>
                  <w:rFonts w:ascii="Arial" w:cs="Arial" w:eastAsia="Arial" w:hAnsi="Arial"/>
                  <w:sz w:val="15"/>
                  <w:szCs w:val="15"/>
                  <w:color w:val="0000EE"/>
                </w:rPr>
                <w:t>10.</w:t>
              </w:r>
              <w:r>
                <w:rPr>
                  <w:rFonts w:ascii="Arial" w:cs="Arial" w:eastAsia="Arial" w:hAnsi="Arial"/>
                  <w:sz w:val="15"/>
                  <w:szCs w:val="15"/>
                  <w:u w:val="single" w:color="auto"/>
                  <w:color w:val="0000EE"/>
                </w:rPr>
                <w:t>25†</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1"/>
              </w:rPr>
              <w:t>Commitment Letter Regarding Shareholding Intent and Intent to Reduce Shareholding, effective as of May 26, 2020, of ACM Research, Inc. and David H. Wang</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(incorporated herein by reference to Exhibit 10.02 to the Current Report to Form 8-K filed on June 1, 2020)</w:t>
            </w:r>
          </w:p>
        </w:tc>
      </w:tr>
      <w:tr>
        <w:trPr>
          <w:trHeight w:val="147"/>
        </w:trPr>
        <w:tc>
          <w:tcPr>
            <w:tcW w:w="1000" w:type="dxa"/>
            <w:vAlign w:val="bottom"/>
            <w:gridSpan w:val="6"/>
          </w:tcPr>
          <w:p>
            <w:pPr>
              <w:spacing w:after="0" w:line="147" w:lineRule="exact"/>
              <w:rPr>
                <w:rFonts w:ascii="Arial" w:cs="Arial" w:eastAsia="Arial" w:hAnsi="Arial"/>
                <w:sz w:val="15"/>
                <w:szCs w:val="15"/>
                <w:color w:val="0000EE"/>
              </w:rPr>
            </w:pPr>
            <w:hyperlink r:id="rId182">
              <w:r>
                <w:rPr>
                  <w:rFonts w:ascii="Arial" w:cs="Arial" w:eastAsia="Arial" w:hAnsi="Arial"/>
                  <w:sz w:val="15"/>
                  <w:szCs w:val="15"/>
                  <w:color w:val="0000EE"/>
                </w:rPr>
                <w:t>10.</w:t>
              </w:r>
              <w:r>
                <w:rPr>
                  <w:rFonts w:ascii="Arial" w:cs="Arial" w:eastAsia="Arial" w:hAnsi="Arial"/>
                  <w:sz w:val="15"/>
                  <w:szCs w:val="15"/>
                  <w:u w:val="single" w:color="auto"/>
                  <w:color w:val="0000EE"/>
                </w:rPr>
                <w:t>26†</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6"/>
              </w:rPr>
              <w:t>Commitment Letter Regarding the Plan and Binding Measures for Stabilizing the Stock Price of ACM Research (Shanghai), Inc. Within Three Years After</w:t>
            </w:r>
          </w:p>
        </w:tc>
      </w:tr>
      <w:tr>
        <w:trPr>
          <w:trHeight w:val="18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w w:val="94"/>
              </w:rPr>
              <w:t>Listing, effective as of May 26, 2020, of ACM Research, Inc., ACM Research (Shanghai), Inc., and certain individuals named therein (incorporated herein by</w:t>
            </w:r>
          </w:p>
        </w:tc>
      </w:tr>
      <w:tr>
        <w:trPr>
          <w:trHeight w:val="190"/>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reference to Exhibit 10.03 to the Current Report on Form 8-K filed on June 1, 2020)</w:t>
            </w:r>
          </w:p>
        </w:tc>
      </w:tr>
      <w:tr>
        <w:trPr>
          <w:trHeight w:val="148"/>
        </w:trPr>
        <w:tc>
          <w:tcPr>
            <w:tcW w:w="1000" w:type="dxa"/>
            <w:vAlign w:val="bottom"/>
            <w:gridSpan w:val="6"/>
            <w:shd w:val="clear" w:color="auto" w:fill="CCEEFF"/>
          </w:tcPr>
          <w:p>
            <w:pPr>
              <w:spacing w:after="0" w:line="149" w:lineRule="exact"/>
              <w:rPr>
                <w:rFonts w:ascii="Arial" w:cs="Arial" w:eastAsia="Arial" w:hAnsi="Arial"/>
                <w:sz w:val="15"/>
                <w:szCs w:val="15"/>
                <w:color w:val="0000EE"/>
              </w:rPr>
            </w:pPr>
            <w:hyperlink r:id="rId183">
              <w:r>
                <w:rPr>
                  <w:rFonts w:ascii="Arial" w:cs="Arial" w:eastAsia="Arial" w:hAnsi="Arial"/>
                  <w:sz w:val="15"/>
                  <w:szCs w:val="15"/>
                  <w:color w:val="0000EE"/>
                </w:rPr>
                <w:t>10.</w:t>
              </w:r>
              <w:r>
                <w:rPr>
                  <w:rFonts w:ascii="Arial" w:cs="Arial" w:eastAsia="Arial" w:hAnsi="Arial"/>
                  <w:sz w:val="15"/>
                  <w:szCs w:val="15"/>
                  <w:u w:val="single" w:color="auto"/>
                  <w:color w:val="0000EE"/>
                </w:rPr>
                <w:t>27†</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2"/>
              </w:rPr>
              <w:t>Commitment Letter Regarding Fraudulent Issuance of Listed Shares, effective as of May 26, 2020, of ACM Research, Inc., ACM Research (Shanghai), Inc. and</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David H. Wang (incorporated herein by reference to Exhibit 10.04 to the Current Report on Form 8-K filed on June 1, 2020)</w:t>
            </w:r>
          </w:p>
        </w:tc>
      </w:tr>
      <w:tr>
        <w:trPr>
          <w:trHeight w:val="147"/>
        </w:trPr>
        <w:tc>
          <w:tcPr>
            <w:tcW w:w="1000" w:type="dxa"/>
            <w:vAlign w:val="bottom"/>
            <w:gridSpan w:val="6"/>
          </w:tcPr>
          <w:p>
            <w:pPr>
              <w:spacing w:after="0" w:line="147" w:lineRule="exact"/>
              <w:rPr>
                <w:rFonts w:ascii="Arial" w:cs="Arial" w:eastAsia="Arial" w:hAnsi="Arial"/>
                <w:sz w:val="15"/>
                <w:szCs w:val="15"/>
                <w:color w:val="0000EE"/>
              </w:rPr>
            </w:pPr>
            <w:hyperlink r:id="rId184">
              <w:r>
                <w:rPr>
                  <w:rFonts w:ascii="Arial" w:cs="Arial" w:eastAsia="Arial" w:hAnsi="Arial"/>
                  <w:sz w:val="15"/>
                  <w:szCs w:val="15"/>
                  <w:color w:val="0000EE"/>
                </w:rPr>
                <w:t>10.</w:t>
              </w:r>
              <w:r>
                <w:rPr>
                  <w:rFonts w:ascii="Arial" w:cs="Arial" w:eastAsia="Arial" w:hAnsi="Arial"/>
                  <w:sz w:val="15"/>
                  <w:szCs w:val="15"/>
                  <w:u w:val="single" w:color="auto"/>
                  <w:color w:val="0000EE"/>
                </w:rPr>
                <w:t>28‡†</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3"/>
              </w:rPr>
              <w:t>Commitment Letter Regarding the Lack of False Records, Misleading Statements or Major Omissions in the Preliminary Information Document, effective as of</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May 26, 2020, of ACM Research, Inc. (incorporated herein by reference to Exhibit 10.05 to the Current Report on Form 8-K filed on June 1, 2020)</w:t>
            </w:r>
          </w:p>
        </w:tc>
      </w:tr>
      <w:tr>
        <w:trPr>
          <w:trHeight w:val="148"/>
        </w:trPr>
        <w:tc>
          <w:tcPr>
            <w:tcW w:w="1000" w:type="dxa"/>
            <w:vAlign w:val="bottom"/>
            <w:gridSpan w:val="6"/>
            <w:shd w:val="clear" w:color="auto" w:fill="CCEEFF"/>
          </w:tcPr>
          <w:p>
            <w:pPr>
              <w:spacing w:after="0" w:line="149" w:lineRule="exact"/>
              <w:rPr>
                <w:rFonts w:ascii="Arial" w:cs="Arial" w:eastAsia="Arial" w:hAnsi="Arial"/>
                <w:sz w:val="15"/>
                <w:szCs w:val="15"/>
                <w:color w:val="0000EE"/>
              </w:rPr>
            </w:pPr>
            <w:hyperlink r:id="rId185">
              <w:r>
                <w:rPr>
                  <w:rFonts w:ascii="Arial" w:cs="Arial" w:eastAsia="Arial" w:hAnsi="Arial"/>
                  <w:sz w:val="15"/>
                  <w:szCs w:val="15"/>
                  <w:color w:val="0000EE"/>
                </w:rPr>
                <w:t>10.</w:t>
              </w:r>
              <w:r>
                <w:rPr>
                  <w:rFonts w:ascii="Arial" w:cs="Arial" w:eastAsia="Arial" w:hAnsi="Arial"/>
                  <w:sz w:val="15"/>
                  <w:szCs w:val="15"/>
                  <w:u w:val="single" w:color="auto"/>
                  <w:color w:val="0000EE"/>
                </w:rPr>
                <w:t>29†</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8"/>
              </w:rPr>
              <w:t>Commitment Letter Regarding Making Up for Diluted Immediate Returns, effective as of May 26, 2020, of ACM Research, Inc. (incorporated herein by</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reference to Exhibit 10.06 to the Current Report on Form 8-K filed on June 1, 2020)</w:t>
            </w:r>
          </w:p>
        </w:tc>
      </w:tr>
      <w:tr>
        <w:trPr>
          <w:trHeight w:val="147"/>
        </w:trPr>
        <w:tc>
          <w:tcPr>
            <w:tcW w:w="1000" w:type="dxa"/>
            <w:vAlign w:val="bottom"/>
            <w:gridSpan w:val="6"/>
          </w:tcPr>
          <w:p>
            <w:pPr>
              <w:spacing w:after="0" w:line="147" w:lineRule="exact"/>
              <w:rPr>
                <w:rFonts w:ascii="Arial" w:cs="Arial" w:eastAsia="Arial" w:hAnsi="Arial"/>
                <w:sz w:val="15"/>
                <w:szCs w:val="15"/>
                <w:color w:val="0000EE"/>
              </w:rPr>
            </w:pPr>
            <w:hyperlink r:id="rId186">
              <w:r>
                <w:rPr>
                  <w:rFonts w:ascii="Arial" w:cs="Arial" w:eastAsia="Arial" w:hAnsi="Arial"/>
                  <w:sz w:val="15"/>
                  <w:szCs w:val="15"/>
                  <w:color w:val="0000EE"/>
                </w:rPr>
                <w:t>10.</w:t>
              </w:r>
              <w:r>
                <w:rPr>
                  <w:rFonts w:ascii="Arial" w:cs="Arial" w:eastAsia="Arial" w:hAnsi="Arial"/>
                  <w:sz w:val="15"/>
                  <w:szCs w:val="15"/>
                  <w:u w:val="single" w:color="auto"/>
                  <w:color w:val="0000EE"/>
                </w:rPr>
                <w:t>30‡†</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7"/>
              </w:rPr>
              <w:t>Commitment Letter Regarding Unfulfilled Commitment on Binding Measures, effective as of May 26, 2020, of ACM Research, Inc. and David H. Wang</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(incorporated herein by reference to Exhibit 10.07 to the Current Report on Form 8-K filed on June 1, 2020)</w:t>
            </w:r>
          </w:p>
        </w:tc>
      </w:tr>
      <w:tr>
        <w:trPr>
          <w:trHeight w:val="148"/>
        </w:trPr>
        <w:tc>
          <w:tcPr>
            <w:tcW w:w="1000" w:type="dxa"/>
            <w:vAlign w:val="bottom"/>
            <w:gridSpan w:val="6"/>
            <w:shd w:val="clear" w:color="auto" w:fill="CCEEFF"/>
          </w:tcPr>
          <w:p>
            <w:pPr>
              <w:spacing w:after="0" w:line="149" w:lineRule="exact"/>
              <w:rPr>
                <w:rFonts w:ascii="Arial" w:cs="Arial" w:eastAsia="Arial" w:hAnsi="Arial"/>
                <w:sz w:val="15"/>
                <w:szCs w:val="15"/>
                <w:color w:val="0000EE"/>
              </w:rPr>
            </w:pPr>
            <w:hyperlink r:id="rId187">
              <w:r>
                <w:rPr>
                  <w:rFonts w:ascii="Arial" w:cs="Arial" w:eastAsia="Arial" w:hAnsi="Arial"/>
                  <w:sz w:val="15"/>
                  <w:szCs w:val="15"/>
                  <w:color w:val="0000EE"/>
                </w:rPr>
                <w:t>10.</w:t>
              </w:r>
              <w:r>
                <w:rPr>
                  <w:rFonts w:ascii="Arial" w:cs="Arial" w:eastAsia="Arial" w:hAnsi="Arial"/>
                  <w:sz w:val="15"/>
                  <w:szCs w:val="15"/>
                  <w:u w:val="single" w:color="auto"/>
                  <w:color w:val="0000EE"/>
                </w:rPr>
                <w:t>31†</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2"/>
              </w:rPr>
              <w:t>Commitment Letter Regarding the Avoidance of Competition in the Same Industry, effective as of May 26, 2020, of ACM Research, Inc. (incorporated herein by</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reference to Exhibit 10.08 to the Current Report on Form 8-K filed on June 1, 2020)</w:t>
            </w:r>
          </w:p>
        </w:tc>
      </w:tr>
      <w:tr>
        <w:trPr>
          <w:trHeight w:val="147"/>
        </w:trPr>
        <w:tc>
          <w:tcPr>
            <w:tcW w:w="1000" w:type="dxa"/>
            <w:vAlign w:val="bottom"/>
            <w:gridSpan w:val="6"/>
          </w:tcPr>
          <w:p>
            <w:pPr>
              <w:spacing w:after="0" w:line="147" w:lineRule="exact"/>
              <w:rPr>
                <w:rFonts w:ascii="Arial" w:cs="Arial" w:eastAsia="Arial" w:hAnsi="Arial"/>
                <w:sz w:val="15"/>
                <w:szCs w:val="15"/>
                <w:color w:val="0000EE"/>
              </w:rPr>
            </w:pPr>
            <w:hyperlink r:id="rId188">
              <w:r>
                <w:rPr>
                  <w:rFonts w:ascii="Arial" w:cs="Arial" w:eastAsia="Arial" w:hAnsi="Arial"/>
                  <w:sz w:val="15"/>
                  <w:szCs w:val="15"/>
                  <w:color w:val="0000EE"/>
                </w:rPr>
                <w:t>10.</w:t>
              </w:r>
              <w:r>
                <w:rPr>
                  <w:rFonts w:ascii="Arial" w:cs="Arial" w:eastAsia="Arial" w:hAnsi="Arial"/>
                  <w:sz w:val="15"/>
                  <w:szCs w:val="15"/>
                  <w:u w:val="single" w:color="auto"/>
                  <w:color w:val="0000EE"/>
                </w:rPr>
                <w:t>32†</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3"/>
              </w:rPr>
              <w:t>Commitment Letter Regarding the Standardization and Reduction of Related Transactions, effective as of May 26, 2020, of ACM Research, Inc. (incorporated</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herein by reference to Exhibit 10.09 to the Current Report on Form 8-K filed on June 1, 2020)</w:t>
            </w:r>
          </w:p>
        </w:tc>
      </w:tr>
      <w:tr>
        <w:trPr>
          <w:trHeight w:val="148"/>
        </w:trPr>
        <w:tc>
          <w:tcPr>
            <w:tcW w:w="1000" w:type="dxa"/>
            <w:vAlign w:val="bottom"/>
            <w:gridSpan w:val="6"/>
            <w:shd w:val="clear" w:color="auto" w:fill="CCEEFF"/>
          </w:tcPr>
          <w:p>
            <w:pPr>
              <w:spacing w:after="0" w:line="149" w:lineRule="exact"/>
              <w:rPr>
                <w:rFonts w:ascii="Arial" w:cs="Arial" w:eastAsia="Arial" w:hAnsi="Arial"/>
                <w:sz w:val="15"/>
                <w:szCs w:val="15"/>
                <w:color w:val="0000EE"/>
              </w:rPr>
            </w:pPr>
            <w:hyperlink r:id="rId189">
              <w:r>
                <w:rPr>
                  <w:rFonts w:ascii="Arial" w:cs="Arial" w:eastAsia="Arial" w:hAnsi="Arial"/>
                  <w:sz w:val="15"/>
                  <w:szCs w:val="15"/>
                  <w:color w:val="0000EE"/>
                </w:rPr>
                <w:t>10.</w:t>
              </w:r>
              <w:r>
                <w:rPr>
                  <w:rFonts w:ascii="Arial" w:cs="Arial" w:eastAsia="Arial" w:hAnsi="Arial"/>
                  <w:sz w:val="15"/>
                  <w:szCs w:val="15"/>
                  <w:u w:val="single" w:color="auto"/>
                  <w:color w:val="0000EE"/>
                </w:rPr>
                <w:t>33†</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3"/>
              </w:rPr>
              <w:t>Commitment Letter Regarding the Avoidance of Funds Occupation and Illegal Guarantee, effective as of May 26, 2020, of ACM Research, Inc. (incorporated</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herein by reference to Exhibit 10.10 to the Current Report on Form 8-K filed on June 1, 2020)</w:t>
            </w:r>
          </w:p>
        </w:tc>
      </w:tr>
      <w:tr>
        <w:trPr>
          <w:trHeight w:val="477"/>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60" w:type="dxa"/>
            <w:vAlign w:val="bottom"/>
          </w:tcPr>
          <w:p>
            <w:pPr>
              <w:ind w:left="4540"/>
              <w:spacing w:after="0"/>
              <w:rPr>
                <w:sz w:val="20"/>
                <w:szCs w:val="20"/>
                <w:color w:val="auto"/>
              </w:rPr>
            </w:pPr>
            <w:r>
              <w:rPr>
                <w:rFonts w:ascii="Arial" w:cs="Arial" w:eastAsia="Arial" w:hAnsi="Arial"/>
                <w:sz w:val="12"/>
                <w:szCs w:val="12"/>
                <w:color w:val="auto"/>
              </w:rPr>
              <w:t>131</w:t>
            </w:r>
          </w:p>
        </w:tc>
      </w:tr>
      <w:tr>
        <w:trPr>
          <w:trHeight w:val="34"/>
        </w:trPr>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31" w:name="page132"/>
    <w:bookmarkEnd w:id="13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 w:type="dxa"/>
            <w:vAlign w:val="bottom"/>
            <w:gridSpan w:val="5"/>
            <w:shd w:val="clear" w:color="auto" w:fill="CCEEFF"/>
          </w:tcPr>
          <w:p>
            <w:pPr>
              <w:spacing w:after="0"/>
              <w:rPr>
                <w:rFonts w:ascii="Arial" w:cs="Arial" w:eastAsia="Arial" w:hAnsi="Arial"/>
                <w:sz w:val="15"/>
                <w:szCs w:val="15"/>
                <w:color w:val="0000EE"/>
              </w:rPr>
            </w:pPr>
            <w:hyperlink r:id="rId190">
              <w:r>
                <w:rPr>
                  <w:rFonts w:ascii="Arial" w:cs="Arial" w:eastAsia="Arial" w:hAnsi="Arial"/>
                  <w:sz w:val="15"/>
                  <w:szCs w:val="15"/>
                  <w:color w:val="0000EE"/>
                </w:rPr>
                <w:t>10.</w:t>
              </w:r>
              <w:r>
                <w:rPr>
                  <w:rFonts w:ascii="Arial" w:cs="Arial" w:eastAsia="Arial" w:hAnsi="Arial"/>
                  <w:sz w:val="15"/>
                  <w:szCs w:val="15"/>
                  <w:u w:val="single" w:color="auto"/>
                  <w:color w:val="0000EE"/>
                </w:rPr>
                <w:t>34‡†</w:t>
              </w:r>
            </w:hyperlink>
          </w:p>
        </w:tc>
        <w:tc>
          <w:tcPr>
            <w:tcW w:w="10260" w:type="dxa"/>
            <w:vAlign w:val="bottom"/>
            <w:shd w:val="clear" w:color="auto" w:fill="CCEEFF"/>
          </w:tcPr>
          <w:p>
            <w:pPr>
              <w:ind w:left="500"/>
              <w:spacing w:after="0"/>
              <w:rPr>
                <w:sz w:val="20"/>
                <w:szCs w:val="20"/>
                <w:color w:val="auto"/>
              </w:rPr>
            </w:pPr>
            <w:r>
              <w:rPr>
                <w:rFonts w:ascii="Arial" w:cs="Arial" w:eastAsia="Arial" w:hAnsi="Arial"/>
                <w:sz w:val="15"/>
                <w:szCs w:val="15"/>
                <w:color w:val="auto"/>
                <w:w w:val="91"/>
              </w:rPr>
              <w:t>Statement and Commitment Letter, effective as of May 26, 2020, of ACM Research, Inc. (incorporated herein by reference to Exhibit 10.11 to the Current Report</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on Form 8-K filed on June 1, 2020)</w:t>
            </w:r>
          </w:p>
        </w:tc>
      </w:tr>
      <w:tr>
        <w:trPr>
          <w:trHeight w:val="147"/>
        </w:trPr>
        <w:tc>
          <w:tcPr>
            <w:tcW w:w="1000" w:type="dxa"/>
            <w:vAlign w:val="bottom"/>
            <w:gridSpan w:val="5"/>
          </w:tcPr>
          <w:p>
            <w:pPr>
              <w:spacing w:after="0" w:line="147" w:lineRule="exact"/>
              <w:rPr>
                <w:rFonts w:ascii="Arial" w:cs="Arial" w:eastAsia="Arial" w:hAnsi="Arial"/>
                <w:sz w:val="15"/>
                <w:szCs w:val="15"/>
                <w:color w:val="0000EE"/>
              </w:rPr>
            </w:pPr>
            <w:hyperlink r:id="rId191">
              <w:r>
                <w:rPr>
                  <w:rFonts w:ascii="Arial" w:cs="Arial" w:eastAsia="Arial" w:hAnsi="Arial"/>
                  <w:sz w:val="15"/>
                  <w:szCs w:val="15"/>
                  <w:color w:val="0000EE"/>
                </w:rPr>
                <w:t>10.</w:t>
              </w:r>
              <w:r>
                <w:rPr>
                  <w:rFonts w:ascii="Arial" w:cs="Arial" w:eastAsia="Arial" w:hAnsi="Arial"/>
                  <w:sz w:val="15"/>
                  <w:szCs w:val="15"/>
                  <w:u w:val="single" w:color="auto"/>
                  <w:color w:val="0000EE"/>
                </w:rPr>
                <w:t>35†</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2"/>
              </w:rPr>
              <w:t>Commitment Letter Regarding Property Lease Matters, effective as of May 26, 2020, of ACM Research, Inc. (incorporated herein by reference to Exhibit 10.12</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to the Current Report on Form 8-K filed on June 1, 2020)</w:t>
            </w:r>
          </w:p>
        </w:tc>
      </w:tr>
      <w:tr>
        <w:trPr>
          <w:trHeight w:val="148"/>
        </w:trPr>
        <w:tc>
          <w:tcPr>
            <w:tcW w:w="1000" w:type="dxa"/>
            <w:vAlign w:val="bottom"/>
            <w:gridSpan w:val="5"/>
            <w:shd w:val="clear" w:color="auto" w:fill="CCEEFF"/>
          </w:tcPr>
          <w:p>
            <w:pPr>
              <w:spacing w:after="0" w:line="149" w:lineRule="exact"/>
              <w:rPr>
                <w:rFonts w:ascii="Arial" w:cs="Arial" w:eastAsia="Arial" w:hAnsi="Arial"/>
                <w:sz w:val="15"/>
                <w:szCs w:val="15"/>
                <w:color w:val="0000EE"/>
              </w:rPr>
            </w:pPr>
            <w:hyperlink r:id="rId192">
              <w:r>
                <w:rPr>
                  <w:rFonts w:ascii="Arial" w:cs="Arial" w:eastAsia="Arial" w:hAnsi="Arial"/>
                  <w:sz w:val="15"/>
                  <w:szCs w:val="15"/>
                  <w:color w:val="0000EE"/>
                </w:rPr>
                <w:t>10.</w:t>
              </w:r>
              <w:r>
                <w:rPr>
                  <w:rFonts w:ascii="Arial" w:cs="Arial" w:eastAsia="Arial" w:hAnsi="Arial"/>
                  <w:sz w:val="15"/>
                  <w:szCs w:val="15"/>
                  <w:u w:val="single" w:color="auto"/>
                  <w:color w:val="0000EE"/>
                </w:rPr>
                <w:t>36†</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2"/>
              </w:rPr>
              <w:t>Commitment Letter Regarding Social Insurance and Housing Provident Fund Matters, effective as of May 26, 2020, of ACM Research, Inc. (incorporated herein</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by reference to Exhibit 10.13 to the Current Report on Form 8-K filed on June 1, 2020)</w:t>
            </w:r>
          </w:p>
        </w:tc>
      </w:tr>
      <w:tr>
        <w:trPr>
          <w:trHeight w:val="147"/>
        </w:trPr>
        <w:tc>
          <w:tcPr>
            <w:tcW w:w="1000" w:type="dxa"/>
            <w:vAlign w:val="bottom"/>
            <w:gridSpan w:val="5"/>
          </w:tcPr>
          <w:p>
            <w:pPr>
              <w:spacing w:after="0" w:line="147" w:lineRule="exact"/>
              <w:rPr>
                <w:rFonts w:ascii="Arial" w:cs="Arial" w:eastAsia="Arial" w:hAnsi="Arial"/>
                <w:sz w:val="15"/>
                <w:szCs w:val="15"/>
                <w:color w:val="0000EE"/>
              </w:rPr>
            </w:pPr>
            <w:hyperlink r:id="rId193">
              <w:r>
                <w:rPr>
                  <w:rFonts w:ascii="Arial" w:cs="Arial" w:eastAsia="Arial" w:hAnsi="Arial"/>
                  <w:sz w:val="15"/>
                  <w:szCs w:val="15"/>
                  <w:color w:val="0000EE"/>
                </w:rPr>
                <w:t>10.</w:t>
              </w:r>
              <w:r>
                <w:rPr>
                  <w:rFonts w:ascii="Arial" w:cs="Arial" w:eastAsia="Arial" w:hAnsi="Arial"/>
                  <w:sz w:val="15"/>
                  <w:szCs w:val="15"/>
                  <w:u w:val="single" w:color="auto"/>
                  <w:color w:val="0000EE"/>
                </w:rPr>
                <w:t>37†</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4"/>
              </w:rPr>
              <w:t>Commitment Letter Regarding Foreign Exchange Matters, effective as of May 26, 2020, of ACM Research, Inc. (incorporated herein by reference to Exhibit</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10.14 to the Current Report on Form 8-K filed on June 1, 2020)</w:t>
            </w:r>
          </w:p>
        </w:tc>
      </w:tr>
      <w:tr>
        <w:trPr>
          <w:trHeight w:val="148"/>
        </w:trPr>
        <w:tc>
          <w:tcPr>
            <w:tcW w:w="1000" w:type="dxa"/>
            <w:vAlign w:val="bottom"/>
            <w:gridSpan w:val="5"/>
            <w:shd w:val="clear" w:color="auto" w:fill="CCEEFF"/>
          </w:tcPr>
          <w:p>
            <w:pPr>
              <w:spacing w:after="0" w:line="149" w:lineRule="exact"/>
              <w:rPr>
                <w:rFonts w:ascii="Arial" w:cs="Arial" w:eastAsia="Arial" w:hAnsi="Arial"/>
                <w:sz w:val="15"/>
                <w:szCs w:val="15"/>
                <w:color w:val="0000EE"/>
              </w:rPr>
            </w:pPr>
            <w:hyperlink r:id="rId194">
              <w:r>
                <w:rPr>
                  <w:rFonts w:ascii="Arial" w:cs="Arial" w:eastAsia="Arial" w:hAnsi="Arial"/>
                  <w:sz w:val="15"/>
                  <w:szCs w:val="15"/>
                  <w:color w:val="0000EE"/>
                </w:rPr>
                <w:t>10.</w:t>
              </w:r>
              <w:r>
                <w:rPr>
                  <w:rFonts w:ascii="Arial" w:cs="Arial" w:eastAsia="Arial" w:hAnsi="Arial"/>
                  <w:sz w:val="15"/>
                  <w:szCs w:val="15"/>
                  <w:u w:val="single" w:color="auto"/>
                  <w:color w:val="0000EE"/>
                </w:rPr>
                <w:t>38†</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4"/>
              </w:rPr>
              <w:t>Confirmation and Commitment Letter Regarding the Historical Evolution Related Matters Regarding ACM Research (Shanghai), Inc., effective as of May 26,</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2020, of ACM Research, Inc. (incorporated herein by reference to Exhibit 10.15 to the Current Report on Form 8-K filed on June 1, 2020)</w:t>
            </w:r>
          </w:p>
        </w:tc>
      </w:tr>
      <w:tr>
        <w:trPr>
          <w:trHeight w:val="147"/>
        </w:trPr>
        <w:tc>
          <w:tcPr>
            <w:tcW w:w="1000" w:type="dxa"/>
            <w:vAlign w:val="bottom"/>
            <w:gridSpan w:val="5"/>
          </w:tcPr>
          <w:p>
            <w:pPr>
              <w:spacing w:after="0" w:line="147" w:lineRule="exact"/>
              <w:rPr>
                <w:rFonts w:ascii="Arial" w:cs="Arial" w:eastAsia="Arial" w:hAnsi="Arial"/>
                <w:sz w:val="15"/>
                <w:szCs w:val="15"/>
                <w:color w:val="0000EE"/>
              </w:rPr>
            </w:pPr>
            <w:hyperlink r:id="rId195">
              <w:r>
                <w:rPr>
                  <w:rFonts w:ascii="Arial" w:cs="Arial" w:eastAsia="Arial" w:hAnsi="Arial"/>
                  <w:sz w:val="15"/>
                  <w:szCs w:val="15"/>
                  <w:color w:val="0000EE"/>
                </w:rPr>
                <w:t>10.</w:t>
              </w:r>
              <w:r>
                <w:rPr>
                  <w:rFonts w:ascii="Arial" w:cs="Arial" w:eastAsia="Arial" w:hAnsi="Arial"/>
                  <w:sz w:val="15"/>
                  <w:szCs w:val="15"/>
                  <w:u w:val="single" w:color="auto"/>
                  <w:color w:val="0000EE"/>
                </w:rPr>
                <w:t>39†</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2"/>
              </w:rPr>
              <w:t>Confirmation Letter, effective as of May 26, 2020, of ACM Research, Inc. (incorporated herein by reference to Exhibit 10.16 to the Current Report on Form 8-K</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filed on June 1, 2020)</w:t>
            </w:r>
          </w:p>
        </w:tc>
      </w:tr>
      <w:tr>
        <w:trPr>
          <w:trHeight w:val="148"/>
        </w:trPr>
        <w:tc>
          <w:tcPr>
            <w:tcW w:w="1000" w:type="dxa"/>
            <w:vAlign w:val="bottom"/>
            <w:gridSpan w:val="5"/>
            <w:shd w:val="clear" w:color="auto" w:fill="CCEEFF"/>
          </w:tcPr>
          <w:p>
            <w:pPr>
              <w:spacing w:after="0" w:line="149" w:lineRule="exact"/>
              <w:rPr>
                <w:rFonts w:ascii="Arial" w:cs="Arial" w:eastAsia="Arial" w:hAnsi="Arial"/>
                <w:sz w:val="15"/>
                <w:szCs w:val="15"/>
                <w:color w:val="0000EE"/>
              </w:rPr>
            </w:pPr>
            <w:hyperlink r:id="rId196">
              <w:r>
                <w:rPr>
                  <w:rFonts w:ascii="Arial" w:cs="Arial" w:eastAsia="Arial" w:hAnsi="Arial"/>
                  <w:sz w:val="15"/>
                  <w:szCs w:val="15"/>
                  <w:color w:val="0000EE"/>
                </w:rPr>
                <w:t>10.</w:t>
              </w:r>
              <w:r>
                <w:rPr>
                  <w:rFonts w:ascii="Arial" w:cs="Arial" w:eastAsia="Arial" w:hAnsi="Arial"/>
                  <w:sz w:val="15"/>
                  <w:szCs w:val="15"/>
                  <w:u w:val="single" w:color="auto"/>
                  <w:color w:val="0000EE"/>
                </w:rPr>
                <w:t>40‡†</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2"/>
              </w:rPr>
              <w:t>Qingdao Fortune-Tech Xinxing Capital Partnership (L.P.) Partnership Agreement, dated June 9, 2020, among China Fortune Tech Capital Co., Ltd., as general</w:t>
            </w:r>
          </w:p>
        </w:tc>
      </w:tr>
      <w:tr>
        <w:trPr>
          <w:trHeight w:val="184"/>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w w:val="95"/>
              </w:rPr>
              <w:t>partner, and the several limited partners named therein, including ACM Research (Shanghai), Inc. (incorporated herein by reference to Exhibit 10.01 to the</w:t>
            </w:r>
          </w:p>
        </w:tc>
      </w:tr>
      <w:tr>
        <w:trPr>
          <w:trHeight w:val="192"/>
        </w:trPr>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Current Report on Form 8-K filed on July 7, 2020)</w:t>
            </w:r>
          </w:p>
        </w:tc>
      </w:tr>
      <w:tr>
        <w:trPr>
          <w:trHeight w:val="147"/>
        </w:trPr>
        <w:tc>
          <w:tcPr>
            <w:tcW w:w="1000" w:type="dxa"/>
            <w:vAlign w:val="bottom"/>
            <w:gridSpan w:val="5"/>
          </w:tcPr>
          <w:p>
            <w:pPr>
              <w:spacing w:after="0" w:line="147" w:lineRule="exact"/>
              <w:rPr>
                <w:rFonts w:ascii="Arial" w:cs="Arial" w:eastAsia="Arial" w:hAnsi="Arial"/>
                <w:sz w:val="15"/>
                <w:szCs w:val="15"/>
                <w:color w:val="0000EE"/>
              </w:rPr>
            </w:pPr>
            <w:hyperlink r:id="rId197">
              <w:r>
                <w:rPr>
                  <w:rFonts w:ascii="Arial" w:cs="Arial" w:eastAsia="Arial" w:hAnsi="Arial"/>
                  <w:sz w:val="15"/>
                  <w:szCs w:val="15"/>
                  <w:color w:val="0000EE"/>
                </w:rPr>
                <w:t>10.</w:t>
              </w:r>
              <w:r>
                <w:rPr>
                  <w:rFonts w:ascii="Arial" w:cs="Arial" w:eastAsia="Arial" w:hAnsi="Arial"/>
                  <w:sz w:val="15"/>
                  <w:szCs w:val="15"/>
                  <w:u w:val="single" w:color="auto"/>
                  <w:color w:val="0000EE"/>
                </w:rPr>
                <w:t>41‡†</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2"/>
              </w:rPr>
              <w:t>Supplementary Agreement to Partnership Agreement of Qingdao Fortune-Tech Xinxing Capital Partnership (L.P.), dated June 15, 2020, among China Fortune</w:t>
            </w:r>
          </w:p>
        </w:tc>
      </w:tr>
      <w:tr>
        <w:trPr>
          <w:trHeight w:val="18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w w:val="94"/>
              </w:rPr>
              <w:t>Tech Capital Co., Ltd., as general partner, and the several limited partners named therein, including ACM Research (Shanghai), Inc. (incorporated herein by</w:t>
            </w:r>
          </w:p>
        </w:tc>
      </w:tr>
      <w:tr>
        <w:trPr>
          <w:trHeight w:val="190"/>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reference to Exhibit 10.02 to the Current Report on Form 8-K filed on July 7, 2020)</w:t>
            </w:r>
          </w:p>
        </w:tc>
      </w:tr>
      <w:tr>
        <w:trPr>
          <w:trHeight w:val="148"/>
        </w:trPr>
        <w:tc>
          <w:tcPr>
            <w:tcW w:w="400" w:type="dxa"/>
            <w:vAlign w:val="bottom"/>
            <w:gridSpan w:val="2"/>
            <w:shd w:val="clear" w:color="auto" w:fill="CCEEFF"/>
          </w:tcPr>
          <w:p>
            <w:pPr>
              <w:spacing w:after="0" w:line="149" w:lineRule="exact"/>
              <w:rPr>
                <w:rFonts w:ascii="Arial" w:cs="Arial" w:eastAsia="Arial" w:hAnsi="Arial"/>
                <w:sz w:val="15"/>
                <w:szCs w:val="15"/>
                <w:color w:val="0000EE"/>
              </w:rPr>
            </w:pPr>
            <w:hyperlink r:id="rId198">
              <w:r>
                <w:rPr>
                  <w:rFonts w:ascii="Arial" w:cs="Arial" w:eastAsia="Arial" w:hAnsi="Arial"/>
                  <w:sz w:val="15"/>
                  <w:szCs w:val="15"/>
                  <w:color w:val="0000EE"/>
                </w:rPr>
                <w:t>10.</w:t>
              </w:r>
              <w:r>
                <w:rPr>
                  <w:rFonts w:ascii="Arial" w:cs="Arial" w:eastAsia="Arial" w:hAnsi="Arial"/>
                  <w:sz w:val="15"/>
                  <w:szCs w:val="15"/>
                  <w:u w:val="single" w:color="auto"/>
                  <w:color w:val="0000EE"/>
                </w:rPr>
                <w:t>42</w:t>
              </w:r>
            </w:hyperlink>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3"/>
              </w:rPr>
              <w:t>Adoption Agreement dated July 29, 2020 between ACM Research, Inc. and Shengxin (Shanghai) Management Consulting Limited Partnership (amending the</w:t>
            </w:r>
          </w:p>
        </w:tc>
      </w:tr>
      <w:tr>
        <w:trPr>
          <w:trHeight w:val="184"/>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w w:val="92"/>
              </w:rPr>
              <w:t>Second Amended and Restated Registration Rights Agreement between ACM Research, Inc. and certain of its stockholders filed with the SEC on October 18,</w:t>
            </w:r>
          </w:p>
        </w:tc>
      </w:tr>
      <w:tr>
        <w:trPr>
          <w:trHeight w:val="181"/>
        </w:trPr>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60" w:type="dxa"/>
            <w:vAlign w:val="bottom"/>
            <w:shd w:val="clear" w:color="auto" w:fill="CCEEFF"/>
          </w:tcPr>
          <w:p>
            <w:pPr>
              <w:ind w:left="500"/>
              <w:spacing w:after="0"/>
              <w:rPr>
                <w:sz w:val="20"/>
                <w:szCs w:val="20"/>
                <w:color w:val="auto"/>
              </w:rPr>
            </w:pPr>
            <w:r>
              <w:rPr>
                <w:rFonts w:ascii="Arial" w:cs="Arial" w:eastAsia="Arial" w:hAnsi="Arial"/>
                <w:sz w:val="15"/>
                <w:szCs w:val="15"/>
                <w:color w:val="auto"/>
                <w:w w:val="91"/>
              </w:rPr>
              <w:t>2017 as Exhibit 10.09 to Amendment No. 1 to Registration Statement on Form S-1) (incorporated herein by reference to Exhibit 10.02 to the Quarterly Report on</w:t>
            </w:r>
          </w:p>
        </w:tc>
      </w:tr>
      <w:tr>
        <w:trPr>
          <w:trHeight w:val="192"/>
        </w:trPr>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Form 10-Q filed on November 9, 2020)</w:t>
            </w:r>
          </w:p>
        </w:tc>
      </w:tr>
      <w:tr>
        <w:trPr>
          <w:trHeight w:val="147"/>
        </w:trPr>
        <w:tc>
          <w:tcPr>
            <w:tcW w:w="1000" w:type="dxa"/>
            <w:vAlign w:val="bottom"/>
            <w:gridSpan w:val="5"/>
          </w:tcPr>
          <w:p>
            <w:pPr>
              <w:spacing w:after="0" w:line="147" w:lineRule="exact"/>
              <w:rPr>
                <w:rFonts w:ascii="Arial" w:cs="Arial" w:eastAsia="Arial" w:hAnsi="Arial"/>
                <w:sz w:val="15"/>
                <w:szCs w:val="15"/>
                <w:color w:val="0000EE"/>
              </w:rPr>
            </w:pPr>
            <w:hyperlink r:id="rId199">
              <w:r>
                <w:rPr>
                  <w:rFonts w:ascii="Arial" w:cs="Arial" w:eastAsia="Arial" w:hAnsi="Arial"/>
                  <w:sz w:val="15"/>
                  <w:szCs w:val="15"/>
                  <w:color w:val="0000EE"/>
                </w:rPr>
                <w:t>10.</w:t>
              </w:r>
              <w:r>
                <w:rPr>
                  <w:rFonts w:ascii="Arial" w:cs="Arial" w:eastAsia="Arial" w:hAnsi="Arial"/>
                  <w:sz w:val="15"/>
                  <w:szCs w:val="15"/>
                  <w:u w:val="single" w:color="auto"/>
                  <w:color w:val="0000EE"/>
                </w:rPr>
                <w:t>43†*</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3"/>
              </w:rPr>
              <w:t>Form of Shanghai Public Rental Housing Overall Pre-Sale Contract (incorporated herein by reference to Exhibit 10.01 to the Current Report on Form 8-K filed</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on February 25, 2021)</w:t>
            </w:r>
          </w:p>
        </w:tc>
      </w:tr>
      <w:tr>
        <w:trPr>
          <w:trHeight w:val="148"/>
        </w:trPr>
        <w:tc>
          <w:tcPr>
            <w:tcW w:w="1000" w:type="dxa"/>
            <w:vAlign w:val="bottom"/>
            <w:gridSpan w:val="5"/>
            <w:shd w:val="clear" w:color="auto" w:fill="CCEEFF"/>
          </w:tcPr>
          <w:p>
            <w:pPr>
              <w:spacing w:after="0" w:line="149" w:lineRule="exact"/>
              <w:rPr>
                <w:rFonts w:ascii="Arial" w:cs="Arial" w:eastAsia="Arial" w:hAnsi="Arial"/>
                <w:sz w:val="15"/>
                <w:szCs w:val="15"/>
                <w:color w:val="0000EE"/>
              </w:rPr>
            </w:pPr>
            <w:hyperlink r:id="rId200">
              <w:r>
                <w:rPr>
                  <w:rFonts w:ascii="Arial" w:cs="Arial" w:eastAsia="Arial" w:hAnsi="Arial"/>
                  <w:sz w:val="15"/>
                  <w:szCs w:val="15"/>
                  <w:color w:val="0000EE"/>
                </w:rPr>
                <w:t>10.</w:t>
              </w:r>
              <w:r>
                <w:rPr>
                  <w:rFonts w:ascii="Arial" w:cs="Arial" w:eastAsia="Arial" w:hAnsi="Arial"/>
                  <w:sz w:val="15"/>
                  <w:szCs w:val="15"/>
                  <w:u w:val="single" w:color="auto"/>
                  <w:color w:val="0000EE"/>
                </w:rPr>
                <w:t>43(a)</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3"/>
              </w:rPr>
              <w:t>Schedule identifying agreements substantially identical to the form of Shanghai Public Rental Housing Overall Pre-Sale Contract filed as Exhibit 10.43 hereto</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(incorporated herein by reference to Exhibit 10.01(a) to the Current Report on Form 8-K filed on February 25, 2021)</w:t>
            </w:r>
          </w:p>
        </w:tc>
      </w:tr>
      <w:tr>
        <w:trPr>
          <w:trHeight w:val="147"/>
        </w:trPr>
        <w:tc>
          <w:tcPr>
            <w:tcW w:w="1000" w:type="dxa"/>
            <w:vAlign w:val="bottom"/>
            <w:gridSpan w:val="5"/>
          </w:tcPr>
          <w:p>
            <w:pPr>
              <w:spacing w:after="0" w:line="147" w:lineRule="exact"/>
              <w:rPr>
                <w:rFonts w:ascii="Arial" w:cs="Arial" w:eastAsia="Arial" w:hAnsi="Arial"/>
                <w:sz w:val="15"/>
                <w:szCs w:val="15"/>
                <w:color w:val="0000EE"/>
              </w:rPr>
            </w:pPr>
            <w:hyperlink r:id="rId201">
              <w:r>
                <w:rPr>
                  <w:rFonts w:ascii="Arial" w:cs="Arial" w:eastAsia="Arial" w:hAnsi="Arial"/>
                  <w:sz w:val="15"/>
                  <w:szCs w:val="15"/>
                  <w:color w:val="0000EE"/>
                </w:rPr>
                <w:t>10.</w:t>
              </w:r>
              <w:r>
                <w:rPr>
                  <w:rFonts w:ascii="Arial" w:cs="Arial" w:eastAsia="Arial" w:hAnsi="Arial"/>
                  <w:sz w:val="15"/>
                  <w:szCs w:val="15"/>
                  <w:u w:val="single" w:color="auto"/>
                  <w:color w:val="0000EE"/>
                </w:rPr>
                <w:t>44†</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1"/>
              </w:rPr>
              <w:t>Loan and Mortgage Contract dated November 19, 2020 between China Merchants Bank Co., Ltd., Shanghai Pilot Free Trade Zone Lin-Gang Special Area Sub-</w:t>
            </w:r>
          </w:p>
        </w:tc>
      </w:tr>
      <w:tr>
        <w:trPr>
          <w:trHeight w:val="18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w w:val="94"/>
              </w:rPr>
              <w:t>branch and Shengwei Research (Shanghai), Inc. (incorporated herein by reference to Exhibit 10.02 to the Current Report on Form 8-K filed on February 25,</w:t>
            </w:r>
          </w:p>
        </w:tc>
      </w:tr>
      <w:tr>
        <w:trPr>
          <w:trHeight w:val="190"/>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2021)</w:t>
            </w:r>
          </w:p>
        </w:tc>
      </w:tr>
      <w:tr>
        <w:trPr>
          <w:trHeight w:val="148"/>
        </w:trPr>
        <w:tc>
          <w:tcPr>
            <w:tcW w:w="1000" w:type="dxa"/>
            <w:vAlign w:val="bottom"/>
            <w:gridSpan w:val="5"/>
            <w:shd w:val="clear" w:color="auto" w:fill="CCEEFF"/>
          </w:tcPr>
          <w:p>
            <w:pPr>
              <w:spacing w:after="0" w:line="149" w:lineRule="exact"/>
              <w:rPr>
                <w:rFonts w:ascii="Arial" w:cs="Arial" w:eastAsia="Arial" w:hAnsi="Arial"/>
                <w:sz w:val="15"/>
                <w:szCs w:val="15"/>
                <w:color w:val="0000EE"/>
              </w:rPr>
            </w:pPr>
            <w:hyperlink r:id="rId202">
              <w:r>
                <w:rPr>
                  <w:rFonts w:ascii="Arial" w:cs="Arial" w:eastAsia="Arial" w:hAnsi="Arial"/>
                  <w:sz w:val="15"/>
                  <w:szCs w:val="15"/>
                  <w:color w:val="0000EE"/>
                </w:rPr>
                <w:t>10.</w:t>
              </w:r>
              <w:r>
                <w:rPr>
                  <w:rFonts w:ascii="Arial" w:cs="Arial" w:eastAsia="Arial" w:hAnsi="Arial"/>
                  <w:sz w:val="15"/>
                  <w:szCs w:val="15"/>
                  <w:u w:val="single" w:color="auto"/>
                  <w:color w:val="0000EE"/>
                </w:rPr>
                <w:t>45†</w:t>
              </w:r>
            </w:hyperlink>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w w:val="93"/>
              </w:rPr>
              <w:t>Irrevocable Letter of Guarantee dated November 19, 2020 between China Merchants Bank Co., Ltd., Shanghai Pilot Free Trade Zone Lin-Gang Special Area</w:t>
            </w:r>
          </w:p>
        </w:tc>
      </w:tr>
      <w:tr>
        <w:trPr>
          <w:trHeight w:val="184"/>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w w:val="94"/>
              </w:rPr>
              <w:t>Sub-branch and ACM Research (Shanghai), Inc. (incorporated herein by reference to Exhibit 10.03 to the Current Report on Form 8-K filed on February 25,</w:t>
            </w:r>
          </w:p>
        </w:tc>
      </w:tr>
      <w:tr>
        <w:trPr>
          <w:trHeight w:val="192"/>
        </w:trPr>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2021)</w:t>
            </w:r>
          </w:p>
        </w:tc>
      </w:tr>
      <w:tr>
        <w:trPr>
          <w:trHeight w:val="147"/>
        </w:trPr>
        <w:tc>
          <w:tcPr>
            <w:tcW w:w="1000" w:type="dxa"/>
            <w:vAlign w:val="bottom"/>
            <w:gridSpan w:val="5"/>
          </w:tcPr>
          <w:p>
            <w:pPr>
              <w:spacing w:after="0" w:line="147" w:lineRule="exact"/>
              <w:rPr>
                <w:rFonts w:ascii="Arial" w:cs="Arial" w:eastAsia="Arial" w:hAnsi="Arial"/>
                <w:sz w:val="15"/>
                <w:szCs w:val="15"/>
                <w:color w:val="0000EE"/>
              </w:rPr>
            </w:pPr>
            <w:hyperlink r:id="rId203">
              <w:r>
                <w:rPr>
                  <w:rFonts w:ascii="Arial" w:cs="Arial" w:eastAsia="Arial" w:hAnsi="Arial"/>
                  <w:sz w:val="15"/>
                  <w:szCs w:val="15"/>
                  <w:color w:val="0000EE"/>
                </w:rPr>
                <w:t>10.</w:t>
              </w:r>
              <w:r>
                <w:rPr>
                  <w:rFonts w:ascii="Arial" w:cs="Arial" w:eastAsia="Arial" w:hAnsi="Arial"/>
                  <w:sz w:val="15"/>
                  <w:szCs w:val="15"/>
                  <w:u w:val="single" w:color="auto"/>
                  <w:color w:val="0000EE"/>
                </w:rPr>
                <w:t>46‡†</w:t>
              </w:r>
            </w:hyperlink>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1"/>
              </w:rPr>
              <w:t>Plant lease Contract dated as of February 1, 2021 between ACM Research (Shanghai), Inc. and Shanghai Shengyu Culture Development Co., Ltd. (incorporated</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herein by reference to Exhibit 10.01 to the Quarterly Report on Form 10-Q filed on May 7, 2021)</w:t>
            </w:r>
          </w:p>
        </w:tc>
      </w:tr>
      <w:tr>
        <w:trPr>
          <w:trHeight w:val="148"/>
        </w:trPr>
        <w:tc>
          <w:tcPr>
            <w:tcW w:w="400" w:type="dxa"/>
            <w:vAlign w:val="bottom"/>
            <w:gridSpan w:val="2"/>
            <w:shd w:val="clear" w:color="auto" w:fill="CCEEFF"/>
          </w:tcPr>
          <w:p>
            <w:pPr>
              <w:spacing w:after="0" w:line="149" w:lineRule="exact"/>
              <w:rPr>
                <w:rFonts w:ascii="Arial" w:cs="Arial" w:eastAsia="Arial" w:hAnsi="Arial"/>
                <w:sz w:val="15"/>
                <w:szCs w:val="15"/>
                <w:color w:val="0000EE"/>
              </w:rPr>
            </w:pPr>
            <w:hyperlink w:anchor="page154">
              <w:r>
                <w:rPr>
                  <w:rFonts w:ascii="Arial" w:cs="Arial" w:eastAsia="Arial" w:hAnsi="Arial"/>
                  <w:sz w:val="15"/>
                  <w:szCs w:val="15"/>
                  <w:color w:val="0000EE"/>
                </w:rPr>
                <w:t>21.</w:t>
              </w:r>
              <w:r>
                <w:rPr>
                  <w:rFonts w:ascii="Arial" w:cs="Arial" w:eastAsia="Arial" w:hAnsi="Arial"/>
                  <w:sz w:val="15"/>
                  <w:szCs w:val="15"/>
                  <w:u w:val="single" w:color="auto"/>
                  <w:color w:val="0000EE"/>
                </w:rPr>
                <w:t>01</w:t>
              </w:r>
            </w:hyperlink>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260" w:type="dxa"/>
            <w:vAlign w:val="bottom"/>
            <w:shd w:val="clear" w:color="auto" w:fill="CCEEFF"/>
          </w:tcPr>
          <w:p>
            <w:pPr>
              <w:ind w:left="500"/>
              <w:spacing w:after="0" w:line="149" w:lineRule="exact"/>
              <w:rPr>
                <w:sz w:val="20"/>
                <w:szCs w:val="20"/>
                <w:color w:val="auto"/>
              </w:rPr>
            </w:pPr>
            <w:r>
              <w:rPr>
                <w:rFonts w:ascii="Arial" w:cs="Arial" w:eastAsia="Arial" w:hAnsi="Arial"/>
                <w:sz w:val="15"/>
                <w:szCs w:val="15"/>
                <w:color w:val="auto"/>
              </w:rPr>
              <w:t>List of Subsidiaries of ACM Research, Inc.</w:t>
            </w:r>
          </w:p>
        </w:tc>
      </w:tr>
      <w:tr>
        <w:trPr>
          <w:trHeight w:val="34"/>
        </w:trPr>
        <w:tc>
          <w:tcPr>
            <w:tcW w:w="32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60" w:type="dxa"/>
            <w:vAlign w:val="bottom"/>
            <w:shd w:val="clear" w:color="auto" w:fill="CCEEFF"/>
          </w:tcPr>
          <w:p>
            <w:pPr>
              <w:spacing w:after="0"/>
              <w:rPr>
                <w:sz w:val="2"/>
                <w:szCs w:val="2"/>
                <w:color w:val="auto"/>
              </w:rPr>
            </w:pPr>
          </w:p>
        </w:tc>
      </w:tr>
      <w:tr>
        <w:trPr>
          <w:trHeight w:val="147"/>
        </w:trPr>
        <w:tc>
          <w:tcPr>
            <w:tcW w:w="400" w:type="dxa"/>
            <w:vAlign w:val="bottom"/>
            <w:gridSpan w:val="2"/>
          </w:tcPr>
          <w:p>
            <w:pPr>
              <w:spacing w:after="0" w:line="147" w:lineRule="exact"/>
              <w:rPr>
                <w:rFonts w:ascii="Arial" w:cs="Arial" w:eastAsia="Arial" w:hAnsi="Arial"/>
                <w:sz w:val="15"/>
                <w:szCs w:val="15"/>
                <w:color w:val="0000EE"/>
              </w:rPr>
            </w:pPr>
            <w:hyperlink w:anchor="page155">
              <w:r>
                <w:rPr>
                  <w:rFonts w:ascii="Arial" w:cs="Arial" w:eastAsia="Arial" w:hAnsi="Arial"/>
                  <w:sz w:val="15"/>
                  <w:szCs w:val="15"/>
                  <w:color w:val="0000EE"/>
                </w:rPr>
                <w:t>23.</w:t>
              </w:r>
              <w:r>
                <w:rPr>
                  <w:rFonts w:ascii="Arial" w:cs="Arial" w:eastAsia="Arial" w:hAnsi="Arial"/>
                  <w:sz w:val="15"/>
                  <w:szCs w:val="15"/>
                  <w:u w:val="single" w:color="auto"/>
                  <w:color w:val="0000EE"/>
                </w:rPr>
                <w:t>01</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rPr>
              <w:t>Consent of BDO China Shu Lan Pan Certified Public Accountants LLP</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r>
      <w:tr>
        <w:trPr>
          <w:trHeight w:val="161"/>
        </w:trPr>
        <w:tc>
          <w:tcPr>
            <w:tcW w:w="400" w:type="dxa"/>
            <w:vAlign w:val="bottom"/>
            <w:gridSpan w:val="2"/>
            <w:shd w:val="clear" w:color="auto" w:fill="CCEEFF"/>
          </w:tcPr>
          <w:p>
            <w:pPr>
              <w:spacing w:after="0" w:line="161" w:lineRule="exact"/>
              <w:rPr>
                <w:rFonts w:ascii="Arial" w:cs="Arial" w:eastAsia="Arial" w:hAnsi="Arial"/>
                <w:sz w:val="15"/>
                <w:szCs w:val="15"/>
                <w:color w:val="0000EE"/>
              </w:rPr>
            </w:pPr>
            <w:hyperlink w:anchor="page156">
              <w:r>
                <w:rPr>
                  <w:rFonts w:ascii="Arial" w:cs="Arial" w:eastAsia="Arial" w:hAnsi="Arial"/>
                  <w:sz w:val="15"/>
                  <w:szCs w:val="15"/>
                  <w:color w:val="0000EE"/>
                </w:rPr>
                <w:t>31.</w:t>
              </w:r>
              <w:r>
                <w:rPr>
                  <w:rFonts w:ascii="Arial" w:cs="Arial" w:eastAsia="Arial" w:hAnsi="Arial"/>
                  <w:sz w:val="15"/>
                  <w:szCs w:val="15"/>
                  <w:u w:val="single" w:color="auto"/>
                  <w:color w:val="0000EE"/>
                </w:rPr>
                <w:t>01</w:t>
              </w:r>
            </w:hyperlink>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60" w:type="dxa"/>
            <w:vAlign w:val="bottom"/>
            <w:shd w:val="clear" w:color="auto" w:fill="CCEEFF"/>
          </w:tcPr>
          <w:p>
            <w:pPr>
              <w:ind w:left="500"/>
              <w:spacing w:after="0" w:line="161" w:lineRule="exact"/>
              <w:rPr>
                <w:sz w:val="20"/>
                <w:szCs w:val="20"/>
                <w:color w:val="auto"/>
              </w:rPr>
            </w:pPr>
            <w:r>
              <w:rPr>
                <w:rFonts w:ascii="Arial" w:cs="Arial" w:eastAsia="Arial" w:hAnsi="Arial"/>
                <w:sz w:val="15"/>
                <w:szCs w:val="15"/>
                <w:color w:val="auto"/>
                <w:w w:val="95"/>
              </w:rPr>
              <w:t>Certification of Principal Executive Officer Pursuant to Rules 13a-14(a) and 15d-14(a) under the Securities Exchange Act of 1934, as Adopted Pursuant to</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Section 302 of the Sarbanes-Oxley Act of 2002</w:t>
            </w:r>
          </w:p>
        </w:tc>
      </w:tr>
      <w:tr>
        <w:trPr>
          <w:trHeight w:val="147"/>
        </w:trPr>
        <w:tc>
          <w:tcPr>
            <w:tcW w:w="400" w:type="dxa"/>
            <w:vAlign w:val="bottom"/>
            <w:gridSpan w:val="2"/>
          </w:tcPr>
          <w:p>
            <w:pPr>
              <w:spacing w:after="0" w:line="147" w:lineRule="exact"/>
              <w:rPr>
                <w:rFonts w:ascii="Arial" w:cs="Arial" w:eastAsia="Arial" w:hAnsi="Arial"/>
                <w:sz w:val="15"/>
                <w:szCs w:val="15"/>
                <w:color w:val="0000EE"/>
              </w:rPr>
            </w:pPr>
            <w:hyperlink w:anchor="page157">
              <w:r>
                <w:rPr>
                  <w:rFonts w:ascii="Arial" w:cs="Arial" w:eastAsia="Arial" w:hAnsi="Arial"/>
                  <w:sz w:val="15"/>
                  <w:szCs w:val="15"/>
                  <w:color w:val="0000EE"/>
                </w:rPr>
                <w:t>31.</w:t>
              </w:r>
              <w:r>
                <w:rPr>
                  <w:rFonts w:ascii="Arial" w:cs="Arial" w:eastAsia="Arial" w:hAnsi="Arial"/>
                  <w:sz w:val="15"/>
                  <w:szCs w:val="15"/>
                  <w:u w:val="single" w:color="auto"/>
                  <w:color w:val="0000EE"/>
                </w:rPr>
                <w:t>02</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60" w:type="dxa"/>
            <w:vAlign w:val="bottom"/>
          </w:tcPr>
          <w:p>
            <w:pPr>
              <w:ind w:left="500"/>
              <w:spacing w:after="0" w:line="147" w:lineRule="exact"/>
              <w:rPr>
                <w:sz w:val="20"/>
                <w:szCs w:val="20"/>
                <w:color w:val="auto"/>
              </w:rPr>
            </w:pPr>
            <w:r>
              <w:rPr>
                <w:rFonts w:ascii="Arial" w:cs="Arial" w:eastAsia="Arial" w:hAnsi="Arial"/>
                <w:sz w:val="15"/>
                <w:szCs w:val="15"/>
                <w:color w:val="auto"/>
                <w:w w:val="95"/>
              </w:rPr>
              <w:t>Certification of Principal Financial Officer Pursuant to Rules 13a-14(a) and 15d-14(a) under the Securities Exchange Act of 1934, as Adopted Pursuant to</w:t>
            </w:r>
          </w:p>
        </w:tc>
      </w:tr>
      <w:tr>
        <w:trPr>
          <w:trHeight w:val="194"/>
        </w:trPr>
        <w:tc>
          <w:tcPr>
            <w:tcW w:w="3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60" w:type="dxa"/>
            <w:vAlign w:val="bottom"/>
          </w:tcPr>
          <w:p>
            <w:pPr>
              <w:ind w:left="500"/>
              <w:spacing w:after="0"/>
              <w:rPr>
                <w:sz w:val="20"/>
                <w:szCs w:val="20"/>
                <w:color w:val="auto"/>
              </w:rPr>
            </w:pPr>
            <w:r>
              <w:rPr>
                <w:rFonts w:ascii="Arial" w:cs="Arial" w:eastAsia="Arial" w:hAnsi="Arial"/>
                <w:sz w:val="15"/>
                <w:szCs w:val="15"/>
                <w:color w:val="auto"/>
              </w:rPr>
              <w:t>Section 302 of the Sarbanes-Oxley Act of 2002</w:t>
            </w:r>
          </w:p>
        </w:tc>
      </w:tr>
      <w:tr>
        <w:trPr>
          <w:trHeight w:val="478"/>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60" w:type="dxa"/>
            <w:vAlign w:val="bottom"/>
          </w:tcPr>
          <w:p>
            <w:pPr>
              <w:ind w:left="4540"/>
              <w:spacing w:after="0"/>
              <w:rPr>
                <w:sz w:val="20"/>
                <w:szCs w:val="20"/>
                <w:color w:val="auto"/>
              </w:rPr>
            </w:pPr>
            <w:r>
              <w:rPr>
                <w:rFonts w:ascii="Arial" w:cs="Arial" w:eastAsia="Arial" w:hAnsi="Arial"/>
                <w:sz w:val="12"/>
                <w:szCs w:val="12"/>
                <w:color w:val="auto"/>
              </w:rPr>
              <w:t>132</w:t>
            </w:r>
          </w:p>
        </w:tc>
      </w:tr>
      <w:tr>
        <w:trPr>
          <w:trHeight w:val="34"/>
        </w:trPr>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26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4" w:right="319" w:bottom="1440" w:gutter="0" w:footer="0" w:header="0"/>
        </w:sectPr>
      </w:pPr>
    </w:p>
    <w:bookmarkStart w:id="132" w:name="page133"/>
    <w:bookmarkEnd w:id="132"/>
    <w:p>
      <w:pPr>
        <w:ind w:left="1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020" w:type="dxa"/>
            <w:vAlign w:val="bottom"/>
            <w:gridSpan w:val="2"/>
            <w:shd w:val="clear" w:color="auto" w:fill="CCEEFF"/>
          </w:tcPr>
          <w:p>
            <w:pPr>
              <w:spacing w:after="0"/>
              <w:rPr>
                <w:rFonts w:ascii="Arial" w:cs="Arial" w:eastAsia="Arial" w:hAnsi="Arial"/>
                <w:sz w:val="15"/>
                <w:szCs w:val="15"/>
                <w:color w:val="0000EE"/>
              </w:rPr>
            </w:pPr>
            <w:hyperlink w:anchor="page158">
              <w:r>
                <w:rPr>
                  <w:rFonts w:ascii="Arial" w:cs="Arial" w:eastAsia="Arial" w:hAnsi="Arial"/>
                  <w:sz w:val="15"/>
                  <w:szCs w:val="15"/>
                  <w:color w:val="0000EE"/>
                </w:rPr>
                <w:t>32.</w:t>
              </w:r>
              <w:r>
                <w:rPr>
                  <w:rFonts w:ascii="Arial" w:cs="Arial" w:eastAsia="Arial" w:hAnsi="Arial"/>
                  <w:sz w:val="15"/>
                  <w:szCs w:val="15"/>
                  <w:u w:val="single" w:color="auto"/>
                  <w:color w:val="0000EE"/>
                </w:rPr>
                <w:t>01</w:t>
              </w:r>
            </w:hyperlink>
          </w:p>
        </w:tc>
        <w:tc>
          <w:tcPr>
            <w:tcW w:w="10240" w:type="dxa"/>
            <w:vAlign w:val="bottom"/>
            <w:shd w:val="clear" w:color="auto" w:fill="CCEEFF"/>
          </w:tcPr>
          <w:p>
            <w:pPr>
              <w:ind w:left="480"/>
              <w:spacing w:after="0"/>
              <w:rPr>
                <w:sz w:val="20"/>
                <w:szCs w:val="20"/>
                <w:color w:val="auto"/>
              </w:rPr>
            </w:pPr>
            <w:r>
              <w:rPr>
                <w:rFonts w:ascii="Arial" w:cs="Arial" w:eastAsia="Arial" w:hAnsi="Arial"/>
                <w:sz w:val="15"/>
                <w:szCs w:val="15"/>
                <w:color w:val="auto"/>
                <w:w w:val="96"/>
              </w:rPr>
              <w:t>Certification of Principal Executive Officer and Principal Financial Officer Pursuant to 18 U.S.C. Section 1350, as Adopted Pursuant to Section 906 of the</w:t>
            </w:r>
          </w:p>
        </w:tc>
      </w:tr>
      <w:tr>
        <w:trPr>
          <w:trHeight w:val="195"/>
        </w:trPr>
        <w:tc>
          <w:tcPr>
            <w:tcW w:w="320" w:type="dxa"/>
            <w:vAlign w:val="bottom"/>
            <w:tcBorders>
              <w:top w:val="single" w:sz="8" w:color="0000EE"/>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2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Sarbanes-Oxley Act of 2002</w:t>
            </w:r>
          </w:p>
        </w:tc>
      </w:tr>
      <w:tr>
        <w:trPr>
          <w:trHeight w:val="170"/>
        </w:trPr>
        <w:tc>
          <w:tcPr>
            <w:tcW w:w="1020" w:type="dxa"/>
            <w:vAlign w:val="bottom"/>
            <w:gridSpan w:val="2"/>
          </w:tcPr>
          <w:p>
            <w:pPr>
              <w:spacing w:after="0" w:line="171" w:lineRule="exact"/>
              <w:rPr>
                <w:sz w:val="20"/>
                <w:szCs w:val="20"/>
                <w:color w:val="auto"/>
              </w:rPr>
            </w:pPr>
            <w:r>
              <w:rPr>
                <w:rFonts w:ascii="Arial" w:cs="Arial" w:eastAsia="Arial" w:hAnsi="Arial"/>
                <w:sz w:val="15"/>
                <w:szCs w:val="15"/>
                <w:color w:val="auto"/>
              </w:rPr>
              <w:t>101.INS</w:t>
            </w:r>
          </w:p>
        </w:tc>
        <w:tc>
          <w:tcPr>
            <w:tcW w:w="10240" w:type="dxa"/>
            <w:vAlign w:val="bottom"/>
          </w:tcPr>
          <w:p>
            <w:pPr>
              <w:ind w:left="480"/>
              <w:spacing w:after="0" w:line="171" w:lineRule="exact"/>
              <w:rPr>
                <w:sz w:val="20"/>
                <w:szCs w:val="20"/>
                <w:color w:val="auto"/>
              </w:rPr>
            </w:pPr>
            <w:r>
              <w:rPr>
                <w:rFonts w:ascii="Arial" w:cs="Arial" w:eastAsia="Arial" w:hAnsi="Arial"/>
                <w:sz w:val="15"/>
                <w:szCs w:val="15"/>
                <w:color w:val="auto"/>
                <w:w w:val="94"/>
              </w:rPr>
              <w:t>Inline XBRL Instance Document (the instance document does not appear in the Interactive Data File because its XBRL tags are embedded within the Inline</w:t>
            </w:r>
          </w:p>
        </w:tc>
      </w:tr>
      <w:tr>
        <w:trPr>
          <w:trHeight w:val="190"/>
        </w:trPr>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40" w:type="dxa"/>
            <w:vAlign w:val="bottom"/>
          </w:tcPr>
          <w:p>
            <w:pPr>
              <w:ind w:left="480"/>
              <w:spacing w:after="0"/>
              <w:rPr>
                <w:sz w:val="20"/>
                <w:szCs w:val="20"/>
                <w:color w:val="auto"/>
              </w:rPr>
            </w:pPr>
            <w:r>
              <w:rPr>
                <w:rFonts w:ascii="Arial" w:cs="Arial" w:eastAsia="Arial" w:hAnsi="Arial"/>
                <w:sz w:val="15"/>
                <w:szCs w:val="15"/>
                <w:color w:val="auto"/>
              </w:rPr>
              <w:t>XBRL document)</w:t>
            </w:r>
          </w:p>
        </w:tc>
      </w:tr>
      <w:tr>
        <w:trPr>
          <w:trHeight w:val="182"/>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101.SCH</w:t>
            </w:r>
          </w:p>
        </w:tc>
        <w:tc>
          <w:tcPr>
            <w:tcW w:w="102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Inline XBRL Taxonomy Extension Schema Document</w:t>
            </w:r>
          </w:p>
        </w:tc>
      </w:tr>
      <w:tr>
        <w:trPr>
          <w:trHeight w:val="181"/>
        </w:trPr>
        <w:tc>
          <w:tcPr>
            <w:tcW w:w="1020" w:type="dxa"/>
            <w:vAlign w:val="bottom"/>
            <w:gridSpan w:val="2"/>
          </w:tcPr>
          <w:p>
            <w:pPr>
              <w:spacing w:after="0"/>
              <w:rPr>
                <w:sz w:val="20"/>
                <w:szCs w:val="20"/>
                <w:color w:val="auto"/>
              </w:rPr>
            </w:pPr>
            <w:r>
              <w:rPr>
                <w:rFonts w:ascii="Arial" w:cs="Arial" w:eastAsia="Arial" w:hAnsi="Arial"/>
                <w:sz w:val="15"/>
                <w:szCs w:val="15"/>
                <w:color w:val="auto"/>
              </w:rPr>
              <w:t>101.CAL</w:t>
            </w:r>
          </w:p>
        </w:tc>
        <w:tc>
          <w:tcPr>
            <w:tcW w:w="10240" w:type="dxa"/>
            <w:vAlign w:val="bottom"/>
          </w:tcPr>
          <w:p>
            <w:pPr>
              <w:ind w:left="480"/>
              <w:spacing w:after="0"/>
              <w:rPr>
                <w:sz w:val="20"/>
                <w:szCs w:val="20"/>
                <w:color w:val="auto"/>
              </w:rPr>
            </w:pPr>
            <w:r>
              <w:rPr>
                <w:rFonts w:ascii="Arial" w:cs="Arial" w:eastAsia="Arial" w:hAnsi="Arial"/>
                <w:sz w:val="15"/>
                <w:szCs w:val="15"/>
                <w:color w:val="auto"/>
              </w:rPr>
              <w:t>Inline XBRL Taxonomy Extension Calculation Linkbase Document</w:t>
            </w:r>
          </w:p>
        </w:tc>
      </w:tr>
      <w:tr>
        <w:trPr>
          <w:trHeight w:val="181"/>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101.DEF</w:t>
            </w:r>
          </w:p>
        </w:tc>
        <w:tc>
          <w:tcPr>
            <w:tcW w:w="102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181"/>
        </w:trPr>
        <w:tc>
          <w:tcPr>
            <w:tcW w:w="1020" w:type="dxa"/>
            <w:vAlign w:val="bottom"/>
            <w:gridSpan w:val="2"/>
          </w:tcPr>
          <w:p>
            <w:pPr>
              <w:spacing w:after="0"/>
              <w:rPr>
                <w:sz w:val="20"/>
                <w:szCs w:val="20"/>
                <w:color w:val="auto"/>
              </w:rPr>
            </w:pPr>
            <w:r>
              <w:rPr>
                <w:rFonts w:ascii="Arial" w:cs="Arial" w:eastAsia="Arial" w:hAnsi="Arial"/>
                <w:sz w:val="15"/>
                <w:szCs w:val="15"/>
                <w:color w:val="auto"/>
              </w:rPr>
              <w:t>101.LAB</w:t>
            </w:r>
          </w:p>
        </w:tc>
        <w:tc>
          <w:tcPr>
            <w:tcW w:w="10240" w:type="dxa"/>
            <w:vAlign w:val="bottom"/>
          </w:tcPr>
          <w:p>
            <w:pPr>
              <w:ind w:left="480"/>
              <w:spacing w:after="0"/>
              <w:rPr>
                <w:sz w:val="20"/>
                <w:szCs w:val="20"/>
                <w:color w:val="auto"/>
              </w:rPr>
            </w:pPr>
            <w:r>
              <w:rPr>
                <w:rFonts w:ascii="Arial" w:cs="Arial" w:eastAsia="Arial" w:hAnsi="Arial"/>
                <w:sz w:val="15"/>
                <w:szCs w:val="15"/>
                <w:color w:val="auto"/>
              </w:rPr>
              <w:t>Inline XBRL Taxonomy Extension Label Linkbase Document</w:t>
            </w:r>
          </w:p>
        </w:tc>
      </w:tr>
      <w:tr>
        <w:trPr>
          <w:trHeight w:val="181"/>
        </w:trPr>
        <w:tc>
          <w:tcPr>
            <w:tcW w:w="1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101.PRE</w:t>
            </w:r>
          </w:p>
        </w:tc>
        <w:tc>
          <w:tcPr>
            <w:tcW w:w="1024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Inline XBRL Taxonomy Extension Presentation Linkbase Document</w:t>
            </w:r>
          </w:p>
        </w:tc>
      </w:tr>
      <w:tr>
        <w:trPr>
          <w:trHeight w:val="190"/>
        </w:trPr>
        <w:tc>
          <w:tcPr>
            <w:tcW w:w="320" w:type="dxa"/>
            <w:vAlign w:val="bottom"/>
          </w:tcPr>
          <w:p>
            <w:pPr>
              <w:spacing w:after="0"/>
              <w:rPr>
                <w:sz w:val="20"/>
                <w:szCs w:val="20"/>
                <w:color w:val="auto"/>
              </w:rPr>
            </w:pPr>
            <w:r>
              <w:rPr>
                <w:rFonts w:ascii="Arial" w:cs="Arial" w:eastAsia="Arial" w:hAnsi="Arial"/>
                <w:sz w:val="15"/>
                <w:szCs w:val="15"/>
                <w:color w:val="auto"/>
              </w:rPr>
              <w:t>104</w:t>
            </w:r>
          </w:p>
        </w:tc>
        <w:tc>
          <w:tcPr>
            <w:tcW w:w="700" w:type="dxa"/>
            <w:vAlign w:val="bottom"/>
          </w:tcPr>
          <w:p>
            <w:pPr>
              <w:spacing w:after="0"/>
              <w:rPr>
                <w:sz w:val="16"/>
                <w:szCs w:val="16"/>
                <w:color w:val="auto"/>
              </w:rPr>
            </w:pPr>
          </w:p>
        </w:tc>
        <w:tc>
          <w:tcPr>
            <w:tcW w:w="10240" w:type="dxa"/>
            <w:vAlign w:val="bottom"/>
          </w:tcPr>
          <w:p>
            <w:pPr>
              <w:ind w:left="480"/>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429385"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4">
                      <a:extLst>
                        <a:ext uri="{28A0092B-C50C-407E-A947-70E740481C1C}"/>
                      </a:extLst>
                    </a:blip>
                    <a:srcRect/>
                    <a:stretch>
                      <a:fillRect/>
                    </a:stretch>
                  </pic:blipFill>
                  <pic:spPr bwMode="auto">
                    <a:xfrm>
                      <a:off x="0" y="0"/>
                      <a:ext cx="1429385" cy="14605"/>
                    </a:xfrm>
                    <a:prstGeom prst="rect">
                      <a:avLst/>
                    </a:prstGeom>
                    <a:noFill/>
                  </pic:spPr>
                </pic:pic>
              </a:graphicData>
            </a:graphic>
          </wp:anchor>
        </w:drawing>
      </w:r>
    </w:p>
    <w:p>
      <w:pPr>
        <w:spacing w:after="0" w:line="345" w:lineRule="exact"/>
        <w:rPr>
          <w:sz w:val="20"/>
          <w:szCs w:val="20"/>
          <w:color w:val="auto"/>
        </w:rPr>
      </w:pPr>
    </w:p>
    <w:p>
      <w:pPr>
        <w:ind w:left="410" w:hanging="410"/>
        <w:spacing w:after="0"/>
        <w:tabs>
          <w:tab w:leader="none" w:pos="41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18" w:lineRule="exact"/>
        <w:rPr>
          <w:sz w:val="20"/>
          <w:szCs w:val="20"/>
          <w:color w:val="auto"/>
        </w:rPr>
      </w:pPr>
    </w:p>
    <w:p>
      <w:pPr>
        <w:ind w:left="410" w:hanging="410"/>
        <w:spacing w:after="0"/>
        <w:tabs>
          <w:tab w:leader="none" w:pos="410" w:val="left"/>
        </w:tabs>
        <w:numPr>
          <w:ilvl w:val="0"/>
          <w:numId w:val="86"/>
        </w:numPr>
        <w:rPr>
          <w:rFonts w:ascii="Arial" w:cs="Arial" w:eastAsia="Arial" w:hAnsi="Arial"/>
          <w:sz w:val="15"/>
          <w:szCs w:val="15"/>
          <w:color w:val="auto"/>
        </w:rPr>
      </w:pPr>
      <w:r>
        <w:rPr>
          <w:rFonts w:ascii="Arial" w:cs="Arial" w:eastAsia="Arial" w:hAnsi="Arial"/>
          <w:sz w:val="15"/>
          <w:szCs w:val="15"/>
          <w:color w:val="auto"/>
        </w:rPr>
        <w:t>Certain information in this exhibit was omitted by means of redacting a portion of the text and replacing it with [***]</w:t>
      </w:r>
    </w:p>
    <w:p>
      <w:pPr>
        <w:spacing w:after="0" w:line="8" w:lineRule="exact"/>
        <w:rPr>
          <w:rFonts w:ascii="Arial" w:cs="Arial" w:eastAsia="Arial" w:hAnsi="Arial"/>
          <w:sz w:val="15"/>
          <w:szCs w:val="15"/>
          <w:color w:val="auto"/>
        </w:rPr>
      </w:pPr>
    </w:p>
    <w:p>
      <w:pPr>
        <w:ind w:left="1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Unofficial English translation of original document prepared in Mandarin Chinese.</w:t>
      </w:r>
    </w:p>
    <w:p>
      <w:pPr>
        <w:spacing w:after="0" w:line="8" w:lineRule="exact"/>
        <w:rPr>
          <w:rFonts w:ascii="Arial" w:cs="Arial" w:eastAsia="Arial" w:hAnsi="Arial"/>
          <w:sz w:val="15"/>
          <w:szCs w:val="15"/>
          <w:color w:val="auto"/>
        </w:rPr>
      </w:pPr>
    </w:p>
    <w:p>
      <w:pPr>
        <w:ind w:left="410" w:hanging="407"/>
        <w:spacing w:after="0" w:line="181" w:lineRule="exact"/>
        <w:rPr>
          <w:rFonts w:ascii="Arial" w:cs="Arial" w:eastAsia="Arial" w:hAnsi="Arial"/>
          <w:sz w:val="15"/>
          <w:szCs w:val="15"/>
          <w:color w:val="auto"/>
        </w:rPr>
      </w:pPr>
      <w:r>
        <w:rPr>
          <w:rFonts w:ascii="Arial" w:cs="Arial" w:eastAsia="Arial" w:hAnsi="Arial"/>
          <w:sz w:val="15"/>
          <w:szCs w:val="15"/>
          <w:color w:val="auto"/>
        </w:rPr>
        <w:t>*Certain appendices have been omitted pursuant to Item 601(a)(5) of Regulation S-K. We hereby undertake to furnish copies of the omitted appendices upon request by the Securities and Exchange Commission, provided that we may request confidential treatment pursuant to Rule 24b</w:t>
      </w:r>
      <w:r>
        <w:rPr>
          <w:rFonts w:ascii="MS PGothic" w:cs="MS PGothic" w:eastAsia="MS PGothic" w:hAnsi="MS PGothic"/>
          <w:sz w:val="15"/>
          <w:szCs w:val="15"/>
          <w:color w:val="auto"/>
        </w:rPr>
        <w:t>‑</w:t>
      </w:r>
      <w:r>
        <w:rPr>
          <w:rFonts w:ascii="Arial" w:cs="Arial" w:eastAsia="Arial" w:hAnsi="Arial"/>
          <w:sz w:val="15"/>
          <w:szCs w:val="15"/>
          <w:color w:val="auto"/>
        </w:rPr>
        <w:t>2 of the Securities Exchange Act of 1934 for the appendices so furnished.</w:t>
      </w:r>
    </w:p>
    <w:p>
      <w:pPr>
        <w:spacing w:after="0" w:line="327" w:lineRule="exact"/>
        <w:rPr>
          <w:sz w:val="20"/>
          <w:szCs w:val="20"/>
          <w:color w:val="auto"/>
        </w:rPr>
      </w:pPr>
    </w:p>
    <w:p>
      <w:pPr>
        <w:jc w:val="center"/>
        <w:ind w:right="-9"/>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124" w:right="319" w:bottom="1440" w:gutter="0" w:footer="0" w:header="0"/>
        </w:sectPr>
      </w:pPr>
    </w:p>
    <w:bookmarkStart w:id="133" w:name="page134"/>
    <w:bookmarkEnd w:id="13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94" w:lineRule="exact"/>
        <w:rPr>
          <w:sz w:val="20"/>
          <w:szCs w:val="20"/>
          <w:color w:val="auto"/>
        </w:rPr>
      </w:pPr>
    </w:p>
    <w:p>
      <w:pPr>
        <w:ind w:firstLine="543"/>
        <w:spacing w:after="0" w:line="276" w:lineRule="auto"/>
        <w:rPr>
          <w:sz w:val="20"/>
          <w:szCs w:val="20"/>
          <w:color w:val="auto"/>
        </w:rPr>
      </w:pPr>
      <w:r>
        <w:rPr>
          <w:rFonts w:ascii="Arial" w:cs="Arial" w:eastAsia="Arial" w:hAnsi="Arial"/>
          <w:sz w:val="15"/>
          <w:szCs w:val="15"/>
          <w:color w:val="auto"/>
        </w:rPr>
        <w:t>Pursuant to the requirements of Section 13 or 15(d) of the Securities Act of 1934, the registrant has duly caused this report to be signed on its behalf by the undersigned, thereunto duly authorized, as of March 1, 2021.</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ACM RESEARCH, INC.</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12065</wp:posOffset>
            </wp:positionV>
            <wp:extent cx="336169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6">
                      <a:extLst>
                        <a:ext uri="{28A0092B-C50C-407E-A947-70E740481C1C}"/>
                      </a:extLst>
                    </a:blip>
                    <a:srcRect/>
                    <a:stretch>
                      <a:fillRect/>
                    </a:stretch>
                  </pic:blipFill>
                  <pic:spPr bwMode="auto">
                    <a:xfrm>
                      <a:off x="0" y="0"/>
                      <a:ext cx="3361690" cy="14605"/>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David H. Wang</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Chief Executive Officer and President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Pursuant to the requirements of the Securities Act of 1934, this report has been signed below by the following persons in the capacities indicated as of March 1, 2021:</w:t>
      </w:r>
    </w:p>
    <w:p>
      <w:pPr>
        <w:sectPr>
          <w:pgSz w:w="11900" w:h="16838" w:orient="portrait"/>
          <w:cols w:equalWidth="0" w:num="1">
            <w:col w:w="11260"/>
          </w:cols>
          <w:pgMar w:left="320" w:top="124" w:right="319" w:bottom="1440" w:gutter="0" w:footer="0" w:header="0"/>
        </w:sectPr>
      </w:pPr>
    </w:p>
    <w:p>
      <w:pPr>
        <w:spacing w:after="0" w:line="197"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51282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7">
                      <a:extLst>
                        <a:ext uri="{28A0092B-C50C-407E-A947-70E740481C1C}"/>
                      </a:extLst>
                    </a:blip>
                    <a:srcRect/>
                    <a:stretch>
                      <a:fillRect/>
                    </a:stretch>
                  </pic:blipFill>
                  <pic:spPr bwMode="auto">
                    <a:xfrm>
                      <a:off x="0" y="0"/>
                      <a:ext cx="3512820" cy="14605"/>
                    </a:xfrm>
                    <a:prstGeom prst="rect">
                      <a:avLst/>
                    </a:prstGeom>
                    <a:noFill/>
                  </pic:spPr>
                </pic:pic>
              </a:graphicData>
            </a:graphic>
          </wp:anchor>
        </w:drawing>
      </w:r>
    </w:p>
    <w:p>
      <w:pPr>
        <w:spacing w:after="0" w:line="196" w:lineRule="exact"/>
        <w:rPr>
          <w:sz w:val="20"/>
          <w:szCs w:val="20"/>
          <w:color w:val="auto"/>
        </w:rPr>
      </w:pPr>
    </w:p>
    <w:p>
      <w:pPr>
        <w:jc w:val="center"/>
        <w:ind w:left="500"/>
        <w:spacing w:after="0"/>
        <w:rPr>
          <w:sz w:val="20"/>
          <w:szCs w:val="20"/>
          <w:color w:val="auto"/>
        </w:rPr>
      </w:pPr>
      <w:r>
        <w:rPr>
          <w:rFonts w:ascii="Arial" w:cs="Arial" w:eastAsia="Arial" w:hAnsi="Arial"/>
          <w:sz w:val="15"/>
          <w:szCs w:val="15"/>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51282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8">
                      <a:extLst>
                        <a:ext uri="{28A0092B-C50C-407E-A947-70E740481C1C}"/>
                      </a:extLst>
                    </a:blip>
                    <a:srcRect/>
                    <a:stretch>
                      <a:fillRect/>
                    </a:stretch>
                  </pic:blipFill>
                  <pic:spPr bwMode="auto">
                    <a:xfrm>
                      <a:off x="0" y="0"/>
                      <a:ext cx="3512820" cy="1460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David H. Wang</w:t>
      </w:r>
    </w:p>
    <w:p>
      <w:pPr>
        <w:spacing w:after="0" w:line="363"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3512820"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9">
                      <a:extLst>
                        <a:ext uri="{28A0092B-C50C-407E-A947-70E740481C1C}"/>
                      </a:extLst>
                    </a:blip>
                    <a:srcRect/>
                    <a:stretch>
                      <a:fillRect/>
                    </a:stretch>
                  </pic:blipFill>
                  <pic:spPr bwMode="auto">
                    <a:xfrm>
                      <a:off x="0" y="0"/>
                      <a:ext cx="3512820" cy="14605"/>
                    </a:xfrm>
                    <a:prstGeom prst="rect">
                      <a:avLst/>
                    </a:prstGeom>
                    <a:noFill/>
                  </pic:spPr>
                </pic:pic>
              </a:graphicData>
            </a:graphic>
          </wp:anchor>
        </w:drawing>
      </w:r>
    </w:p>
    <w:p>
      <w:pPr>
        <w:spacing w:after="0" w:line="19"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Mark A. McKechnie</w:t>
      </w:r>
    </w:p>
    <w:p>
      <w:pPr>
        <w:spacing w:after="0" w:line="363" w:lineRule="exact"/>
        <w:rPr>
          <w:sz w:val="20"/>
          <w:szCs w:val="20"/>
          <w:color w:val="auto"/>
        </w:rPr>
      </w:pPr>
    </w:p>
    <w:p>
      <w:pPr>
        <w:jc w:val="center"/>
        <w:ind w:left="500"/>
        <w:spacing w:after="0"/>
        <w:rPr>
          <w:sz w:val="20"/>
          <w:szCs w:val="20"/>
          <w:color w:val="auto"/>
        </w:rPr>
      </w:pPr>
      <w:r>
        <w:rPr>
          <w:rFonts w:ascii="Arial" w:cs="Arial" w:eastAsia="Arial" w:hAnsi="Arial"/>
          <w:sz w:val="15"/>
          <w:szCs w:val="15"/>
          <w:color w:val="auto"/>
        </w:rPr>
        <w:t>/s/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51282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0">
                      <a:extLst>
                        <a:ext uri="{28A0092B-C50C-407E-A947-70E740481C1C}"/>
                      </a:extLst>
                    </a:blip>
                    <a:srcRect/>
                    <a:stretch>
                      <a:fillRect/>
                    </a:stretch>
                  </pic:blipFill>
                  <pic:spPr bwMode="auto">
                    <a:xfrm>
                      <a:off x="0" y="0"/>
                      <a:ext cx="3512820" cy="1460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Haiping Dun</w:t>
      </w:r>
    </w:p>
    <w:p>
      <w:pPr>
        <w:spacing w:after="0" w:line="194" w:lineRule="exact"/>
        <w:rPr>
          <w:sz w:val="20"/>
          <w:szCs w:val="20"/>
          <w:color w:val="auto"/>
        </w:rPr>
      </w:pPr>
    </w:p>
    <w:p>
      <w:pPr>
        <w:jc w:val="center"/>
        <w:ind w:left="500"/>
        <w:spacing w:after="0"/>
        <w:rPr>
          <w:sz w:val="20"/>
          <w:szCs w:val="20"/>
          <w:color w:val="auto"/>
        </w:rPr>
      </w:pPr>
      <w:r>
        <w:rPr>
          <w:rFonts w:ascii="Arial" w:cs="Arial" w:eastAsia="Arial" w:hAnsi="Arial"/>
          <w:sz w:val="15"/>
          <w:szCs w:val="15"/>
          <w:color w:val="auto"/>
        </w:rPr>
        <w:t>/s/ Chenming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51282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1">
                      <a:extLst>
                        <a:ext uri="{28A0092B-C50C-407E-A947-70E740481C1C}"/>
                      </a:extLst>
                    </a:blip>
                    <a:srcRect/>
                    <a:stretch>
                      <a:fillRect/>
                    </a:stretch>
                  </pic:blipFill>
                  <pic:spPr bwMode="auto">
                    <a:xfrm>
                      <a:off x="0" y="0"/>
                      <a:ext cx="3512820" cy="1460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Chenming Hu</w:t>
      </w:r>
    </w:p>
    <w:p>
      <w:pPr>
        <w:spacing w:after="0" w:line="194" w:lineRule="exact"/>
        <w:rPr>
          <w:sz w:val="20"/>
          <w:szCs w:val="20"/>
          <w:color w:val="auto"/>
        </w:rPr>
      </w:pPr>
    </w:p>
    <w:p>
      <w:pPr>
        <w:jc w:val="center"/>
        <w:ind w:left="500"/>
        <w:spacing w:after="0"/>
        <w:rPr>
          <w:sz w:val="20"/>
          <w:szCs w:val="20"/>
          <w:color w:val="auto"/>
        </w:rPr>
      </w:pPr>
      <w:r>
        <w:rPr>
          <w:rFonts w:ascii="Arial" w:cs="Arial" w:eastAsia="Arial" w:hAnsi="Arial"/>
          <w:sz w:val="15"/>
          <w:szCs w:val="15"/>
          <w:color w:val="auto"/>
        </w:rPr>
        <w:t>/s/ 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51282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2">
                      <a:extLst>
                        <a:ext uri="{28A0092B-C50C-407E-A947-70E740481C1C}"/>
                      </a:extLst>
                    </a:blip>
                    <a:srcRect/>
                    <a:stretch>
                      <a:fillRect/>
                    </a:stretch>
                  </pic:blipFill>
                  <pic:spPr bwMode="auto">
                    <a:xfrm>
                      <a:off x="0" y="0"/>
                      <a:ext cx="3512820" cy="1460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Tracy Liu</w:t>
      </w:r>
    </w:p>
    <w:p>
      <w:pPr>
        <w:spacing w:after="0" w:line="194" w:lineRule="exact"/>
        <w:rPr>
          <w:sz w:val="20"/>
          <w:szCs w:val="20"/>
          <w:color w:val="auto"/>
        </w:rPr>
      </w:pPr>
    </w:p>
    <w:p>
      <w:pPr>
        <w:jc w:val="center"/>
        <w:ind w:left="500"/>
        <w:spacing w:after="0"/>
        <w:rPr>
          <w:sz w:val="20"/>
          <w:szCs w:val="20"/>
          <w:color w:val="auto"/>
        </w:rPr>
      </w:pPr>
      <w:r>
        <w:rPr>
          <w:rFonts w:ascii="Arial" w:cs="Arial" w:eastAsia="Arial" w:hAnsi="Arial"/>
          <w:sz w:val="15"/>
          <w:szCs w:val="15"/>
          <w:color w:val="auto"/>
        </w:rPr>
        <w:t>/s/ 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51282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3">
                      <a:extLst>
                        <a:ext uri="{28A0092B-C50C-407E-A947-70E740481C1C}"/>
                      </a:extLst>
                    </a:blip>
                    <a:srcRect/>
                    <a:stretch>
                      <a:fillRect/>
                    </a:stretch>
                  </pic:blipFill>
                  <pic:spPr bwMode="auto">
                    <a:xfrm>
                      <a:off x="0" y="0"/>
                      <a:ext cx="3512820" cy="1460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Yinan Xiang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5"/>
          <w:szCs w:val="15"/>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50520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4">
                      <a:extLst>
                        <a:ext uri="{28A0092B-C50C-407E-A947-70E740481C1C}"/>
                      </a:extLst>
                    </a:blip>
                    <a:srcRect/>
                    <a:stretch>
                      <a:fillRect/>
                    </a:stretch>
                  </pic:blipFill>
                  <pic:spPr bwMode="auto">
                    <a:xfrm>
                      <a:off x="0" y="0"/>
                      <a:ext cx="3505200" cy="1460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 President and Director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Executive Officer</w:t>
      </w:r>
      <w:r>
        <w:rPr>
          <w:rFonts w:ascii="Arial" w:cs="Arial" w:eastAsia="Arial" w:hAnsi="Arial"/>
          <w:sz w:val="15"/>
          <w:szCs w:val="15"/>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 Executive Vice President and Treasurer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Principal Financial and Accounting Officer</w:t>
      </w:r>
      <w:r>
        <w:rPr>
          <w:rFonts w:ascii="Arial" w:cs="Arial" w:eastAsia="Arial" w:hAnsi="Arial"/>
          <w:sz w:val="15"/>
          <w:szCs w:val="15"/>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07" w:lineRule="exact"/>
        <w:rPr>
          <w:sz w:val="20"/>
          <w:szCs w:val="20"/>
          <w:color w:val="auto"/>
        </w:rPr>
      </w:pPr>
    </w:p>
    <w:p>
      <w:pPr>
        <w:sectPr>
          <w:pgSz w:w="11900" w:h="16838" w:orient="portrait"/>
          <w:cols w:equalWidth="0" w:num="2">
            <w:col w:w="5020" w:space="720"/>
            <w:col w:w="5520"/>
          </w:cols>
          <w:pgMar w:left="320" w:top="124" w:right="319" w:bottom="1440" w:gutter="0" w:footer="0" w:header="0"/>
          <w:type w:val="continuous"/>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7154545"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28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6">
                      <a:extLst>
                        <a:ext uri="{28A0092B-C50C-407E-A947-70E740481C1C}"/>
                      </a:extLst>
                    </a:blip>
                    <a:srcRect/>
                    <a:stretch>
                      <a:fillRect/>
                    </a:stretch>
                  </pic:blipFill>
                  <pic:spPr bwMode="auto">
                    <a:xfrm>
                      <a:off x="0" y="0"/>
                      <a:ext cx="7154545" cy="28575"/>
                    </a:xfrm>
                    <a:prstGeom prst="rect">
                      <a:avLst/>
                    </a:prstGeom>
                    <a:noFill/>
                  </pic:spPr>
                </pic:pic>
              </a:graphicData>
            </a:graphic>
          </wp:anchor>
        </w:drawing>
        <w:t>Exhibit 4.05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ACM Research, Inc. Securities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following information constitutes the “Description of Securities” required by Item 202(a) of Regulation S-K. As of March 1, 2022, ACM Research, Inc. has one class of securities registered under Section 12 of the Securities Exchange Act of 1934, as amended, which is its Class A common stock, $0.0001 par value per share.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References herein to “we,” “our,” “us,” or “our company” refer to ACM Research, Inc., a Delaware corporation. The following information summarizes the material terms of our common and preferred stock and warrants, as well as relevant provisions of our charter, which includes certificates of designations relating to each series of our preferred stock, and bylaws, the Delaware General Corporation Law and the Warrant (as defined below). For a complete description of the terms of our common stock and other securities, please refer to our charter and bylaws and the Warrant.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Authorized Capital Stock</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authorized capital stock consists of (i) 150,000,000 shares of Class A common stock, $0.0001 par value per share, of which 60,000,000 are available only for issuance as dividends on outstanding Class A common stock, (ii) 5,307,816 shares of Class B common stock, $0.0001 par value per share, all of which are available only for issuance as dividends on outstanding Class B common stock, and (iii) 10,000,000 shares of preferred stock, $0.0001 par value per share. Class A common stock and Class B common stock are referred to collectively as common stock. Authorized but unissued shares of Class B Common Stock are not available for reissuance.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 Rights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Except as otherwise required by Delaware law, at every annual or special meeting of stockholders, holders of Class B common stock are entitled to twenty votes per share and holders of Class A common stock are entitled to one vote per share. The holders of Class A common stock and Class B common stock vote together as a single class, unless otherwise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 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Liquidation</w:t>
      </w:r>
    </w:p>
    <w:p>
      <w:pPr>
        <w:spacing w:after="0" w:line="212"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Conversion</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Once converted or transferred and converted into Class A common stock, shares of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7154545"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261" w:right="319" w:bottom="1440" w:gutter="0" w:footer="0" w:header="0"/>
        </w:sectPr>
      </w:pPr>
    </w:p>
    <w:bookmarkStart w:id="135" w:name="page136"/>
    <w:bookmarkEnd w:id="135"/>
    <w:p>
      <w:pPr>
        <w:spacing w:after="0"/>
        <w:rPr>
          <w:sz w:val="20"/>
          <w:szCs w:val="20"/>
          <w:color w:val="auto"/>
        </w:rPr>
      </w:pPr>
      <w:r>
        <w:rPr>
          <w:rFonts w:ascii="Arial" w:cs="Arial" w:eastAsia="Arial" w:hAnsi="Arial"/>
          <w:sz w:val="15"/>
          <w:szCs w:val="15"/>
          <w:i w:val="1"/>
          <w:iCs w:val="1"/>
          <w:color w:val="auto"/>
        </w:rPr>
        <w:t>Other Rights and Preferences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Provisions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Law</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61" w:lineRule="exact"/>
        <w:rPr>
          <w:sz w:val="20"/>
          <w:szCs w:val="20"/>
          <w:color w:val="auto"/>
        </w:rPr>
      </w:pPr>
    </w:p>
    <w:p>
      <w:pPr>
        <w:ind w:left="540" w:hanging="278"/>
        <w:spacing w:after="0"/>
        <w:tabs>
          <w:tab w:leader="none" w:pos="5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transaction is approved by the board of directors prior to the time that the interested stockholder became an interested stockholder;</w:t>
      </w:r>
    </w:p>
    <w:p>
      <w:pPr>
        <w:spacing w:after="0" w:line="212" w:lineRule="exact"/>
        <w:rPr>
          <w:rFonts w:ascii="Arial" w:cs="Arial" w:eastAsia="Arial" w:hAnsi="Arial"/>
          <w:sz w:val="15"/>
          <w:szCs w:val="15"/>
          <w:color w:val="auto"/>
        </w:rPr>
      </w:pPr>
    </w:p>
    <w:p>
      <w:pPr>
        <w:ind w:left="540" w:right="20" w:hanging="278"/>
        <w:spacing w:after="0" w:line="313"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145" w:lineRule="exact"/>
        <w:rPr>
          <w:rFonts w:ascii="Arial" w:cs="Arial" w:eastAsia="Arial" w:hAnsi="Arial"/>
          <w:sz w:val="14"/>
          <w:szCs w:val="14"/>
          <w:color w:val="auto"/>
        </w:rPr>
      </w:pPr>
    </w:p>
    <w:p>
      <w:pPr>
        <w:ind w:left="540" w:hanging="278"/>
        <w:spacing w:after="0" w:line="276" w:lineRule="auto"/>
        <w:tabs>
          <w:tab w:leader="none" w:pos="5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212725</wp:posOffset>
            </wp:positionV>
            <wp:extent cx="7154545"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8">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6" w:name="page137"/>
    <w:bookmarkEnd w:id="136"/>
    <w:p>
      <w:pPr>
        <w:spacing w:after="0"/>
        <w:rPr>
          <w:sz w:val="20"/>
          <w:szCs w:val="20"/>
          <w:color w:val="auto"/>
        </w:rPr>
      </w:pPr>
      <w:r>
        <w:rPr>
          <w:rFonts w:ascii="Arial" w:cs="Arial" w:eastAsia="Arial" w:hAnsi="Arial"/>
          <w:sz w:val="15"/>
          <w:szCs w:val="15"/>
          <w:b w:val="1"/>
          <w:bCs w:val="1"/>
          <w:color w:val="auto"/>
        </w:rPr>
        <w:t>Charter and Bylaw Provisions</w:t>
      </w:r>
    </w:p>
    <w:p>
      <w:pPr>
        <w:spacing w:after="0" w:line="216"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146" w:lineRule="exact"/>
        <w:rPr>
          <w:sz w:val="20"/>
          <w:szCs w:val="20"/>
          <w:color w:val="auto"/>
        </w:rPr>
      </w:pPr>
    </w:p>
    <w:p>
      <w:pPr>
        <w:jc w:val="both"/>
        <w:ind w:left="540" w:hanging="278"/>
        <w:spacing w:after="0" w:line="260" w:lineRule="auto"/>
        <w:tabs>
          <w:tab w:leader="none" w:pos="54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Separate Class B Vote for Certain Transactions</w:t>
      </w:r>
      <w:r>
        <w:rPr>
          <w:rFonts w:ascii="Arial" w:cs="Arial" w:eastAsia="Arial" w:hAnsi="Arial"/>
          <w:sz w:val="15"/>
          <w:szCs w:val="15"/>
          <w:color w:val="auto"/>
        </w:rPr>
        <w:t>. Until the first date on which the outstanding shares of Class B common stock represent less than 35% of the combined voting</w:t>
      </w:r>
      <w:r>
        <w:rPr>
          <w:rFonts w:ascii="Arial" w:cs="Arial" w:eastAsia="Arial" w:hAnsi="Arial"/>
          <w:sz w:val="15"/>
          <w:szCs w:val="15"/>
          <w:i w:val="1"/>
          <w:iCs w:val="1"/>
          <w:color w:val="auto"/>
        </w:rPr>
        <w:t xml:space="preserve"> </w:t>
      </w:r>
      <w:r>
        <w:rPr>
          <w:rFonts w:ascii="Arial" w:cs="Arial" w:eastAsia="Arial" w:hAnsi="Arial"/>
          <w:sz w:val="15"/>
          <w:szCs w:val="15"/>
          <w:color w:val="auto"/>
        </w:rPr>
        <w:t>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180" w:lineRule="exact"/>
        <w:rPr>
          <w:rFonts w:ascii="Arial" w:cs="Arial" w:eastAsia="Arial" w:hAnsi="Arial"/>
          <w:sz w:val="15"/>
          <w:szCs w:val="15"/>
          <w:color w:val="auto"/>
        </w:rPr>
      </w:pPr>
    </w:p>
    <w:p>
      <w:pPr>
        <w:jc w:val="both"/>
        <w:ind w:left="540" w:hanging="278"/>
        <w:spacing w:after="0" w:line="260" w:lineRule="auto"/>
        <w:tabs>
          <w:tab w:leader="none" w:pos="54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Dual Class Stock</w:t>
      </w:r>
      <w:r>
        <w:rPr>
          <w:rFonts w:ascii="Arial" w:cs="Arial" w:eastAsia="Arial" w:hAnsi="Arial"/>
          <w:sz w:val="15"/>
          <w:szCs w:val="15"/>
          <w:color w:val="auto"/>
        </w:rPr>
        <w:t>. As described above in “—Common Stock—Voting Rights” above, our charter provides for a dual class common stock structure, which provides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180" w:lineRule="exact"/>
        <w:rPr>
          <w:rFonts w:ascii="Arial" w:cs="Arial" w:eastAsia="Arial" w:hAnsi="Arial"/>
          <w:sz w:val="15"/>
          <w:szCs w:val="15"/>
          <w:color w:val="auto"/>
        </w:rPr>
      </w:pPr>
    </w:p>
    <w:p>
      <w:pPr>
        <w:jc w:val="both"/>
        <w:ind w:left="540" w:hanging="278"/>
        <w:spacing w:after="0" w:line="291"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i w:val="1"/>
          <w:iCs w:val="1"/>
          <w:color w:val="auto"/>
        </w:rPr>
        <w:t>Supermajority Approvals</w:t>
      </w:r>
      <w:r>
        <w:rPr>
          <w:rFonts w:ascii="Arial" w:cs="Arial" w:eastAsia="Arial" w:hAnsi="Arial"/>
          <w:sz w:val="14"/>
          <w:szCs w:val="14"/>
          <w:color w:val="auto"/>
        </w:rPr>
        <w:t>. Our charter and bylaws provide that when the outstanding shares of Class B common stock represent less than a majority of the combined voting</w:t>
      </w:r>
      <w:r>
        <w:rPr>
          <w:rFonts w:ascii="Arial" w:cs="Arial" w:eastAsia="Arial" w:hAnsi="Arial"/>
          <w:sz w:val="14"/>
          <w:szCs w:val="14"/>
          <w:i w:val="1"/>
          <w:iCs w:val="1"/>
          <w:color w:val="auto"/>
        </w:rPr>
        <w:t xml:space="preserve"> </w:t>
      </w:r>
      <w:r>
        <w:rPr>
          <w:rFonts w:ascii="Arial" w:cs="Arial" w:eastAsia="Arial" w:hAnsi="Arial"/>
          <w:sz w:val="14"/>
          <w:szCs w:val="14"/>
          <w:color w:val="auto"/>
        </w:rPr>
        <w:t>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160" w:lineRule="exact"/>
        <w:rPr>
          <w:rFonts w:ascii="Arial" w:cs="Arial" w:eastAsia="Arial" w:hAnsi="Arial"/>
          <w:sz w:val="14"/>
          <w:szCs w:val="14"/>
          <w:color w:val="auto"/>
        </w:rPr>
      </w:pPr>
    </w:p>
    <w:p>
      <w:pPr>
        <w:jc w:val="both"/>
        <w:ind w:left="540" w:hanging="278"/>
        <w:spacing w:after="0" w:line="256" w:lineRule="auto"/>
        <w:tabs>
          <w:tab w:leader="none" w:pos="54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Board of Directors Vacancies</w:t>
      </w:r>
      <w:r>
        <w:rPr>
          <w:rFonts w:ascii="Arial" w:cs="Arial" w:eastAsia="Arial" w:hAnsi="Arial"/>
          <w:sz w:val="15"/>
          <w:szCs w:val="15"/>
          <w:color w:val="auto"/>
        </w:rPr>
        <w:t>. Our charter and bylaws provide that stockholders may fill vacant directorships. When the outstanding shares of Class B common stock represent</w:t>
      </w:r>
      <w:r>
        <w:rPr>
          <w:rFonts w:ascii="Arial" w:cs="Arial" w:eastAsia="Arial" w:hAnsi="Arial"/>
          <w:sz w:val="15"/>
          <w:szCs w:val="15"/>
          <w:i w:val="1"/>
          <w:iCs w:val="1"/>
          <w:color w:val="auto"/>
        </w:rPr>
        <w:t xml:space="preserve"> </w:t>
      </w:r>
      <w:r>
        <w:rPr>
          <w:rFonts w:ascii="Arial" w:cs="Arial" w:eastAsia="Arial" w:hAnsi="Arial"/>
          <w:sz w:val="15"/>
          <w:szCs w:val="15"/>
          <w:color w:val="auto"/>
        </w:rPr>
        <w:t>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spacing w:after="0" w:line="185" w:lineRule="exact"/>
        <w:rPr>
          <w:rFonts w:ascii="Arial" w:cs="Arial" w:eastAsia="Arial" w:hAnsi="Arial"/>
          <w:sz w:val="15"/>
          <w:szCs w:val="15"/>
          <w:color w:val="auto"/>
        </w:rPr>
      </w:pPr>
    </w:p>
    <w:p>
      <w:pPr>
        <w:jc w:val="both"/>
        <w:ind w:left="540" w:hanging="278"/>
        <w:spacing w:after="0" w:line="258" w:lineRule="auto"/>
        <w:tabs>
          <w:tab w:leader="none" w:pos="54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Classified Board</w:t>
      </w:r>
      <w:r>
        <w:rPr>
          <w:rFonts w:ascii="Arial" w:cs="Arial" w:eastAsia="Arial" w:hAnsi="Arial"/>
          <w:sz w:val="15"/>
          <w:szCs w:val="15"/>
          <w:color w:val="auto"/>
        </w:rPr>
        <w:t>. The board of directors is not currently classified. Our charter and bylaws provide that when outstanding shares of Class B common stock represent less than a</w:t>
      </w:r>
      <w:r>
        <w:rPr>
          <w:rFonts w:ascii="Arial" w:cs="Arial" w:eastAsia="Arial" w:hAnsi="Arial"/>
          <w:sz w:val="15"/>
          <w:szCs w:val="15"/>
          <w:i w:val="1"/>
          <w:iCs w:val="1"/>
          <w:color w:val="auto"/>
        </w:rPr>
        <w:t xml:space="preserve"> </w:t>
      </w:r>
      <w:r>
        <w:rPr>
          <w:rFonts w:ascii="Arial" w:cs="Arial" w:eastAsia="Arial" w:hAnsi="Arial"/>
          <w:sz w:val="15"/>
          <w:szCs w:val="15"/>
          <w:color w:val="auto"/>
        </w:rPr>
        <w:t>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then-outstanding shares of Class A and Class B common stock. The existence of a classified board could delay a successful tender offeror from obtaining majority control of the board, and the prospect of that delay might deter a potential offeror.</w:t>
      </w:r>
    </w:p>
    <w:p>
      <w:pPr>
        <w:spacing w:after="0" w:line="181" w:lineRule="exact"/>
        <w:rPr>
          <w:rFonts w:ascii="Arial" w:cs="Arial" w:eastAsia="Arial" w:hAnsi="Arial"/>
          <w:sz w:val="15"/>
          <w:szCs w:val="15"/>
          <w:color w:val="auto"/>
        </w:rPr>
      </w:pPr>
    </w:p>
    <w:p>
      <w:pPr>
        <w:jc w:val="both"/>
        <w:ind w:left="540" w:hanging="278"/>
        <w:spacing w:after="0" w:line="255" w:lineRule="auto"/>
        <w:tabs>
          <w:tab w:leader="none" w:pos="54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Stockholder Action; Special Meeting of Stockholders</w:t>
      </w:r>
      <w:r>
        <w:rPr>
          <w:rFonts w:ascii="Arial" w:cs="Arial" w:eastAsia="Arial" w:hAnsi="Arial"/>
          <w:sz w:val="15"/>
          <w:szCs w:val="15"/>
          <w:color w:val="auto"/>
        </w:rPr>
        <w:t>. Our charter provides that stockholders will be able to take action by written consent. When the outstanding shares of Class</w:t>
      </w:r>
      <w:r>
        <w:rPr>
          <w:rFonts w:ascii="Arial" w:cs="Arial" w:eastAsia="Arial" w:hAnsi="Arial"/>
          <w:sz w:val="15"/>
          <w:szCs w:val="15"/>
          <w:i w:val="1"/>
          <w:iCs w:val="1"/>
          <w:color w:val="auto"/>
        </w:rPr>
        <w:t xml:space="preserve"> </w:t>
      </w:r>
      <w:r>
        <w:rPr>
          <w:rFonts w:ascii="Arial" w:cs="Arial" w:eastAsia="Arial" w:hAnsi="Arial"/>
          <w:sz w:val="15"/>
          <w:szCs w:val="15"/>
          <w:color w:val="auto"/>
        </w:rPr>
        <w:t>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219075</wp:posOffset>
            </wp:positionV>
            <wp:extent cx="7154545"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7" w:name="page138"/>
    <w:bookmarkEnd w:id="137"/>
    <w:p>
      <w:pPr>
        <w:jc w:val="both"/>
        <w:ind w:left="540" w:hanging="278"/>
        <w:spacing w:after="0" w:line="260" w:lineRule="auto"/>
        <w:tabs>
          <w:tab w:leader="none" w:pos="54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Advance Notice Requirements for Stockholder Proposals and Director Nominations</w:t>
      </w:r>
      <w:r>
        <w:rPr>
          <w:rFonts w:ascii="Arial" w:cs="Arial" w:eastAsia="Arial" w:hAnsi="Arial"/>
          <w:sz w:val="15"/>
          <w:szCs w:val="15"/>
          <w:color w:val="auto"/>
        </w:rPr>
        <w:t>. Our bylaws provide advance notice procedures for stockholders seeking to bring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0" w:lineRule="exact"/>
        <w:rPr>
          <w:rFonts w:ascii="Arial" w:cs="Arial" w:eastAsia="Arial" w:hAnsi="Arial"/>
          <w:sz w:val="15"/>
          <w:szCs w:val="15"/>
          <w:color w:val="auto"/>
        </w:rPr>
      </w:pPr>
    </w:p>
    <w:p>
      <w:pPr>
        <w:jc w:val="both"/>
        <w:ind w:left="540" w:hanging="278"/>
        <w:spacing w:after="0" w:line="291"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i w:val="1"/>
          <w:iCs w:val="1"/>
          <w:color w:val="auto"/>
        </w:rPr>
        <w:t>Issuance of Undesignated Preferred Stock</w:t>
      </w:r>
      <w:r>
        <w:rPr>
          <w:rFonts w:ascii="Arial" w:cs="Arial" w:eastAsia="Arial" w:hAnsi="Arial"/>
          <w:sz w:val="14"/>
          <w:szCs w:val="14"/>
          <w:color w:val="auto"/>
        </w:rPr>
        <w:t>. The board of directors has the authority, without further action by the stockholders, to issue shares of undesignated preferred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Choice of Forum</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The choice of forum provision summarized above is not intended to, and would not, apply to suits brought to enforce any liability or duty created by (i) the Securities Act of 1933 or the rules and regulations thereunder, jurisdiction over which is vested in concurrently vested in federal and state courts, or (ii) the Securities Exchange Act of 1934 or the rules and regulations thereunder, jurisdiction over which is exclusively vested by statute in the U.S. federal courts.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is Computershare Trust Company, N.A.</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Nasdaq Global Market</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Class A common stock is listed on the Nasdaq Global Market under the symbol “ACMR.”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292100</wp:posOffset>
            </wp:positionV>
            <wp:extent cx="7154545"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285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1">
                      <a:extLst>
                        <a:ext uri="{28A0092B-C50C-407E-A947-70E740481C1C}"/>
                      </a:extLst>
                    </a:blip>
                    <a:srcRect/>
                    <a:stretch>
                      <a:fillRect/>
                    </a:stretch>
                  </pic:blipFill>
                  <pic:spPr bwMode="auto">
                    <a:xfrm>
                      <a:off x="0" y="0"/>
                      <a:ext cx="7154545" cy="28575"/>
                    </a:xfrm>
                    <a:prstGeom prst="rect">
                      <a:avLst/>
                    </a:prstGeom>
                    <a:noFill/>
                  </pic:spPr>
                </pic:pic>
              </a:graphicData>
            </a:graphic>
          </wp:anchor>
        </w:drawing>
        <w:t>Exhibit 10.01(d)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D&amp;J Construction,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1856</w:t>
      </w:r>
    </w:p>
    <w:p>
      <w:pPr>
        <w:jc w:val="center"/>
        <w:spacing w:after="0"/>
        <w:rPr>
          <w:sz w:val="20"/>
          <w:szCs w:val="20"/>
          <w:color w:val="auto"/>
        </w:rPr>
      </w:pPr>
      <w:r>
        <w:rPr>
          <w:rFonts w:ascii="Arial" w:cs="Arial" w:eastAsia="Arial" w:hAnsi="Arial"/>
          <w:sz w:val="18"/>
          <w:szCs w:val="18"/>
          <w:color w:val="auto"/>
        </w:rPr>
        <w:t>Fremont, Ca. 94538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January 4,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42307 Osgood Rd., Unit I</w:t>
      </w:r>
    </w:p>
    <w:p>
      <w:pPr>
        <w:spacing w:after="0"/>
        <w:rPr>
          <w:sz w:val="20"/>
          <w:szCs w:val="20"/>
          <w:color w:val="auto"/>
        </w:rPr>
      </w:pPr>
      <w:r>
        <w:rPr>
          <w:rFonts w:ascii="Arial" w:cs="Arial" w:eastAsia="Arial" w:hAnsi="Arial"/>
          <w:sz w:val="18"/>
          <w:szCs w:val="18"/>
          <w:color w:val="auto"/>
        </w:rPr>
        <w:t>Fremont, CA 94539</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color w:val="auto"/>
        </w:rPr>
        <w:t>RE:</w:t>
        <w:tab/>
        <w:t>Expiration of Lease at 42307 Osgood Rd., Unit I, Fremont, CA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Dear ACM Research, Inc.,</w:t>
      </w:r>
    </w:p>
    <w:p>
      <w:pPr>
        <w:spacing w:after="0" w:line="200"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color w:val="auto"/>
        </w:rPr>
        <w:t>Your current lease expires with D&amp;J Construction, Inc. on March 31, 2021. D&amp;J Construction, Inc. proposes a new two-year lease beginning April l, 2021 with an ending date of March 31, 2023. D&amp;J Construction, Inc. and ACM Research, Inc. have agreed upon the following rent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4/1/2021 - 3/31/2023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Base rent: $1.13/square foot ($3,390.00)</w:t>
      </w:r>
    </w:p>
    <w:p>
      <w:pPr>
        <w:spacing w:after="0" w:line="236" w:lineRule="auto"/>
        <w:rPr>
          <w:sz w:val="20"/>
          <w:szCs w:val="20"/>
          <w:color w:val="auto"/>
        </w:rPr>
      </w:pPr>
      <w:r>
        <w:rPr>
          <w:rFonts w:ascii="Arial" w:cs="Arial" w:eastAsia="Arial" w:hAnsi="Arial"/>
          <w:sz w:val="18"/>
          <w:szCs w:val="18"/>
          <w:color w:val="auto"/>
        </w:rPr>
        <w:t>CAM: $0.07/sf ($210.00)</w:t>
      </w:r>
    </w:p>
    <w:p>
      <w:pPr>
        <w:spacing w:after="0"/>
        <w:rPr>
          <w:sz w:val="20"/>
          <w:szCs w:val="20"/>
          <w:color w:val="auto"/>
        </w:rPr>
      </w:pPr>
      <w:r>
        <w:rPr>
          <w:rFonts w:ascii="Arial" w:cs="Arial" w:eastAsia="Arial" w:hAnsi="Arial"/>
          <w:sz w:val="18"/>
          <w:szCs w:val="18"/>
          <w:color w:val="auto"/>
        </w:rPr>
        <w:t>Monthly Total: $3,600.00</w:t>
      </w:r>
    </w:p>
    <w:p>
      <w:pPr>
        <w:spacing w:after="0" w:line="18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hope that this offer can be extended into an agreement that will be acceptable to both parties. Thank you, again, for leasing from D&amp;J Construction,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D&amp;J Construction, Inc.</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/s/ Tammy Eliseian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1788795"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2">
                      <a:extLst>
                        <a:ext uri="{28A0092B-C50C-407E-A947-70E740481C1C}"/>
                      </a:extLst>
                    </a:blip>
                    <a:srcRect/>
                    <a:stretch>
                      <a:fillRect/>
                    </a:stretch>
                  </pic:blipFill>
                  <pic:spPr bwMode="auto">
                    <a:xfrm>
                      <a:off x="0" y="0"/>
                      <a:ext cx="1788795" cy="146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Tammy Eliseian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President</w:t>
      </w:r>
    </w:p>
    <w:p>
      <w:pPr>
        <w:spacing w:after="0" w:line="194" w:lineRule="exact"/>
        <w:rPr>
          <w:sz w:val="20"/>
          <w:szCs w:val="20"/>
          <w:color w:val="auto"/>
        </w:rPr>
      </w:pPr>
    </w:p>
    <w:p>
      <w:pPr>
        <w:ind w:right="320"/>
        <w:spacing w:after="0" w:line="327" w:lineRule="auto"/>
        <w:rPr>
          <w:sz w:val="20"/>
          <w:szCs w:val="20"/>
          <w:color w:val="auto"/>
        </w:rPr>
      </w:pPr>
      <w:r>
        <w:rPr>
          <w:rFonts w:ascii="Arial" w:cs="Arial" w:eastAsia="Arial" w:hAnsi="Arial"/>
          <w:sz w:val="16"/>
          <w:szCs w:val="16"/>
          <w:color w:val="auto"/>
        </w:rPr>
        <w:t>If this offer is acceptable, please indicate acceptance by signing below and returning to our office. By the undersigned signature this becomes a binding addendum to the Lease dated March 22, 2017 with all terms and conditions as set forth in the Lease effective thorough the ending date of this term.</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/s/ Lillian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178879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3">
                      <a:extLst>
                        <a:ext uri="{28A0092B-C50C-407E-A947-70E740481C1C}"/>
                      </a:extLst>
                    </a:blip>
                    <a:srcRect/>
                    <a:stretch>
                      <a:fillRect/>
                    </a:stretch>
                  </pic:blipFill>
                  <pic:spPr bwMode="auto">
                    <a:xfrm>
                      <a:off x="0" y="0"/>
                      <a:ext cx="1788795" cy="146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Lillian Chen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Procurement and Office Manager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322580</wp:posOffset>
            </wp:positionV>
            <wp:extent cx="7154545"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4">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252" w:right="3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28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5">
                      <a:extLst>
                        <a:ext uri="{28A0092B-C50C-407E-A947-70E740481C1C}"/>
                      </a:extLst>
                    </a:blip>
                    <a:srcRect/>
                    <a:stretch>
                      <a:fillRect/>
                    </a:stretch>
                  </pic:blipFill>
                  <pic:spPr bwMode="auto">
                    <a:xfrm>
                      <a:off x="0" y="0"/>
                      <a:ext cx="7154545" cy="28575"/>
                    </a:xfrm>
                    <a:prstGeom prst="rect">
                      <a:avLst/>
                    </a:prstGeom>
                    <a:noFill/>
                  </pic:spPr>
                </pic:pic>
              </a:graphicData>
            </a:graphic>
          </wp:anchor>
        </w:drawing>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141605</wp:posOffset>
            </wp:positionV>
            <wp:extent cx="934085" cy="4381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6">
                      <a:extLst>
                        <a:ext uri="{28A0092B-C50C-407E-A947-70E740481C1C}"/>
                      </a:extLst>
                    </a:blip>
                    <a:srcRect/>
                    <a:stretch>
                      <a:fillRect/>
                    </a:stretch>
                  </pic:blipFill>
                  <pic:spPr bwMode="auto">
                    <a:xfrm>
                      <a:off x="0" y="0"/>
                      <a:ext cx="93408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40"/>
        <w:spacing w:after="0" w:line="172" w:lineRule="exact"/>
        <w:rPr>
          <w:sz w:val="20"/>
          <w:szCs w:val="20"/>
          <w:color w:val="auto"/>
        </w:rPr>
      </w:pPr>
      <w:r>
        <w:rPr>
          <w:rFonts w:ascii="SimSun" w:cs="SimSun" w:eastAsia="SimSun" w:hAnsi="SimSun"/>
          <w:sz w:val="15"/>
          <w:szCs w:val="15"/>
          <w:color w:val="auto"/>
        </w:rPr>
        <w:t>盛美半导体设备（上海）有限公司</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9" w:lineRule="exact"/>
        <w:rPr>
          <w:sz w:val="20"/>
          <w:szCs w:val="20"/>
          <w:color w:val="auto"/>
        </w:rPr>
      </w:pPr>
    </w:p>
    <w:p>
      <w:pPr>
        <w:jc w:val="center"/>
        <w:spacing w:after="0" w:line="206" w:lineRule="exact"/>
        <w:rPr>
          <w:sz w:val="20"/>
          <w:szCs w:val="20"/>
          <w:color w:val="auto"/>
        </w:rPr>
      </w:pPr>
      <w:r>
        <w:rPr>
          <w:rFonts w:ascii="SimSun" w:cs="SimSun" w:eastAsia="SimSun" w:hAnsi="SimSun"/>
          <w:sz w:val="18"/>
          <w:szCs w:val="18"/>
          <w:color w:val="auto"/>
        </w:rPr>
        <w:t>劳 动 合 同</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Party A: ACM Research (Shanghai),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(Hereinafter: "the Company")</w:t>
      </w:r>
    </w:p>
    <w:p>
      <w:pPr>
        <w:spacing w:after="0" w:line="219" w:lineRule="exact"/>
        <w:rPr>
          <w:sz w:val="20"/>
          <w:szCs w:val="20"/>
          <w:color w:val="auto"/>
        </w:rPr>
      </w:pPr>
    </w:p>
    <w:p>
      <w:pPr>
        <w:jc w:val="center"/>
        <w:spacing w:after="0" w:line="206" w:lineRule="exact"/>
        <w:rPr>
          <w:sz w:val="20"/>
          <w:szCs w:val="20"/>
          <w:color w:val="auto"/>
        </w:rPr>
      </w:pPr>
      <w:r>
        <w:rPr>
          <w:rFonts w:ascii="SimSun" w:cs="SimSun" w:eastAsia="SimSun" w:hAnsi="SimSun"/>
          <w:sz w:val="18"/>
          <w:szCs w:val="18"/>
          <w:color w:val="auto"/>
        </w:rPr>
        <w:t>甲方：盛美半导体设备（上海）有限公司</w:t>
      </w:r>
    </w:p>
    <w:p>
      <w:pPr>
        <w:spacing w:after="0" w:line="29" w:lineRule="exact"/>
        <w:rPr>
          <w:sz w:val="20"/>
          <w:szCs w:val="20"/>
          <w:color w:val="auto"/>
        </w:rPr>
      </w:pPr>
    </w:p>
    <w:p>
      <w:pPr>
        <w:jc w:val="center"/>
        <w:spacing w:after="0" w:line="219" w:lineRule="exact"/>
        <w:rPr>
          <w:sz w:val="20"/>
          <w:szCs w:val="20"/>
          <w:color w:val="auto"/>
        </w:rPr>
      </w:pPr>
      <w:r>
        <w:rPr>
          <w:rFonts w:ascii="SimSun" w:cs="SimSun" w:eastAsia="SimSun" w:hAnsi="SimSun"/>
          <w:sz w:val="18"/>
          <w:szCs w:val="18"/>
          <w:color w:val="auto"/>
        </w:rPr>
        <w:t>（以下称</w:t>
      </w:r>
      <w:r>
        <w:rPr>
          <w:rFonts w:ascii="Arial" w:cs="Arial" w:eastAsia="Arial" w:hAnsi="Arial"/>
          <w:sz w:val="18"/>
          <w:szCs w:val="18"/>
          <w:color w:val="auto"/>
        </w:rPr>
        <w:t>“</w:t>
      </w:r>
      <w:r>
        <w:rPr>
          <w:rFonts w:ascii="SimSun" w:cs="SimSun" w:eastAsia="SimSun" w:hAnsi="SimSun"/>
          <w:sz w:val="18"/>
          <w:szCs w:val="18"/>
          <w:color w:val="auto"/>
        </w:rPr>
        <w:t>公司</w:t>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Party B: (Hereinafter: "the Employee")</w:t>
      </w:r>
    </w:p>
    <w:p>
      <w:pPr>
        <w:spacing w:after="0" w:line="212" w:lineRule="exact"/>
        <w:rPr>
          <w:sz w:val="20"/>
          <w:szCs w:val="20"/>
          <w:color w:val="auto"/>
        </w:rPr>
      </w:pPr>
    </w:p>
    <w:p>
      <w:pPr>
        <w:jc w:val="center"/>
        <w:spacing w:after="0" w:line="219" w:lineRule="exact"/>
        <w:rPr>
          <w:sz w:val="20"/>
          <w:szCs w:val="20"/>
          <w:color w:val="auto"/>
        </w:rPr>
      </w:pPr>
      <w:r>
        <w:rPr>
          <w:rFonts w:ascii="SimSun" w:cs="SimSun" w:eastAsia="SimSun" w:hAnsi="SimSun"/>
          <w:sz w:val="18"/>
          <w:szCs w:val="18"/>
          <w:color w:val="auto"/>
        </w:rPr>
        <w:t>乙方：</w:t>
      </w:r>
      <w:r>
        <w:rPr>
          <w:rFonts w:ascii="Arial" w:cs="Arial" w:eastAsia="Arial" w:hAnsi="Arial"/>
          <w:sz w:val="18"/>
          <w:szCs w:val="18"/>
          <w:b w:val="1"/>
          <w:bCs w:val="1"/>
          <w:color w:val="auto"/>
        </w:rPr>
        <w:t>Lisa Feng</w:t>
      </w:r>
      <w:r>
        <w:rPr>
          <w:rFonts w:ascii="SimSun" w:cs="SimSun" w:eastAsia="SimSun" w:hAnsi="SimSun"/>
          <w:sz w:val="18"/>
          <w:szCs w:val="18"/>
          <w:color w:val="auto"/>
        </w:rPr>
        <w:t>（以下称</w:t>
      </w:r>
      <w:r>
        <w:rPr>
          <w:rFonts w:ascii="Arial" w:cs="Arial" w:eastAsia="Arial" w:hAnsi="Arial"/>
          <w:sz w:val="18"/>
          <w:szCs w:val="18"/>
          <w:color w:val="auto"/>
        </w:rPr>
        <w:t>“</w:t>
      </w:r>
      <w:r>
        <w:rPr>
          <w:rFonts w:ascii="SimSun" w:cs="SimSun" w:eastAsia="SimSun" w:hAnsi="SimSun"/>
          <w:sz w:val="18"/>
          <w:szCs w:val="18"/>
          <w:color w:val="auto"/>
        </w:rPr>
        <w:t>员工</w:t>
      </w:r>
      <w:r>
        <w:rPr>
          <w:rFonts w:ascii="Arial" w:cs="Arial" w:eastAsia="Arial" w:hAnsi="Arial"/>
          <w:sz w:val="18"/>
          <w:szCs w:val="18"/>
          <w:color w:val="auto"/>
        </w:rPr>
        <w: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Mr/Ms:Lisa Feng</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Detailed employee information is to be filled in on the signature page</w:t>
      </w:r>
    </w:p>
    <w:p>
      <w:pPr>
        <w:spacing w:after="0" w:line="215"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员工的详细信息填写在签字页</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252" w:right="319" w:bottom="1440" w:gutter="0" w:footer="0" w:header="0"/>
        </w:sectPr>
      </w:pPr>
    </w:p>
    <w:bookmarkStart w:id="140" w:name="page141"/>
    <w:bookmarkEnd w:id="140"/>
    <w:p>
      <w:pPr>
        <w:ind w:left="394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This Employment Agreement (this "Agreement") is entered into at Build 4, No.1690 Cai Lun Road, Zhangjiang High-Tech Park, Shanghai on </w:t>
      </w:r>
      <w:r>
        <w:rPr>
          <w:rFonts w:ascii="Arial" w:cs="Arial" w:eastAsia="Arial" w:hAnsi="Arial"/>
          <w:sz w:val="18"/>
          <w:szCs w:val="18"/>
          <w:u w:val="single" w:color="auto"/>
          <w:color w:val="auto"/>
        </w:rPr>
        <w:t>1/8/2018</w:t>
      </w:r>
      <w:r>
        <w:rPr>
          <w:rFonts w:ascii="Arial" w:cs="Arial" w:eastAsia="Arial" w:hAnsi="Arial"/>
          <w:sz w:val="18"/>
          <w:szCs w:val="18"/>
          <w:color w:val="auto"/>
        </w:rPr>
        <w:t xml:space="preserve"> in the People's Republic of China ("PRC") signed by the following two parties:</w:t>
      </w:r>
    </w:p>
    <w:p>
      <w:pPr>
        <w:spacing w:after="0" w:line="167"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本雇佣协议（</w:t>
      </w:r>
      <w:r>
        <w:rPr>
          <w:rFonts w:ascii="Arial" w:cs="Arial" w:eastAsia="Arial" w:hAnsi="Arial"/>
          <w:sz w:val="18"/>
          <w:szCs w:val="18"/>
          <w:color w:val="auto"/>
        </w:rPr>
        <w:t>“</w:t>
      </w:r>
      <w:r>
        <w:rPr>
          <w:rFonts w:ascii="SimSun" w:cs="SimSun" w:eastAsia="SimSun" w:hAnsi="SimSun"/>
          <w:sz w:val="18"/>
          <w:szCs w:val="18"/>
          <w:color w:val="auto"/>
        </w:rPr>
        <w:t>协议</w:t>
      </w:r>
      <w:r>
        <w:rPr>
          <w:rFonts w:ascii="Arial" w:cs="Arial" w:eastAsia="Arial" w:hAnsi="Arial"/>
          <w:sz w:val="18"/>
          <w:szCs w:val="18"/>
          <w:color w:val="auto"/>
        </w:rPr>
        <w:t>”</w:t>
      </w:r>
      <w:r>
        <w:rPr>
          <w:rFonts w:ascii="SimSun" w:cs="SimSun" w:eastAsia="SimSun" w:hAnsi="SimSun"/>
          <w:sz w:val="18"/>
          <w:szCs w:val="18"/>
          <w:color w:val="auto"/>
        </w:rPr>
        <w:t>）于</w:t>
      </w:r>
      <w:r>
        <w:rPr>
          <w:rFonts w:ascii="Arial" w:cs="Arial" w:eastAsia="Arial" w:hAnsi="Arial"/>
          <w:sz w:val="18"/>
          <w:szCs w:val="18"/>
          <w:color w:val="auto"/>
        </w:rPr>
        <w:t xml:space="preserve"> </w:t>
      </w:r>
      <w:r>
        <w:rPr>
          <w:rFonts w:ascii="Arial" w:cs="Arial" w:eastAsia="Arial" w:hAnsi="Arial"/>
          <w:sz w:val="18"/>
          <w:szCs w:val="18"/>
          <w:u w:val="single" w:color="auto"/>
          <w:color w:val="auto"/>
        </w:rPr>
        <w:t>1/8/2018</w:t>
      </w:r>
      <w:r>
        <w:rPr>
          <w:rFonts w:ascii="Arial" w:cs="Arial" w:eastAsia="Arial" w:hAnsi="Arial"/>
          <w:sz w:val="18"/>
          <w:szCs w:val="18"/>
          <w:color w:val="auto"/>
        </w:rPr>
        <w:t xml:space="preserve"> , </w:t>
      </w:r>
      <w:r>
        <w:rPr>
          <w:rFonts w:ascii="SimSun" w:cs="SimSun" w:eastAsia="SimSun" w:hAnsi="SimSun"/>
          <w:sz w:val="18"/>
          <w:szCs w:val="18"/>
          <w:color w:val="auto"/>
        </w:rPr>
        <w:t>签署于中华人民共和国（简称</w:t>
      </w:r>
      <w:r>
        <w:rPr>
          <w:rFonts w:ascii="Arial" w:cs="Arial" w:eastAsia="Arial" w:hAnsi="Arial"/>
          <w:sz w:val="18"/>
          <w:szCs w:val="18"/>
          <w:color w:val="auto"/>
        </w:rPr>
        <w:t>“</w:t>
      </w:r>
      <w:r>
        <w:rPr>
          <w:rFonts w:ascii="SimSun" w:cs="SimSun" w:eastAsia="SimSun" w:hAnsi="SimSun"/>
          <w:sz w:val="18"/>
          <w:szCs w:val="18"/>
          <w:color w:val="auto"/>
        </w:rPr>
        <w:t>中国</w:t>
      </w:r>
      <w:r>
        <w:rPr>
          <w:rFonts w:ascii="Arial" w:cs="Arial" w:eastAsia="Arial" w:hAnsi="Arial"/>
          <w:sz w:val="18"/>
          <w:szCs w:val="18"/>
          <w:color w:val="auto"/>
        </w:rPr>
        <w:t xml:space="preserve">”) , </w:t>
      </w:r>
      <w:r>
        <w:rPr>
          <w:rFonts w:ascii="SimSun" w:cs="SimSun" w:eastAsia="SimSun" w:hAnsi="SimSun"/>
          <w:sz w:val="18"/>
          <w:szCs w:val="18"/>
          <w:color w:val="auto"/>
        </w:rPr>
        <w:t>上海张江高科技园区蔡伦路</w:t>
      </w:r>
      <w:r>
        <w:rPr>
          <w:rFonts w:ascii="Arial" w:cs="Arial" w:eastAsia="Arial" w:hAnsi="Arial"/>
          <w:sz w:val="18"/>
          <w:szCs w:val="18"/>
          <w:color w:val="auto"/>
        </w:rPr>
        <w:t>1690</w:t>
      </w:r>
      <w:r>
        <w:rPr>
          <w:rFonts w:ascii="SimSun" w:cs="SimSun" w:eastAsia="SimSun" w:hAnsi="SimSun"/>
          <w:sz w:val="18"/>
          <w:szCs w:val="18"/>
          <w:color w:val="auto"/>
        </w:rPr>
        <w:t>号第</w:t>
      </w:r>
      <w:r>
        <w:rPr>
          <w:rFonts w:ascii="Arial" w:cs="Arial" w:eastAsia="Arial" w:hAnsi="Arial"/>
          <w:sz w:val="18"/>
          <w:szCs w:val="18"/>
          <w:color w:val="auto"/>
        </w:rPr>
        <w:t>4</w:t>
      </w:r>
      <w:r>
        <w:rPr>
          <w:rFonts w:ascii="SimSun" w:cs="SimSun" w:eastAsia="SimSun" w:hAnsi="SimSun"/>
          <w:sz w:val="18"/>
          <w:szCs w:val="18"/>
          <w:color w:val="auto"/>
        </w:rPr>
        <w:t>幢</w:t>
      </w:r>
      <w:r>
        <w:rPr>
          <w:rFonts w:ascii="Arial" w:cs="Arial" w:eastAsia="Arial" w:hAnsi="Arial"/>
          <w:sz w:val="18"/>
          <w:szCs w:val="18"/>
          <w:color w:val="auto"/>
        </w:rPr>
        <w:t xml:space="preserve"> , </w:t>
      </w:r>
      <w:r>
        <w:rPr>
          <w:rFonts w:ascii="SimSun" w:cs="SimSun" w:eastAsia="SimSun" w:hAnsi="SimSun"/>
          <w:sz w:val="18"/>
          <w:szCs w:val="18"/>
          <w:color w:val="auto"/>
        </w:rPr>
        <w:t>签约双方为：</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ACM Research (Shanghai) Inc.</w:t>
      </w:r>
    </w:p>
    <w:p>
      <w:pPr>
        <w:spacing w:after="0" w:line="219"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公司： 盛美半导体设备（上海）有限公司</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Representative: Hui Wang</w:t>
      </w:r>
    </w:p>
    <w:p>
      <w:pPr>
        <w:spacing w:after="0" w:line="219"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法定代表人：王晖</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8"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和</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Name of Employee:</w:t>
      </w:r>
    </w:p>
    <w:p>
      <w:pPr>
        <w:spacing w:after="0" w:line="212" w:lineRule="exact"/>
        <w:rPr>
          <w:sz w:val="20"/>
          <w:szCs w:val="20"/>
          <w:color w:val="auto"/>
        </w:rPr>
      </w:pPr>
    </w:p>
    <w:p>
      <w:pPr>
        <w:spacing w:after="0"/>
        <w:tabs>
          <w:tab w:leader="none" w:pos="1880" w:val="left"/>
        </w:tabs>
        <w:rPr>
          <w:sz w:val="20"/>
          <w:szCs w:val="20"/>
          <w:color w:val="auto"/>
        </w:rPr>
      </w:pPr>
      <w:r>
        <w:rPr>
          <w:rFonts w:ascii="SimSun" w:cs="SimSun" w:eastAsia="SimSun" w:hAnsi="SimSun"/>
          <w:sz w:val="18"/>
          <w:szCs w:val="18"/>
          <w:color w:val="auto"/>
        </w:rPr>
        <w:t>员工：员工姓名：</w:t>
      </w:r>
      <w:r>
        <w:rPr>
          <w:sz w:val="20"/>
          <w:szCs w:val="20"/>
          <w:color w:val="auto"/>
        </w:rPr>
        <w:tab/>
      </w:r>
      <w:r>
        <w:rPr>
          <w:rFonts w:ascii="Arial" w:cs="Arial" w:eastAsia="Arial" w:hAnsi="Arial"/>
          <w:sz w:val="18"/>
          <w:szCs w:val="18"/>
          <w:b w:val="1"/>
          <w:bCs w:val="1"/>
          <w:color w:val="auto"/>
        </w:rPr>
        <w:t>Lisa Feng</w:t>
      </w:r>
    </w:p>
    <w:p>
      <w:pPr>
        <w:spacing w:after="0" w:line="2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 xml:space="preserve">ID Number: </w:t>
      </w:r>
      <w:r>
        <w:rPr>
          <w:rFonts w:ascii="SimSun" w:cs="SimSun" w:eastAsia="SimSun" w:hAnsi="SimSun"/>
          <w:sz w:val="18"/>
          <w:szCs w:val="18"/>
          <w:color w:val="auto"/>
        </w:rPr>
        <w:t>身份证号码：</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Address:</w:t>
      </w:r>
    </w:p>
    <w:p>
      <w:pPr>
        <w:spacing w:after="0" w:line="11"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身份地址：</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Residential address:</w:t>
      </w:r>
    </w:p>
    <w:p>
      <w:pPr>
        <w:spacing w:after="0" w:line="1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居住地址：</w:t>
      </w:r>
      <w:r>
        <w:rPr>
          <w:rFonts w:ascii="Arial" w:cs="Arial" w:eastAsia="Arial" w:hAnsi="Arial"/>
          <w:sz w:val="18"/>
          <w:szCs w:val="18"/>
          <w:color w:val="auto"/>
        </w:rPr>
        <w:t>***</w:t>
      </w:r>
    </w:p>
    <w:p>
      <w:pPr>
        <w:spacing w:after="0" w:line="1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This company and the aforementioned individual shall bilaterally and unanimously reach an agreement on the undertakings, terms and conditions to sign the agreement as follows:</w:t>
      </w:r>
    </w:p>
    <w:p>
      <w:pPr>
        <w:spacing w:after="0" w:line="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本公司和该员工就双方承诺、条款和条件达成一致</w:t>
      </w:r>
      <w:r>
        <w:rPr>
          <w:rFonts w:ascii="Arial" w:cs="Arial" w:eastAsia="Arial" w:hAnsi="Arial"/>
          <w:sz w:val="18"/>
          <w:szCs w:val="18"/>
          <w:color w:val="auto"/>
        </w:rPr>
        <w:t xml:space="preserve"> , </w:t>
      </w:r>
      <w:r>
        <w:rPr>
          <w:rFonts w:ascii="SimSun" w:cs="SimSun" w:eastAsia="SimSun" w:hAnsi="SimSun"/>
          <w:sz w:val="18"/>
          <w:szCs w:val="18"/>
          <w:color w:val="auto"/>
        </w:rPr>
        <w:t>并签订协议如下：</w:t>
      </w: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628" w:right="319" w:bottom="1440" w:gutter="0" w:footer="0" w:header="0"/>
        </w:sectPr>
      </w:pPr>
    </w:p>
    <w:bookmarkStart w:id="141" w:name="page142"/>
    <w:bookmarkEnd w:id="141"/>
    <w:p>
      <w:pPr>
        <w:ind w:left="395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31" w:lineRule="exact"/>
        <w:rPr>
          <w:sz w:val="20"/>
          <w:szCs w:val="20"/>
          <w:color w:val="auto"/>
        </w:rPr>
      </w:pPr>
    </w:p>
    <w:p>
      <w:pPr>
        <w:ind w:left="550" w:hanging="550"/>
        <w:spacing w:after="0" w:line="182" w:lineRule="exact"/>
        <w:tabs>
          <w:tab w:leader="none" w:pos="550" w:val="left"/>
        </w:tabs>
        <w:numPr>
          <w:ilvl w:val="0"/>
          <w:numId w:val="90"/>
        </w:numPr>
        <w:rPr>
          <w:rFonts w:ascii="Arial" w:cs="Arial" w:eastAsia="Arial" w:hAnsi="Arial"/>
          <w:sz w:val="15"/>
          <w:szCs w:val="15"/>
          <w:b w:val="1"/>
          <w:bCs w:val="1"/>
          <w:color w:val="auto"/>
        </w:rPr>
      </w:pPr>
      <w:r>
        <w:rPr>
          <w:rFonts w:ascii="Arial" w:cs="Arial" w:eastAsia="Arial" w:hAnsi="Arial"/>
          <w:sz w:val="15"/>
          <w:szCs w:val="15"/>
          <w:b w:val="1"/>
          <w:bCs w:val="1"/>
          <w:color w:val="auto"/>
        </w:rPr>
        <w:t>GENERAL PROVISIONS</w:t>
      </w:r>
      <w:r>
        <w:rPr>
          <w:rFonts w:ascii="SimSun" w:cs="SimSun" w:eastAsia="SimSun" w:hAnsi="SimSun"/>
          <w:sz w:val="15"/>
          <w:szCs w:val="15"/>
          <w:color w:val="auto"/>
        </w:rPr>
        <w:t>总则</w:t>
      </w:r>
    </w:p>
    <w:p>
      <w:pPr>
        <w:spacing w:after="0" w:line="210" w:lineRule="exact"/>
        <w:rPr>
          <w:sz w:val="20"/>
          <w:szCs w:val="20"/>
          <w:color w:val="auto"/>
        </w:rPr>
      </w:pPr>
    </w:p>
    <w:p>
      <w:pPr>
        <w:ind w:left="10" w:right="20"/>
        <w:spacing w:after="0" w:line="244" w:lineRule="auto"/>
        <w:rPr>
          <w:sz w:val="20"/>
          <w:szCs w:val="20"/>
          <w:color w:val="auto"/>
        </w:rPr>
      </w:pPr>
      <w:r>
        <w:rPr>
          <w:rFonts w:ascii="Arial" w:cs="Arial" w:eastAsia="Arial" w:hAnsi="Arial"/>
          <w:sz w:val="18"/>
          <w:szCs w:val="18"/>
          <w:color w:val="auto"/>
        </w:rPr>
        <w:t xml:space="preserve">This Agreement is based on equality, willingness and mutual agreement in accordance with </w:t>
      </w:r>
      <w:r>
        <w:rPr>
          <w:rFonts w:ascii="Arial" w:cs="Arial" w:eastAsia="Arial" w:hAnsi="Arial"/>
          <w:sz w:val="18"/>
          <w:szCs w:val="18"/>
          <w:i w:val="1"/>
          <w:iCs w:val="1"/>
          <w:color w:val="auto"/>
        </w:rPr>
        <w:t>Labor Law of People’s Republic of China, Labor Contract Law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People’s Republic of China </w:t>
      </w:r>
      <w:r>
        <w:rPr>
          <w:rFonts w:ascii="Arial" w:cs="Arial" w:eastAsia="Arial" w:hAnsi="Arial"/>
          <w:sz w:val="18"/>
          <w:szCs w:val="18"/>
          <w:color w:val="auto"/>
        </w:rPr>
        <w:t>and relevant laws, administrative regulations as well as the actual situation in the Company.</w:t>
      </w:r>
    </w:p>
    <w:p>
      <w:pPr>
        <w:spacing w:after="0" w:line="1" w:lineRule="exact"/>
        <w:rPr>
          <w:sz w:val="20"/>
          <w:szCs w:val="20"/>
          <w:color w:val="auto"/>
        </w:rPr>
      </w:pPr>
    </w:p>
    <w:p>
      <w:pPr>
        <w:ind w:left="10"/>
        <w:spacing w:after="0" w:line="233" w:lineRule="exact"/>
        <w:rPr>
          <w:sz w:val="20"/>
          <w:szCs w:val="20"/>
          <w:color w:val="auto"/>
        </w:rPr>
      </w:pPr>
      <w:r>
        <w:rPr>
          <w:rFonts w:ascii="SimSun" w:cs="SimSun" w:eastAsia="SimSun" w:hAnsi="SimSun"/>
          <w:sz w:val="18"/>
          <w:szCs w:val="18"/>
          <w:color w:val="auto"/>
        </w:rPr>
        <w:t>根据《中华人民共和国劳动法》</w:t>
      </w:r>
      <w:r>
        <w:rPr>
          <w:rFonts w:ascii="Arial" w:cs="Arial" w:eastAsia="Arial" w:hAnsi="Arial"/>
          <w:sz w:val="18"/>
          <w:szCs w:val="18"/>
          <w:color w:val="auto"/>
        </w:rPr>
        <w:t>,</w:t>
      </w:r>
      <w:r>
        <w:rPr>
          <w:rFonts w:ascii="SimSun" w:cs="SimSun" w:eastAsia="SimSun" w:hAnsi="SimSun"/>
          <w:sz w:val="18"/>
          <w:szCs w:val="18"/>
          <w:color w:val="auto"/>
        </w:rPr>
        <w:t>《中华人民共和国劳动合同法》和有关法律</w:t>
      </w:r>
      <w:r>
        <w:rPr>
          <w:rFonts w:ascii="Arial" w:cs="Arial" w:eastAsia="Arial" w:hAnsi="Arial"/>
          <w:sz w:val="18"/>
          <w:szCs w:val="18"/>
          <w:color w:val="auto"/>
        </w:rPr>
        <w:t xml:space="preserve"> , </w:t>
      </w:r>
      <w:r>
        <w:rPr>
          <w:rFonts w:ascii="SimSun" w:cs="SimSun" w:eastAsia="SimSun" w:hAnsi="SimSun"/>
          <w:sz w:val="18"/>
          <w:szCs w:val="18"/>
          <w:color w:val="auto"/>
        </w:rPr>
        <w:t>行政法规</w:t>
      </w:r>
      <w:r>
        <w:rPr>
          <w:rFonts w:ascii="Arial" w:cs="Arial" w:eastAsia="Arial" w:hAnsi="Arial"/>
          <w:sz w:val="18"/>
          <w:szCs w:val="18"/>
          <w:color w:val="auto"/>
        </w:rPr>
        <w:t xml:space="preserve">, </w:t>
      </w:r>
      <w:r>
        <w:rPr>
          <w:rFonts w:ascii="SimSun" w:cs="SimSun" w:eastAsia="SimSun" w:hAnsi="SimSun"/>
          <w:sz w:val="18"/>
          <w:szCs w:val="18"/>
          <w:color w:val="auto"/>
        </w:rPr>
        <w:t>结合我公司的实际情况</w:t>
      </w:r>
      <w:r>
        <w:rPr>
          <w:rFonts w:ascii="Arial" w:cs="Arial" w:eastAsia="Arial" w:hAnsi="Arial"/>
          <w:sz w:val="18"/>
          <w:szCs w:val="18"/>
          <w:color w:val="auto"/>
        </w:rPr>
        <w:t xml:space="preserve"> , </w:t>
      </w:r>
      <w:r>
        <w:rPr>
          <w:rFonts w:ascii="SimSun" w:cs="SimSun" w:eastAsia="SimSun" w:hAnsi="SimSun"/>
          <w:sz w:val="18"/>
          <w:szCs w:val="18"/>
          <w:color w:val="auto"/>
        </w:rPr>
        <w:t>在双方平等自愿</w:t>
      </w:r>
      <w:r>
        <w:rPr>
          <w:rFonts w:ascii="Arial" w:cs="Arial" w:eastAsia="Arial" w:hAnsi="Arial"/>
          <w:sz w:val="18"/>
          <w:szCs w:val="18"/>
          <w:color w:val="auto"/>
        </w:rPr>
        <w:t xml:space="preserve">, </w:t>
      </w:r>
      <w:r>
        <w:rPr>
          <w:rFonts w:ascii="SimSun" w:cs="SimSun" w:eastAsia="SimSun" w:hAnsi="SimSun"/>
          <w:sz w:val="18"/>
          <w:szCs w:val="18"/>
          <w:color w:val="auto"/>
        </w:rPr>
        <w:t>协商一致的条件下</w:t>
      </w:r>
      <w:r>
        <w:rPr>
          <w:rFonts w:ascii="Arial" w:cs="Arial" w:eastAsia="Arial" w:hAnsi="Arial"/>
          <w:sz w:val="18"/>
          <w:szCs w:val="18"/>
          <w:color w:val="auto"/>
        </w:rPr>
        <w:t xml:space="preserve"> , </w:t>
      </w:r>
      <w:r>
        <w:rPr>
          <w:rFonts w:ascii="SimSun" w:cs="SimSun" w:eastAsia="SimSun" w:hAnsi="SimSun"/>
          <w:sz w:val="18"/>
          <w:szCs w:val="18"/>
          <w:color w:val="auto"/>
        </w:rPr>
        <w:t>制定本合同。</w:t>
      </w:r>
    </w:p>
    <w:p>
      <w:pPr>
        <w:spacing w:after="0" w:line="199"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This Agreement is entered into between the Employee and the Company and only comes into effect when this Agreement is signed by both parties.</w:t>
      </w:r>
    </w:p>
    <w:p>
      <w:pPr>
        <w:spacing w:after="0" w:line="223"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员工与公司双方签订劳动合同</w:t>
      </w:r>
      <w:r>
        <w:rPr>
          <w:rFonts w:ascii="Arial" w:cs="Arial" w:eastAsia="Arial" w:hAnsi="Arial"/>
          <w:sz w:val="18"/>
          <w:szCs w:val="18"/>
          <w:color w:val="auto"/>
        </w:rPr>
        <w:t xml:space="preserve"> , </w:t>
      </w:r>
      <w:r>
        <w:rPr>
          <w:rFonts w:ascii="SimSun" w:cs="SimSun" w:eastAsia="SimSun" w:hAnsi="SimSun"/>
          <w:sz w:val="18"/>
          <w:szCs w:val="18"/>
          <w:color w:val="auto"/>
        </w:rPr>
        <w:t>并由双方共同签署本合同方可生效。</w:t>
      </w:r>
    </w:p>
    <w:p>
      <w:pPr>
        <w:spacing w:after="0" w:line="227" w:lineRule="exact"/>
        <w:rPr>
          <w:sz w:val="20"/>
          <w:szCs w:val="20"/>
          <w:color w:val="auto"/>
        </w:rPr>
      </w:pPr>
    </w:p>
    <w:p>
      <w:pPr>
        <w:ind w:left="550" w:hanging="550"/>
        <w:spacing w:after="0" w:line="182" w:lineRule="exact"/>
        <w:tabs>
          <w:tab w:leader="none" w:pos="550"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 (Termination during probationary period, renewal, and termination) </w:t>
      </w:r>
      <w:r>
        <w:rPr>
          <w:rFonts w:ascii="SimSun" w:cs="SimSun" w:eastAsia="SimSun" w:hAnsi="SimSun"/>
          <w:sz w:val="15"/>
          <w:szCs w:val="15"/>
          <w:color w:val="auto"/>
        </w:rPr>
        <w:t>协议</w:t>
      </w:r>
    </w:p>
    <w:p>
      <w:pPr>
        <w:spacing w:after="0" w:line="18" w:lineRule="exact"/>
        <w:rPr>
          <w:sz w:val="20"/>
          <w:szCs w:val="20"/>
          <w:color w:val="auto"/>
        </w:rPr>
      </w:pPr>
    </w:p>
    <w:p>
      <w:pPr>
        <w:ind w:left="550"/>
        <w:spacing w:after="0" w:line="219" w:lineRule="exact"/>
        <w:rPr>
          <w:sz w:val="20"/>
          <w:szCs w:val="20"/>
          <w:color w:val="auto"/>
        </w:rPr>
      </w:pPr>
      <w:r>
        <w:rPr>
          <w:rFonts w:ascii="SimSun" w:cs="SimSun" w:eastAsia="SimSun" w:hAnsi="SimSun"/>
          <w:sz w:val="18"/>
          <w:szCs w:val="18"/>
          <w:color w:val="auto"/>
        </w:rPr>
        <w:t>期限（试用期解除</w:t>
      </w:r>
      <w:r>
        <w:rPr>
          <w:rFonts w:ascii="Arial" w:cs="Arial" w:eastAsia="Arial" w:hAnsi="Arial"/>
          <w:sz w:val="18"/>
          <w:szCs w:val="18"/>
          <w:color w:val="auto"/>
        </w:rPr>
        <w:t xml:space="preserve"> , </w:t>
      </w:r>
      <w:r>
        <w:rPr>
          <w:rFonts w:ascii="SimSun" w:cs="SimSun" w:eastAsia="SimSun" w:hAnsi="SimSun"/>
          <w:sz w:val="18"/>
          <w:szCs w:val="18"/>
          <w:color w:val="auto"/>
        </w:rPr>
        <w:t>续约</w:t>
      </w:r>
      <w:r>
        <w:rPr>
          <w:rFonts w:ascii="Arial" w:cs="Arial" w:eastAsia="Arial" w:hAnsi="Arial"/>
          <w:sz w:val="18"/>
          <w:szCs w:val="18"/>
          <w:color w:val="auto"/>
        </w:rPr>
        <w:t xml:space="preserve"> , </w:t>
      </w:r>
      <w:r>
        <w:rPr>
          <w:rFonts w:ascii="SimSun" w:cs="SimSun" w:eastAsia="SimSun" w:hAnsi="SimSun"/>
          <w:sz w:val="18"/>
          <w:szCs w:val="18"/>
          <w:color w:val="auto"/>
        </w:rPr>
        <w:t>解除）</w:t>
      </w:r>
    </w:p>
    <w:p>
      <w:pPr>
        <w:spacing w:after="0" w:line="219" w:lineRule="exact"/>
        <w:rPr>
          <w:sz w:val="20"/>
          <w:szCs w:val="20"/>
          <w:color w:val="auto"/>
        </w:rPr>
      </w:pPr>
    </w:p>
    <w:p>
      <w:pPr>
        <w:ind w:left="550"/>
        <w:spacing w:after="0" w:line="219" w:lineRule="exact"/>
        <w:tabs>
          <w:tab w:leader="none" w:pos="1389" w:val="left"/>
        </w:tabs>
        <w:rPr>
          <w:sz w:val="20"/>
          <w:szCs w:val="20"/>
          <w:color w:val="auto"/>
        </w:rPr>
      </w:pPr>
      <w:r>
        <w:rPr>
          <w:rFonts w:ascii="Arial" w:cs="Arial" w:eastAsia="Arial" w:hAnsi="Arial"/>
          <w:sz w:val="18"/>
          <w:szCs w:val="18"/>
          <w:b w:val="1"/>
          <w:bCs w:val="1"/>
          <w:color w:val="auto"/>
        </w:rPr>
        <w:t>Term</w:t>
      </w:r>
      <w:r>
        <w:rPr>
          <w:sz w:val="20"/>
          <w:szCs w:val="20"/>
          <w:color w:val="auto"/>
        </w:rPr>
        <w:tab/>
      </w:r>
      <w:r>
        <w:rPr>
          <w:rFonts w:ascii="SimSun" w:cs="SimSun" w:eastAsia="SimSun" w:hAnsi="SimSun"/>
          <w:sz w:val="18"/>
          <w:szCs w:val="18"/>
          <w:color w:val="auto"/>
        </w:rPr>
        <w:t>期限</w:t>
      </w:r>
    </w:p>
    <w:p>
      <w:pPr>
        <w:spacing w:after="0" w:line="216" w:lineRule="exact"/>
        <w:rPr>
          <w:sz w:val="20"/>
          <w:szCs w:val="20"/>
          <w:color w:val="auto"/>
        </w:rPr>
      </w:pPr>
    </w:p>
    <w:p>
      <w:pPr>
        <w:ind w:left="10" w:right="20"/>
        <w:spacing w:after="0" w:line="264" w:lineRule="auto"/>
        <w:rPr>
          <w:sz w:val="20"/>
          <w:szCs w:val="20"/>
          <w:color w:val="auto"/>
        </w:rPr>
      </w:pPr>
      <w:r>
        <w:rPr>
          <w:rFonts w:ascii="Arial" w:cs="Arial" w:eastAsia="Arial" w:hAnsi="Arial"/>
          <w:sz w:val="18"/>
          <w:szCs w:val="18"/>
          <w:color w:val="auto"/>
        </w:rPr>
        <w:t xml:space="preserve">This Agreement is a fixed-term agreement, effective as of </w:t>
      </w:r>
      <w:r>
        <w:rPr>
          <w:rFonts w:ascii="Arial" w:cs="Arial" w:eastAsia="Arial" w:hAnsi="Arial"/>
          <w:sz w:val="18"/>
          <w:szCs w:val="18"/>
          <w:u w:val="single" w:color="auto"/>
          <w:color w:val="auto"/>
        </w:rPr>
        <w:t>2018/1/22</w:t>
      </w:r>
      <w:r>
        <w:rPr>
          <w:rFonts w:ascii="Arial" w:cs="Arial" w:eastAsia="Arial" w:hAnsi="Arial"/>
          <w:sz w:val="18"/>
          <w:szCs w:val="18"/>
          <w:color w:val="auto"/>
        </w:rPr>
        <w:t xml:space="preserve"> and shall end on </w:t>
      </w:r>
      <w:r>
        <w:rPr>
          <w:rFonts w:ascii="Arial" w:cs="Arial" w:eastAsia="Arial" w:hAnsi="Arial"/>
          <w:sz w:val="18"/>
          <w:szCs w:val="18"/>
          <w:u w:val="single" w:color="auto"/>
          <w:color w:val="auto"/>
        </w:rPr>
        <w:t>2023/1/21</w:t>
      </w:r>
      <w:r>
        <w:rPr>
          <w:rFonts w:ascii="Arial" w:cs="Arial" w:eastAsia="Arial" w:hAnsi="Arial"/>
          <w:sz w:val="18"/>
          <w:szCs w:val="18"/>
          <w:color w:val="auto"/>
        </w:rPr>
        <w:t xml:space="preserve"> unless this agreement is terminated either during a probationary period or in accordance with the company's relevant policies, rules and regulations.</w:t>
      </w:r>
    </w:p>
    <w:p>
      <w:pPr>
        <w:spacing w:after="0" w:line="163" w:lineRule="exact"/>
        <w:rPr>
          <w:sz w:val="20"/>
          <w:szCs w:val="20"/>
          <w:color w:val="auto"/>
        </w:rPr>
      </w:pPr>
    </w:p>
    <w:p>
      <w:pPr>
        <w:ind w:left="550"/>
        <w:spacing w:after="0" w:line="219" w:lineRule="exact"/>
        <w:rPr>
          <w:sz w:val="20"/>
          <w:szCs w:val="20"/>
          <w:color w:val="auto"/>
        </w:rPr>
      </w:pPr>
      <w:r>
        <w:rPr>
          <w:rFonts w:ascii="Arial" w:cs="Arial" w:eastAsia="Arial" w:hAnsi="Arial"/>
          <w:sz w:val="18"/>
          <w:szCs w:val="18"/>
          <w:b w:val="1"/>
          <w:bCs w:val="1"/>
          <w:color w:val="auto"/>
        </w:rPr>
        <w:t xml:space="preserve">Renewal and Termination </w:t>
      </w:r>
      <w:r>
        <w:rPr>
          <w:rFonts w:ascii="SimSun" w:cs="SimSun" w:eastAsia="SimSun" w:hAnsi="SimSun"/>
          <w:sz w:val="18"/>
          <w:szCs w:val="18"/>
          <w:color w:val="auto"/>
        </w:rPr>
        <w:t>协议的续签和提前终止</w:t>
      </w:r>
    </w:p>
    <w:p>
      <w:pPr>
        <w:spacing w:after="0" w:line="216" w:lineRule="exact"/>
        <w:rPr>
          <w:sz w:val="20"/>
          <w:szCs w:val="20"/>
          <w:color w:val="auto"/>
        </w:rPr>
      </w:pPr>
    </w:p>
    <w:p>
      <w:pPr>
        <w:ind w:left="10"/>
        <w:spacing w:after="0" w:line="264" w:lineRule="auto"/>
        <w:rPr>
          <w:sz w:val="20"/>
          <w:szCs w:val="20"/>
          <w:color w:val="auto"/>
        </w:rPr>
      </w:pPr>
      <w:r>
        <w:rPr>
          <w:rFonts w:ascii="Arial" w:cs="Arial" w:eastAsia="Arial" w:hAnsi="Arial"/>
          <w:sz w:val="18"/>
          <w:szCs w:val="18"/>
          <w:color w:val="auto"/>
        </w:rPr>
        <w:t>This Agreement renewal and termination will be under the labor law and with the unanimous consent of both parties; however, a written agreement must be agreed upon at least thirty (30) to ninety (90) days in advance of the end of employment.</w:t>
      </w:r>
    </w:p>
    <w:p>
      <w:pPr>
        <w:spacing w:after="0" w:line="167"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合同期限的延续和提前终止应根据劳动法的相关规定执行</w:t>
      </w:r>
      <w:r>
        <w:rPr>
          <w:rFonts w:ascii="Arial" w:cs="Arial" w:eastAsia="Arial" w:hAnsi="Arial"/>
          <w:sz w:val="18"/>
          <w:szCs w:val="18"/>
          <w:color w:val="auto"/>
        </w:rPr>
        <w:t xml:space="preserve"> , </w:t>
      </w:r>
      <w:r>
        <w:rPr>
          <w:rFonts w:ascii="SimSun" w:cs="SimSun" w:eastAsia="SimSun" w:hAnsi="SimSun"/>
          <w:sz w:val="18"/>
          <w:szCs w:val="18"/>
          <w:color w:val="auto"/>
        </w:rPr>
        <w:t>并由双方协商一致后</w:t>
      </w:r>
      <w:r>
        <w:rPr>
          <w:rFonts w:ascii="Arial" w:cs="Arial" w:eastAsia="Arial" w:hAnsi="Arial"/>
          <w:sz w:val="18"/>
          <w:szCs w:val="18"/>
          <w:color w:val="auto"/>
        </w:rPr>
        <w:t xml:space="preserve"> , </w:t>
      </w:r>
      <w:r>
        <w:rPr>
          <w:rFonts w:ascii="SimSun" w:cs="SimSun" w:eastAsia="SimSun" w:hAnsi="SimSun"/>
          <w:sz w:val="18"/>
          <w:szCs w:val="18"/>
          <w:color w:val="auto"/>
        </w:rPr>
        <w:t>应至少在本合同期满</w:t>
      </w:r>
      <w:r>
        <w:rPr>
          <w:rFonts w:ascii="Arial" w:cs="Arial" w:eastAsia="Arial" w:hAnsi="Arial"/>
          <w:sz w:val="18"/>
          <w:szCs w:val="18"/>
          <w:color w:val="auto"/>
        </w:rPr>
        <w:t>30</w:t>
      </w:r>
      <w:r>
        <w:rPr>
          <w:rFonts w:ascii="SimSun" w:cs="SimSun" w:eastAsia="SimSun" w:hAnsi="SimSun"/>
          <w:sz w:val="18"/>
          <w:szCs w:val="18"/>
          <w:color w:val="auto"/>
        </w:rPr>
        <w:t>至</w:t>
      </w:r>
      <w:r>
        <w:rPr>
          <w:rFonts w:ascii="Arial" w:cs="Arial" w:eastAsia="Arial" w:hAnsi="Arial"/>
          <w:sz w:val="18"/>
          <w:szCs w:val="18"/>
          <w:color w:val="auto"/>
        </w:rPr>
        <w:t>90</w:t>
      </w:r>
      <w:r>
        <w:rPr>
          <w:rFonts w:ascii="SimSun" w:cs="SimSun" w:eastAsia="SimSun" w:hAnsi="SimSun"/>
          <w:sz w:val="18"/>
          <w:szCs w:val="18"/>
          <w:color w:val="auto"/>
        </w:rPr>
        <w:t>天之前达成书面协议。</w:t>
      </w:r>
    </w:p>
    <w:p>
      <w:pPr>
        <w:spacing w:after="0" w:line="227" w:lineRule="exact"/>
        <w:rPr>
          <w:sz w:val="20"/>
          <w:szCs w:val="20"/>
          <w:color w:val="auto"/>
        </w:rPr>
      </w:pPr>
    </w:p>
    <w:p>
      <w:pPr>
        <w:ind w:left="550" w:hanging="550"/>
        <w:spacing w:after="0" w:line="182" w:lineRule="exact"/>
        <w:tabs>
          <w:tab w:leader="none" w:pos="55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Employee Obligation &amp; Responsibility </w:t>
      </w:r>
      <w:r>
        <w:rPr>
          <w:rFonts w:ascii="SimSun" w:cs="SimSun" w:eastAsia="SimSun" w:hAnsi="SimSun"/>
          <w:sz w:val="15"/>
          <w:szCs w:val="15"/>
          <w:color w:val="auto"/>
        </w:rPr>
        <w:t>员工的义务与职责</w:t>
      </w:r>
    </w:p>
    <w:p>
      <w:pPr>
        <w:spacing w:after="0" w:line="217" w:lineRule="exact"/>
        <w:rPr>
          <w:sz w:val="20"/>
          <w:szCs w:val="20"/>
          <w:color w:val="auto"/>
        </w:rPr>
      </w:pPr>
    </w:p>
    <w:p>
      <w:pPr>
        <w:ind w:left="550"/>
        <w:spacing w:after="0" w:line="207" w:lineRule="exact"/>
        <w:tabs>
          <w:tab w:leader="none" w:pos="2109" w:val="left"/>
        </w:tabs>
        <w:rPr>
          <w:sz w:val="20"/>
          <w:szCs w:val="20"/>
          <w:color w:val="auto"/>
        </w:rPr>
      </w:pPr>
      <w:r>
        <w:rPr>
          <w:rFonts w:ascii="Arial" w:cs="Arial" w:eastAsia="Arial" w:hAnsi="Arial"/>
          <w:sz w:val="18"/>
          <w:szCs w:val="18"/>
          <w:b w:val="1"/>
          <w:bCs w:val="1"/>
          <w:color w:val="auto"/>
        </w:rPr>
        <w:t>Scope of Work</w:t>
      </w:r>
      <w:r>
        <w:rPr>
          <w:sz w:val="20"/>
          <w:szCs w:val="20"/>
          <w:color w:val="auto"/>
        </w:rPr>
        <w:tab/>
      </w:r>
      <w:r>
        <w:rPr>
          <w:rFonts w:ascii="SimSun" w:cs="SimSun" w:eastAsia="SimSun" w:hAnsi="SimSun"/>
          <w:sz w:val="17"/>
          <w:szCs w:val="17"/>
          <w:color w:val="auto"/>
        </w:rPr>
        <w:t>职责 范围</w:t>
      </w:r>
    </w:p>
    <w:p>
      <w:pPr>
        <w:spacing w:after="0" w:line="227" w:lineRule="exact"/>
        <w:rPr>
          <w:sz w:val="20"/>
          <w:szCs w:val="20"/>
          <w:color w:val="auto"/>
        </w:rPr>
      </w:pPr>
    </w:p>
    <w:p>
      <w:pPr>
        <w:ind w:left="10"/>
        <w:spacing w:after="0" w:line="264" w:lineRule="auto"/>
        <w:rPr>
          <w:sz w:val="20"/>
          <w:szCs w:val="20"/>
          <w:color w:val="auto"/>
        </w:rPr>
      </w:pPr>
      <w:r>
        <w:rPr>
          <w:rFonts w:ascii="Arial" w:cs="Arial" w:eastAsia="Arial" w:hAnsi="Arial"/>
          <w:sz w:val="18"/>
          <w:szCs w:val="18"/>
          <w:color w:val="auto"/>
        </w:rPr>
        <w:t xml:space="preserve">The Employee shall be employed as the Company's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and shall have such duties as are commensurate with this position and any related duties now or hereafter assigned to the Employee by the Company.</w:t>
      </w:r>
    </w:p>
    <w:p>
      <w:pPr>
        <w:spacing w:after="0" w:line="306" w:lineRule="exact"/>
        <w:rPr>
          <w:sz w:val="20"/>
          <w:szCs w:val="20"/>
          <w:color w:val="auto"/>
        </w:rPr>
      </w:pPr>
    </w:p>
    <w:p>
      <w:pPr>
        <w:ind w:left="10"/>
        <w:spacing w:after="0"/>
        <w:rPr>
          <w:sz w:val="20"/>
          <w:szCs w:val="20"/>
          <w:color w:val="auto"/>
        </w:rPr>
      </w:pPr>
      <w:r>
        <w:rPr>
          <w:rFonts w:ascii="Arial" w:cs="Arial" w:eastAsia="Arial" w:hAnsi="Arial"/>
          <w:sz w:val="12"/>
          <w:szCs w:val="1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628" w:right="319" w:bottom="1440" w:gutter="0" w:footer="0" w:header="0"/>
        </w:sectPr>
      </w:pPr>
    </w:p>
    <w:bookmarkStart w:id="142" w:name="page143"/>
    <w:bookmarkEnd w:id="142"/>
    <w:p>
      <w:pPr>
        <w:ind w:left="394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27" w:lineRule="exact"/>
        <w:rPr>
          <w:sz w:val="20"/>
          <w:szCs w:val="20"/>
          <w:color w:val="auto"/>
        </w:rPr>
      </w:pPr>
    </w:p>
    <w:p>
      <w:pPr>
        <w:jc w:val="both"/>
        <w:ind w:right="20"/>
        <w:spacing w:after="0" w:line="233" w:lineRule="exact"/>
        <w:rPr>
          <w:sz w:val="20"/>
          <w:szCs w:val="20"/>
          <w:color w:val="auto"/>
        </w:rPr>
      </w:pPr>
      <w:r>
        <w:rPr>
          <w:rFonts w:ascii="SimSun" w:cs="SimSun" w:eastAsia="SimSun" w:hAnsi="SimSun"/>
          <w:sz w:val="18"/>
          <w:szCs w:val="18"/>
          <w:color w:val="auto"/>
        </w:rPr>
        <w:t>该员工将被聘为本公司的</w:t>
      </w:r>
      <w:r>
        <w:rPr>
          <w:rFonts w:ascii="Arial" w:cs="Arial" w:eastAsia="Arial" w:hAnsi="Arial"/>
          <w:sz w:val="18"/>
          <w:szCs w:val="18"/>
          <w:color w:val="auto"/>
        </w:rPr>
        <w:t xml:space="preserve">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xml:space="preserve">, </w:t>
      </w:r>
      <w:r>
        <w:rPr>
          <w:rFonts w:ascii="SimSun" w:cs="SimSun" w:eastAsia="SimSun" w:hAnsi="SimSun"/>
          <w:sz w:val="18"/>
          <w:szCs w:val="18"/>
          <w:color w:val="auto"/>
        </w:rPr>
        <w:t>履行与该职位相称的各项职责以及本公司当前或以后指派的各项相关职责。具体工作职责见附件一。</w:t>
      </w:r>
    </w:p>
    <w:p>
      <w:pPr>
        <w:spacing w:after="0" w:line="209" w:lineRule="exact"/>
        <w:rPr>
          <w:sz w:val="20"/>
          <w:szCs w:val="20"/>
          <w:color w:val="auto"/>
        </w:rPr>
      </w:pPr>
    </w:p>
    <w:p>
      <w:pPr>
        <w:ind w:left="540"/>
        <w:spacing w:after="0" w:line="219" w:lineRule="exact"/>
        <w:rPr>
          <w:sz w:val="20"/>
          <w:szCs w:val="20"/>
          <w:color w:val="auto"/>
        </w:rPr>
      </w:pPr>
      <w:r>
        <w:rPr>
          <w:rFonts w:ascii="Arial" w:cs="Arial" w:eastAsia="Arial" w:hAnsi="Arial"/>
          <w:sz w:val="18"/>
          <w:szCs w:val="18"/>
          <w:b w:val="1"/>
          <w:bCs w:val="1"/>
          <w:color w:val="auto"/>
        </w:rPr>
        <w:t xml:space="preserve">Observing the Laws and Rules </w:t>
      </w:r>
      <w:r>
        <w:rPr>
          <w:rFonts w:ascii="SimSun" w:cs="SimSun" w:eastAsia="SimSun" w:hAnsi="SimSun"/>
          <w:sz w:val="18"/>
          <w:szCs w:val="18"/>
          <w:color w:val="auto"/>
        </w:rPr>
        <w:t>员工应当遵守 的法律规定</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Employee must abide by the Company's rules, regulations, and practices as they may be adapted or modified from time-to-time by the Company, including without limitation the rules contained in the Company's Employee Handbook (the "Employee Handbook"). The Employee acknowledges and agrees that performing the duties outlined herein in accordance with industry standards and in a high quality and professional manner is essential to protecting the Company's brand image.</w:t>
      </w:r>
    </w:p>
    <w:p>
      <w:pPr>
        <w:spacing w:after="0" w:line="184" w:lineRule="exact"/>
        <w:rPr>
          <w:sz w:val="20"/>
          <w:szCs w:val="20"/>
          <w:color w:val="auto"/>
        </w:rPr>
      </w:pPr>
    </w:p>
    <w:p>
      <w:pPr>
        <w:jc w:val="both"/>
        <w:spacing w:after="0" w:line="235" w:lineRule="exact"/>
        <w:rPr>
          <w:sz w:val="20"/>
          <w:szCs w:val="20"/>
          <w:color w:val="auto"/>
        </w:rPr>
      </w:pPr>
      <w:r>
        <w:rPr>
          <w:rFonts w:ascii="SimSun" w:cs="SimSun" w:eastAsia="SimSun" w:hAnsi="SimSun"/>
          <w:sz w:val="18"/>
          <w:szCs w:val="18"/>
          <w:color w:val="auto"/>
        </w:rPr>
        <w:t>员工必须遵守本公司的规章制度和惯例</w:t>
      </w:r>
      <w:r>
        <w:rPr>
          <w:rFonts w:ascii="Arial" w:cs="Arial" w:eastAsia="Arial" w:hAnsi="Arial"/>
          <w:sz w:val="18"/>
          <w:szCs w:val="18"/>
          <w:color w:val="auto"/>
        </w:rPr>
        <w:t xml:space="preserve"> , </w:t>
      </w:r>
      <w:r>
        <w:rPr>
          <w:rFonts w:ascii="SimSun" w:cs="SimSun" w:eastAsia="SimSun" w:hAnsi="SimSun"/>
          <w:sz w:val="18"/>
          <w:szCs w:val="18"/>
          <w:color w:val="auto"/>
        </w:rPr>
        <w:t>并且严格遵守本公司员工手册（即</w:t>
      </w:r>
      <w:r>
        <w:rPr>
          <w:rFonts w:ascii="Arial" w:cs="Arial" w:eastAsia="Arial" w:hAnsi="Arial"/>
          <w:sz w:val="18"/>
          <w:szCs w:val="18"/>
          <w:color w:val="auto"/>
        </w:rPr>
        <w:t>“</w:t>
      </w:r>
      <w:r>
        <w:rPr>
          <w:rFonts w:ascii="SimSun" w:cs="SimSun" w:eastAsia="SimSun" w:hAnsi="SimSun"/>
          <w:sz w:val="18"/>
          <w:szCs w:val="18"/>
          <w:color w:val="auto"/>
        </w:rPr>
        <w:t>员工手册</w:t>
      </w:r>
      <w:r>
        <w:rPr>
          <w:rFonts w:ascii="Arial" w:cs="Arial" w:eastAsia="Arial" w:hAnsi="Arial"/>
          <w:sz w:val="18"/>
          <w:szCs w:val="18"/>
          <w:color w:val="auto"/>
        </w:rPr>
        <w:t>”</w:t>
      </w:r>
      <w:r>
        <w:rPr>
          <w:rFonts w:ascii="SimSun" w:cs="SimSun" w:eastAsia="SimSun" w:hAnsi="SimSun"/>
          <w:sz w:val="18"/>
          <w:szCs w:val="18"/>
          <w:color w:val="auto"/>
        </w:rPr>
        <w:t>）的各条规定</w:t>
      </w:r>
      <w:r>
        <w:rPr>
          <w:rFonts w:ascii="Arial" w:cs="Arial" w:eastAsia="Arial" w:hAnsi="Arial"/>
          <w:sz w:val="18"/>
          <w:szCs w:val="18"/>
          <w:color w:val="auto"/>
        </w:rPr>
        <w:t xml:space="preserve"> , </w:t>
      </w:r>
      <w:r>
        <w:rPr>
          <w:rFonts w:ascii="SimSun" w:cs="SimSun" w:eastAsia="SimSun" w:hAnsi="SimSun"/>
          <w:sz w:val="18"/>
          <w:szCs w:val="18"/>
          <w:color w:val="auto"/>
        </w:rPr>
        <w:t>以及公司按照实际公司情况而不时修改这些规章制度和惯例或采纳新的规章制度和惯例。员工承认并同意根据行业标准、以高质量专业化的方式履行员工手册中描述的各项职责对于保护本公司的品牌形象至关重要。</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Employee Handbook will become binding to the Employee when the employment commences. Changes or supplements in the Employee Handbook will be done by Human Resource in collaboration with the management according to the applicable laws and regulations, and officially notify to all employees.</w:t>
      </w:r>
    </w:p>
    <w:p>
      <w:pPr>
        <w:spacing w:after="0" w:line="2" w:lineRule="exact"/>
        <w:rPr>
          <w:sz w:val="20"/>
          <w:szCs w:val="20"/>
          <w:color w:val="auto"/>
        </w:rPr>
      </w:pPr>
    </w:p>
    <w:p>
      <w:pPr>
        <w:jc w:val="both"/>
        <w:spacing w:after="0" w:line="233" w:lineRule="exact"/>
        <w:rPr>
          <w:sz w:val="20"/>
          <w:szCs w:val="20"/>
          <w:color w:val="auto"/>
        </w:rPr>
      </w:pPr>
      <w:r>
        <w:rPr>
          <w:rFonts w:ascii="SimSun" w:cs="SimSun" w:eastAsia="SimSun" w:hAnsi="SimSun"/>
          <w:sz w:val="18"/>
          <w:szCs w:val="18"/>
          <w:color w:val="auto"/>
        </w:rPr>
        <w:t>员工遵守员工手册的相关规定</w:t>
      </w:r>
      <w:r>
        <w:rPr>
          <w:rFonts w:ascii="Arial" w:cs="Arial" w:eastAsia="Arial" w:hAnsi="Arial"/>
          <w:sz w:val="18"/>
          <w:szCs w:val="18"/>
          <w:color w:val="auto"/>
        </w:rPr>
        <w:t xml:space="preserve"> , </w:t>
      </w:r>
      <w:r>
        <w:rPr>
          <w:rFonts w:ascii="SimSun" w:cs="SimSun" w:eastAsia="SimSun" w:hAnsi="SimSun"/>
          <w:sz w:val="18"/>
          <w:szCs w:val="18"/>
          <w:color w:val="auto"/>
        </w:rPr>
        <w:t>自劳动关系成立之日起生效。员工手册的修订或增补由人力资源部门协同管理层根据相关法律法规规定的程序进行</w:t>
      </w:r>
      <w:r>
        <w:rPr>
          <w:rFonts w:ascii="Arial" w:cs="Arial" w:eastAsia="Arial" w:hAnsi="Arial"/>
          <w:sz w:val="18"/>
          <w:szCs w:val="18"/>
          <w:color w:val="auto"/>
        </w:rPr>
        <w:t xml:space="preserve"> , </w:t>
      </w:r>
      <w:r>
        <w:rPr>
          <w:rFonts w:ascii="SimSun" w:cs="SimSun" w:eastAsia="SimSun" w:hAnsi="SimSun"/>
          <w:sz w:val="18"/>
          <w:szCs w:val="18"/>
          <w:color w:val="auto"/>
        </w:rPr>
        <w:t>并正式公示给所有员工。</w:t>
      </w:r>
    </w:p>
    <w:p>
      <w:pPr>
        <w:spacing w:after="0" w:line="206" w:lineRule="exact"/>
        <w:rPr>
          <w:sz w:val="20"/>
          <w:szCs w:val="20"/>
          <w:color w:val="auto"/>
        </w:rPr>
      </w:pPr>
    </w:p>
    <w:p>
      <w:pPr>
        <w:ind w:left="540"/>
        <w:spacing w:after="0" w:line="207" w:lineRule="exact"/>
        <w:tabs>
          <w:tab w:leader="none" w:pos="1940" w:val="left"/>
        </w:tabs>
        <w:rPr>
          <w:sz w:val="20"/>
          <w:szCs w:val="20"/>
          <w:color w:val="auto"/>
        </w:rPr>
      </w:pPr>
      <w:r>
        <w:rPr>
          <w:rFonts w:ascii="Arial" w:cs="Arial" w:eastAsia="Arial" w:hAnsi="Arial"/>
          <w:sz w:val="18"/>
          <w:szCs w:val="18"/>
          <w:b w:val="1"/>
          <w:bCs w:val="1"/>
          <w:color w:val="auto"/>
        </w:rPr>
        <w:t>Work Hours</w:t>
      </w:r>
      <w:r>
        <w:rPr>
          <w:sz w:val="20"/>
          <w:szCs w:val="20"/>
          <w:color w:val="auto"/>
        </w:rPr>
        <w:tab/>
      </w:r>
      <w:r>
        <w:rPr>
          <w:rFonts w:ascii="SimSun" w:cs="SimSun" w:eastAsia="SimSun" w:hAnsi="SimSun"/>
          <w:sz w:val="17"/>
          <w:szCs w:val="17"/>
          <w:color w:val="auto"/>
        </w:rPr>
        <w:t>工作时间</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The Employee's normal work hours shall be </w:t>
      </w:r>
      <w:r>
        <w:rPr>
          <w:rFonts w:ascii="Arial" w:cs="Arial" w:eastAsia="Arial" w:hAnsi="Arial"/>
          <w:sz w:val="18"/>
          <w:szCs w:val="18"/>
          <w:b w:val="1"/>
          <w:bCs w:val="1"/>
          <w:color w:val="auto"/>
        </w:rPr>
        <w:t>eight (8)</w:t>
      </w:r>
      <w:r>
        <w:rPr>
          <w:rFonts w:ascii="Arial" w:cs="Arial" w:eastAsia="Arial" w:hAnsi="Arial"/>
          <w:sz w:val="18"/>
          <w:szCs w:val="18"/>
          <w:color w:val="auto"/>
        </w:rPr>
        <w:t xml:space="preserve"> hours each day, (excluding one hour for lunch break), five (5) days per week, Monday to Friday, for a total of forty (40) working hours per week. The Employee shall work on a shift basis or other non-standard work hours system, if so required by the Company.</w:t>
      </w:r>
    </w:p>
    <w:p>
      <w:pPr>
        <w:jc w:val="both"/>
        <w:spacing w:after="0" w:line="232" w:lineRule="exact"/>
        <w:rPr>
          <w:sz w:val="20"/>
          <w:szCs w:val="20"/>
          <w:color w:val="auto"/>
        </w:rPr>
      </w:pPr>
      <w:r>
        <w:rPr>
          <w:rFonts w:ascii="SimSun" w:cs="SimSun" w:eastAsia="SimSun" w:hAnsi="SimSun"/>
          <w:sz w:val="18"/>
          <w:szCs w:val="18"/>
          <w:color w:val="auto"/>
        </w:rPr>
        <w:t>该员工的标准工作时间为每天八小时（进餐一小时不包括在内）</w:t>
      </w:r>
      <w:r>
        <w:rPr>
          <w:rFonts w:ascii="Arial" w:cs="Arial" w:eastAsia="Arial" w:hAnsi="Arial"/>
          <w:sz w:val="18"/>
          <w:szCs w:val="18"/>
          <w:color w:val="auto"/>
        </w:rPr>
        <w:t xml:space="preserve">, </w:t>
      </w:r>
      <w:r>
        <w:rPr>
          <w:rFonts w:ascii="SimSun" w:cs="SimSun" w:eastAsia="SimSun" w:hAnsi="SimSun"/>
          <w:sz w:val="18"/>
          <w:szCs w:val="18"/>
          <w:color w:val="auto"/>
        </w:rPr>
        <w:t>一周五（</w:t>
      </w:r>
      <w:r>
        <w:rPr>
          <w:rFonts w:ascii="Arial" w:cs="Arial" w:eastAsia="Arial" w:hAnsi="Arial"/>
          <w:sz w:val="18"/>
          <w:szCs w:val="18"/>
          <w:color w:val="auto"/>
        </w:rPr>
        <w:t>5</w:t>
      </w:r>
      <w:r>
        <w:rPr>
          <w:rFonts w:ascii="SimSun" w:cs="SimSun" w:eastAsia="SimSun" w:hAnsi="SimSun"/>
          <w:sz w:val="18"/>
          <w:szCs w:val="18"/>
          <w:color w:val="auto"/>
        </w:rPr>
        <w:t>）天</w:t>
      </w:r>
      <w:r>
        <w:rPr>
          <w:rFonts w:ascii="Arial" w:cs="Arial" w:eastAsia="Arial" w:hAnsi="Arial"/>
          <w:sz w:val="18"/>
          <w:szCs w:val="18"/>
          <w:color w:val="auto"/>
        </w:rPr>
        <w:t xml:space="preserve"> , </w:t>
      </w:r>
      <w:r>
        <w:rPr>
          <w:rFonts w:ascii="SimSun" w:cs="SimSun" w:eastAsia="SimSun" w:hAnsi="SimSun"/>
          <w:sz w:val="18"/>
          <w:szCs w:val="18"/>
          <w:color w:val="auto"/>
        </w:rPr>
        <w:t>从周一至周五</w:t>
      </w:r>
      <w:r>
        <w:rPr>
          <w:rFonts w:ascii="Arial" w:cs="Arial" w:eastAsia="Arial" w:hAnsi="Arial"/>
          <w:sz w:val="18"/>
          <w:szCs w:val="18"/>
          <w:color w:val="auto"/>
        </w:rPr>
        <w:t xml:space="preserve"> ,</w:t>
      </w:r>
      <w:r>
        <w:rPr>
          <w:rFonts w:ascii="SimSun" w:cs="SimSun" w:eastAsia="SimSun" w:hAnsi="SimSun"/>
          <w:sz w:val="18"/>
          <w:szCs w:val="18"/>
          <w:color w:val="auto"/>
        </w:rPr>
        <w:t>一周总计四十个工时。员工也有可能按照公司的要求实行轮班制工作时间或其他非标准工作时间制。</w:t>
      </w: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628" w:right="319" w:bottom="1440" w:gutter="0" w:footer="0" w:header="0"/>
        </w:sectPr>
      </w:pPr>
    </w:p>
    <w:bookmarkStart w:id="143" w:name="page144"/>
    <w:bookmarkEnd w:id="143"/>
    <w:p>
      <w:pPr>
        <w:ind w:left="395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23" w:lineRule="exact"/>
        <w:rPr>
          <w:sz w:val="20"/>
          <w:szCs w:val="20"/>
          <w:color w:val="auto"/>
        </w:rPr>
      </w:pPr>
    </w:p>
    <w:p>
      <w:pPr>
        <w:ind w:left="550"/>
        <w:spacing w:after="0" w:line="219" w:lineRule="exact"/>
        <w:rPr>
          <w:sz w:val="20"/>
          <w:szCs w:val="20"/>
          <w:color w:val="auto"/>
        </w:rPr>
      </w:pPr>
      <w:r>
        <w:rPr>
          <w:rFonts w:ascii="Arial" w:cs="Arial" w:eastAsia="Arial" w:hAnsi="Arial"/>
          <w:sz w:val="18"/>
          <w:szCs w:val="18"/>
          <w:b w:val="1"/>
          <w:bCs w:val="1"/>
          <w:color w:val="auto"/>
        </w:rPr>
        <w:t xml:space="preserve">Paid Annual Leave </w:t>
      </w:r>
      <w:r>
        <w:rPr>
          <w:rFonts w:ascii="SimSun" w:cs="SimSun" w:eastAsia="SimSun" w:hAnsi="SimSun"/>
          <w:sz w:val="18"/>
          <w:szCs w:val="18"/>
          <w:color w:val="auto"/>
        </w:rPr>
        <w:t>带薪年休假</w:t>
      </w:r>
    </w:p>
    <w:p>
      <w:pPr>
        <w:spacing w:after="0" w:line="212" w:lineRule="exact"/>
        <w:rPr>
          <w:sz w:val="20"/>
          <w:szCs w:val="20"/>
          <w:color w:val="auto"/>
        </w:rPr>
      </w:pPr>
    </w:p>
    <w:p>
      <w:pPr>
        <w:jc w:val="both"/>
        <w:ind w:left="10"/>
        <w:spacing w:after="0" w:line="274" w:lineRule="auto"/>
        <w:rPr>
          <w:sz w:val="20"/>
          <w:szCs w:val="20"/>
          <w:color w:val="auto"/>
        </w:rPr>
      </w:pPr>
      <w:r>
        <w:rPr>
          <w:rFonts w:ascii="Arial" w:cs="Arial" w:eastAsia="Arial" w:hAnsi="Arial"/>
          <w:sz w:val="17"/>
          <w:szCs w:val="17"/>
          <w:color w:val="auto"/>
        </w:rPr>
        <w:t xml:space="preserve">The Company shall grant Employee </w:t>
      </w:r>
      <w:r>
        <w:rPr>
          <w:rFonts w:ascii="Arial" w:cs="Arial" w:eastAsia="Arial" w:hAnsi="Arial"/>
          <w:sz w:val="17"/>
          <w:szCs w:val="17"/>
          <w:b w:val="1"/>
          <w:bCs w:val="1"/>
          <w:color w:val="auto"/>
        </w:rPr>
        <w:t>Fifteen (15)</w:t>
      </w:r>
      <w:r>
        <w:rPr>
          <w:rFonts w:ascii="Arial" w:cs="Arial" w:eastAsia="Arial" w:hAnsi="Arial"/>
          <w:sz w:val="17"/>
          <w:szCs w:val="17"/>
          <w:color w:val="auto"/>
        </w:rPr>
        <w:t xml:space="preserve"> days of totally paid annual leave per calendar year, in addition to the legal public holidays of the PRC. Employee's paid vacation days shall be taken at such time or times as may be approved by the Company, pro-rated for any partial calendar year of employment. Further comment upon rules and regulations regarding holiday affairs are illustrated in the Employee Handbook.</w:t>
      </w:r>
    </w:p>
    <w:p>
      <w:pPr>
        <w:spacing w:after="0" w:line="160" w:lineRule="exact"/>
        <w:rPr>
          <w:sz w:val="20"/>
          <w:szCs w:val="20"/>
          <w:color w:val="auto"/>
        </w:rPr>
      </w:pPr>
    </w:p>
    <w:p>
      <w:pPr>
        <w:jc w:val="both"/>
        <w:ind w:left="10"/>
        <w:spacing w:after="0" w:line="233" w:lineRule="exact"/>
        <w:rPr>
          <w:sz w:val="20"/>
          <w:szCs w:val="20"/>
          <w:color w:val="auto"/>
        </w:rPr>
      </w:pPr>
      <w:r>
        <w:rPr>
          <w:rFonts w:ascii="SimSun" w:cs="SimSun" w:eastAsia="SimSun" w:hAnsi="SimSun"/>
          <w:sz w:val="18"/>
          <w:szCs w:val="18"/>
          <w:color w:val="auto"/>
        </w:rPr>
        <w:t>除中华人民共和国的法定公共假期放假之外</w:t>
      </w:r>
      <w:r>
        <w:rPr>
          <w:rFonts w:ascii="Arial" w:cs="Arial" w:eastAsia="Arial" w:hAnsi="Arial"/>
          <w:sz w:val="18"/>
          <w:szCs w:val="18"/>
          <w:color w:val="auto"/>
        </w:rPr>
        <w:t xml:space="preserve"> , </w:t>
      </w:r>
      <w:r>
        <w:rPr>
          <w:rFonts w:ascii="SimSun" w:cs="SimSun" w:eastAsia="SimSun" w:hAnsi="SimSun"/>
          <w:sz w:val="18"/>
          <w:szCs w:val="18"/>
          <w:color w:val="auto"/>
        </w:rPr>
        <w:t>本公司根据年历每年给予员工十五天带薪休假。带薪休假的时间必须通过本公司批准</w:t>
      </w:r>
      <w:r>
        <w:rPr>
          <w:rFonts w:ascii="Arial" w:cs="Arial" w:eastAsia="Arial" w:hAnsi="Arial"/>
          <w:sz w:val="18"/>
          <w:szCs w:val="18"/>
          <w:color w:val="auto"/>
        </w:rPr>
        <w:t xml:space="preserve"> , </w:t>
      </w:r>
      <w:r>
        <w:rPr>
          <w:rFonts w:ascii="SimSun" w:cs="SimSun" w:eastAsia="SimSun" w:hAnsi="SimSun"/>
          <w:sz w:val="18"/>
          <w:szCs w:val="18"/>
          <w:color w:val="auto"/>
        </w:rPr>
        <w:t>按照雇佣的历年按比例分配。关于休假事宜的规定和规章在《员工手册》中有详细说明。</w:t>
      </w:r>
    </w:p>
    <w:p>
      <w:pPr>
        <w:spacing w:after="0" w:line="209" w:lineRule="exact"/>
        <w:rPr>
          <w:sz w:val="20"/>
          <w:szCs w:val="20"/>
          <w:color w:val="auto"/>
        </w:rPr>
      </w:pPr>
    </w:p>
    <w:p>
      <w:pPr>
        <w:ind w:left="550"/>
        <w:spacing w:after="0" w:line="219" w:lineRule="exact"/>
        <w:rPr>
          <w:sz w:val="20"/>
          <w:szCs w:val="20"/>
          <w:color w:val="auto"/>
        </w:rPr>
      </w:pPr>
      <w:r>
        <w:rPr>
          <w:rFonts w:ascii="Arial" w:cs="Arial" w:eastAsia="Arial" w:hAnsi="Arial"/>
          <w:sz w:val="18"/>
          <w:szCs w:val="18"/>
          <w:b w:val="1"/>
          <w:bCs w:val="1"/>
          <w:color w:val="auto"/>
        </w:rPr>
        <w:t xml:space="preserve">Labor Protection </w:t>
      </w:r>
      <w:r>
        <w:rPr>
          <w:rFonts w:ascii="SimSun" w:cs="SimSun" w:eastAsia="SimSun" w:hAnsi="SimSun"/>
          <w:sz w:val="18"/>
          <w:szCs w:val="18"/>
          <w:color w:val="auto"/>
        </w:rPr>
        <w:t>劳动保护</w:t>
      </w:r>
    </w:p>
    <w:p>
      <w:pPr>
        <w:spacing w:after="0" w:line="216" w:lineRule="exact"/>
        <w:rPr>
          <w:sz w:val="20"/>
          <w:szCs w:val="20"/>
          <w:color w:val="auto"/>
        </w:rPr>
      </w:pPr>
    </w:p>
    <w:p>
      <w:pPr>
        <w:jc w:val="both"/>
        <w:ind w:left="10"/>
        <w:spacing w:after="0" w:line="250" w:lineRule="auto"/>
        <w:rPr>
          <w:sz w:val="20"/>
          <w:szCs w:val="20"/>
          <w:color w:val="auto"/>
        </w:rPr>
      </w:pPr>
      <w:r>
        <w:rPr>
          <w:rFonts w:ascii="Arial" w:cs="Arial" w:eastAsia="Arial" w:hAnsi="Arial"/>
          <w:sz w:val="18"/>
          <w:szCs w:val="18"/>
          <w:color w:val="auto"/>
        </w:rPr>
        <w:t>The company dedicates to provide a safe and comfortable working environment for its employees. The Company adopts necessary measures and regulations to ensure the Employee has a safe work environment. The Employee should obey the regulation or any rules issued by the company to keep themselves safe.</w:t>
      </w:r>
    </w:p>
    <w:p>
      <w:pPr>
        <w:spacing w:after="0" w:line="179" w:lineRule="exact"/>
        <w:rPr>
          <w:sz w:val="20"/>
          <w:szCs w:val="20"/>
          <w:color w:val="auto"/>
        </w:rPr>
      </w:pPr>
    </w:p>
    <w:p>
      <w:pPr>
        <w:jc w:val="both"/>
        <w:ind w:left="10"/>
        <w:spacing w:after="0" w:line="233" w:lineRule="exact"/>
        <w:rPr>
          <w:sz w:val="20"/>
          <w:szCs w:val="20"/>
          <w:color w:val="auto"/>
        </w:rPr>
      </w:pPr>
      <w:r>
        <w:rPr>
          <w:rFonts w:ascii="SimSun" w:cs="SimSun" w:eastAsia="SimSun" w:hAnsi="SimSun"/>
          <w:sz w:val="18"/>
          <w:szCs w:val="18"/>
          <w:color w:val="auto"/>
        </w:rPr>
        <w:t>公司致力于提供良好的安全和舒适的工作环境给员工。我们将提供必要的安全保护设施和管理条例</w:t>
      </w:r>
      <w:r>
        <w:rPr>
          <w:rFonts w:ascii="Arial" w:cs="Arial" w:eastAsia="Arial" w:hAnsi="Arial"/>
          <w:sz w:val="18"/>
          <w:szCs w:val="18"/>
          <w:color w:val="auto"/>
        </w:rPr>
        <w:t xml:space="preserve"> , </w:t>
      </w:r>
      <w:r>
        <w:rPr>
          <w:rFonts w:ascii="SimSun" w:cs="SimSun" w:eastAsia="SimSun" w:hAnsi="SimSun"/>
          <w:sz w:val="18"/>
          <w:szCs w:val="18"/>
          <w:color w:val="auto"/>
        </w:rPr>
        <w:t>保证员工的工作场所安全。员工应遵守公司发布的相关条例以确保自身安全。</w:t>
      </w:r>
    </w:p>
    <w:p>
      <w:pPr>
        <w:spacing w:after="0" w:line="217" w:lineRule="exact"/>
        <w:rPr>
          <w:sz w:val="20"/>
          <w:szCs w:val="20"/>
          <w:color w:val="auto"/>
        </w:rPr>
      </w:pPr>
    </w:p>
    <w:p>
      <w:pPr>
        <w:ind w:left="550" w:hanging="550"/>
        <w:spacing w:after="0" w:line="182" w:lineRule="exact"/>
        <w:tabs>
          <w:tab w:leader="none" w:pos="550"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REMUNERATION AND BENEFITS </w:t>
      </w:r>
      <w:r>
        <w:rPr>
          <w:rFonts w:ascii="SimSun" w:cs="SimSun" w:eastAsia="SimSun" w:hAnsi="SimSun"/>
          <w:sz w:val="15"/>
          <w:szCs w:val="15"/>
          <w:color w:val="auto"/>
        </w:rPr>
        <w:t>报酬和待遇</w:t>
      </w:r>
    </w:p>
    <w:p>
      <w:pPr>
        <w:spacing w:after="0" w:line="217" w:lineRule="exact"/>
        <w:rPr>
          <w:sz w:val="20"/>
          <w:szCs w:val="20"/>
          <w:color w:val="auto"/>
        </w:rPr>
      </w:pPr>
    </w:p>
    <w:p>
      <w:pPr>
        <w:ind w:left="550"/>
        <w:spacing w:after="0" w:line="219" w:lineRule="exact"/>
        <w:rPr>
          <w:sz w:val="20"/>
          <w:szCs w:val="20"/>
          <w:color w:val="auto"/>
        </w:rPr>
      </w:pPr>
      <w:r>
        <w:rPr>
          <w:rFonts w:ascii="Arial" w:cs="Arial" w:eastAsia="Arial" w:hAnsi="Arial"/>
          <w:sz w:val="18"/>
          <w:szCs w:val="18"/>
          <w:b w:val="1"/>
          <w:bCs w:val="1"/>
          <w:color w:val="auto"/>
        </w:rPr>
        <w:t xml:space="preserve">Salary </w:t>
      </w:r>
      <w:r>
        <w:rPr>
          <w:rFonts w:ascii="SimSun" w:cs="SimSun" w:eastAsia="SimSun" w:hAnsi="SimSun"/>
          <w:sz w:val="18"/>
          <w:szCs w:val="18"/>
          <w:color w:val="auto"/>
        </w:rPr>
        <w:t>薪 水</w:t>
      </w:r>
    </w:p>
    <w:p>
      <w:pPr>
        <w:spacing w:after="0" w:line="216" w:lineRule="exact"/>
        <w:rPr>
          <w:sz w:val="20"/>
          <w:szCs w:val="20"/>
          <w:color w:val="auto"/>
        </w:rPr>
      </w:pPr>
    </w:p>
    <w:p>
      <w:pPr>
        <w:ind w:left="10"/>
        <w:spacing w:after="0" w:line="264" w:lineRule="auto"/>
        <w:rPr>
          <w:sz w:val="20"/>
          <w:szCs w:val="20"/>
          <w:color w:val="auto"/>
        </w:rPr>
      </w:pPr>
      <w:r>
        <w:rPr>
          <w:rFonts w:ascii="Arial" w:cs="Arial" w:eastAsia="Arial" w:hAnsi="Arial"/>
          <w:sz w:val="18"/>
          <w:szCs w:val="18"/>
          <w:color w:val="auto"/>
        </w:rPr>
        <w:t xml:space="preserve">The salary together with subsidies, if any, of the Employee during the term of this Agreement shall be according to the salary adjustment record, the salary including the monthly allowance for lunch allowance and the traffic allowance </w:t>
      </w:r>
      <w:r>
        <w:rPr>
          <w:rFonts w:ascii="Arial" w:cs="Arial" w:eastAsia="Arial" w:hAnsi="Arial"/>
          <w:sz w:val="18"/>
          <w:szCs w:val="18"/>
          <w:b w:val="1"/>
          <w:bCs w:val="1"/>
          <w:color w:val="auto"/>
        </w:rPr>
        <w:t>before tax</w:t>
      </w:r>
      <w:r>
        <w:rPr>
          <w:rFonts w:ascii="Arial" w:cs="Arial" w:eastAsia="Arial" w:hAnsi="Arial"/>
          <w:sz w:val="18"/>
          <w:szCs w:val="18"/>
          <w:color w:val="auto"/>
        </w:rPr>
        <w:t>.</w:t>
      </w:r>
    </w:p>
    <w:p>
      <w:pPr>
        <w:spacing w:after="0" w:line="167"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本协 议有效期内</w:t>
      </w:r>
      <w:r>
        <w:rPr>
          <w:rFonts w:ascii="Arial" w:cs="Arial" w:eastAsia="Arial" w:hAnsi="Arial"/>
          <w:sz w:val="18"/>
          <w:szCs w:val="18"/>
          <w:color w:val="auto"/>
        </w:rPr>
        <w:t xml:space="preserve"> , </w:t>
      </w:r>
      <w:r>
        <w:rPr>
          <w:rFonts w:ascii="SimSun" w:cs="SimSun" w:eastAsia="SimSun" w:hAnsi="SimSun"/>
          <w:sz w:val="18"/>
          <w:szCs w:val="18"/>
          <w:color w:val="auto"/>
        </w:rPr>
        <w:t>员工每月薪资按最新的薪资调整记录执行</w:t>
      </w:r>
      <w:r>
        <w:rPr>
          <w:rFonts w:ascii="Arial" w:cs="Arial" w:eastAsia="Arial" w:hAnsi="Arial"/>
          <w:sz w:val="18"/>
          <w:szCs w:val="18"/>
          <w:color w:val="auto"/>
        </w:rPr>
        <w:t xml:space="preserve"> , </w:t>
      </w:r>
      <w:r>
        <w:rPr>
          <w:rFonts w:ascii="SimSun" w:cs="SimSun" w:eastAsia="SimSun" w:hAnsi="SimSun"/>
          <w:sz w:val="18"/>
          <w:szCs w:val="18"/>
          <w:color w:val="auto"/>
        </w:rPr>
        <w:t>工资总额包括员工每月津贴中的午餐及交通津贴</w:t>
      </w:r>
      <w:r>
        <w:rPr>
          <w:rFonts w:ascii="Arial" w:cs="Arial" w:eastAsia="Arial" w:hAnsi="Arial"/>
          <w:sz w:val="18"/>
          <w:szCs w:val="18"/>
          <w:color w:val="auto"/>
        </w:rPr>
        <w:t xml:space="preserve"> , </w:t>
      </w:r>
      <w:r>
        <w:rPr>
          <w:rFonts w:ascii="SimSun" w:cs="SimSun" w:eastAsia="SimSun" w:hAnsi="SimSun"/>
          <w:sz w:val="18"/>
          <w:szCs w:val="18"/>
          <w:color w:val="auto"/>
        </w:rPr>
        <w:t>税前。</w:t>
      </w:r>
    </w:p>
    <w:p>
      <w:pPr>
        <w:spacing w:after="0" w:line="212" w:lineRule="exact"/>
        <w:rPr>
          <w:sz w:val="20"/>
          <w:szCs w:val="20"/>
          <w:color w:val="auto"/>
        </w:rPr>
      </w:pPr>
    </w:p>
    <w:p>
      <w:pPr>
        <w:ind w:left="10" w:right="2340"/>
        <w:spacing w:after="0" w:line="244" w:lineRule="auto"/>
        <w:rPr>
          <w:sz w:val="20"/>
          <w:szCs w:val="20"/>
          <w:color w:val="auto"/>
        </w:rPr>
      </w:pPr>
      <w:r>
        <w:rPr>
          <w:rFonts w:ascii="Arial" w:cs="Arial" w:eastAsia="Arial" w:hAnsi="Arial"/>
          <w:sz w:val="18"/>
          <w:szCs w:val="18"/>
          <w:color w:val="auto"/>
        </w:rPr>
        <w:t>The salary of the present month shall be paid at the 30th to the bank accounts of the Employee established by the Company .</w:t>
      </w:r>
    </w:p>
    <w:p>
      <w:pPr>
        <w:spacing w:after="0" w:line="1"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当月的工资将会在本月的</w:t>
      </w:r>
      <w:r>
        <w:rPr>
          <w:rFonts w:ascii="Arial" w:cs="Arial" w:eastAsia="Arial" w:hAnsi="Arial"/>
          <w:sz w:val="18"/>
          <w:szCs w:val="18"/>
          <w:color w:val="auto"/>
        </w:rPr>
        <w:t>30</w:t>
      </w:r>
      <w:r>
        <w:rPr>
          <w:rFonts w:ascii="SimSun" w:cs="SimSun" w:eastAsia="SimSun" w:hAnsi="SimSun"/>
          <w:sz w:val="18"/>
          <w:szCs w:val="18"/>
          <w:color w:val="auto"/>
        </w:rPr>
        <w:t>号发放</w:t>
      </w:r>
      <w:r>
        <w:rPr>
          <w:rFonts w:ascii="Arial" w:cs="Arial" w:eastAsia="Arial" w:hAnsi="Arial"/>
          <w:sz w:val="18"/>
          <w:szCs w:val="18"/>
          <w:color w:val="auto"/>
        </w:rPr>
        <w:t xml:space="preserve"> , </w:t>
      </w:r>
      <w:r>
        <w:rPr>
          <w:rFonts w:ascii="SimSun" w:cs="SimSun" w:eastAsia="SimSun" w:hAnsi="SimSun"/>
          <w:sz w:val="18"/>
          <w:szCs w:val="18"/>
          <w:color w:val="auto"/>
        </w:rPr>
        <w:t>存入公司为员工开办的银行户头。</w:t>
      </w:r>
    </w:p>
    <w:p>
      <w:pPr>
        <w:spacing w:after="0" w:line="205" w:lineRule="exact"/>
        <w:rPr>
          <w:sz w:val="20"/>
          <w:szCs w:val="20"/>
          <w:color w:val="auto"/>
        </w:rPr>
      </w:pPr>
    </w:p>
    <w:p>
      <w:pPr>
        <w:ind w:left="10"/>
        <w:spacing w:after="0" w:line="268" w:lineRule="auto"/>
        <w:rPr>
          <w:sz w:val="20"/>
          <w:szCs w:val="20"/>
          <w:color w:val="auto"/>
        </w:rPr>
      </w:pPr>
      <w:r>
        <w:rPr>
          <w:rFonts w:ascii="Arial" w:cs="Arial" w:eastAsia="Arial" w:hAnsi="Arial"/>
          <w:sz w:val="18"/>
          <w:szCs w:val="18"/>
          <w:b w:val="1"/>
          <w:bCs w:val="1"/>
          <w:color w:val="auto"/>
        </w:rPr>
        <w:t>Salary amount is strictly confidential and shall be discussed only between the H.R. Department and the Employee or between the direct manager and the Employee.</w:t>
      </w:r>
    </w:p>
    <w:p>
      <w:pPr>
        <w:spacing w:after="0" w:line="303" w:lineRule="exact"/>
        <w:rPr>
          <w:sz w:val="20"/>
          <w:szCs w:val="20"/>
          <w:color w:val="auto"/>
        </w:rPr>
      </w:pPr>
    </w:p>
    <w:p>
      <w:pPr>
        <w:ind w:left="10"/>
        <w:spacing w:after="0"/>
        <w:rPr>
          <w:sz w:val="20"/>
          <w:szCs w:val="20"/>
          <w:color w:val="auto"/>
        </w:rPr>
      </w:pPr>
      <w:r>
        <w:rPr>
          <w:rFonts w:ascii="Arial" w:cs="Arial" w:eastAsia="Arial" w:hAnsi="Arial"/>
          <w:sz w:val="12"/>
          <w:szCs w:val="1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628" w:right="319" w:bottom="1440" w:gutter="0" w:footer="0" w:header="0"/>
        </w:sectPr>
      </w:pPr>
    </w:p>
    <w:bookmarkStart w:id="144" w:name="page145"/>
    <w:bookmarkEnd w:id="144"/>
    <w:p>
      <w:pPr>
        <w:ind w:left="394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27"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薪水的数额是严格保密的</w:t>
      </w:r>
      <w:r>
        <w:rPr>
          <w:rFonts w:ascii="Arial" w:cs="Arial" w:eastAsia="Arial" w:hAnsi="Arial"/>
          <w:sz w:val="18"/>
          <w:szCs w:val="18"/>
          <w:color w:val="auto"/>
        </w:rPr>
        <w:t xml:space="preserve"> , </w:t>
      </w:r>
      <w:r>
        <w:rPr>
          <w:rFonts w:ascii="SimSun" w:cs="SimSun" w:eastAsia="SimSun" w:hAnsi="SimSun"/>
          <w:sz w:val="18"/>
          <w:szCs w:val="18"/>
          <w:color w:val="auto"/>
        </w:rPr>
        <w:t>只有人力资源部和员工之间</w:t>
      </w:r>
      <w:r>
        <w:rPr>
          <w:rFonts w:ascii="Arial" w:cs="Arial" w:eastAsia="Arial" w:hAnsi="Arial"/>
          <w:sz w:val="18"/>
          <w:szCs w:val="18"/>
          <w:color w:val="auto"/>
        </w:rPr>
        <w:t xml:space="preserve"> , </w:t>
      </w:r>
      <w:r>
        <w:rPr>
          <w:rFonts w:ascii="SimSun" w:cs="SimSun" w:eastAsia="SimSun" w:hAnsi="SimSun"/>
          <w:sz w:val="18"/>
          <w:szCs w:val="18"/>
          <w:color w:val="auto"/>
        </w:rPr>
        <w:t>或者直接上司和员工之间才可以谈论。</w:t>
      </w:r>
    </w:p>
    <w:p>
      <w:pPr>
        <w:spacing w:after="0" w:line="219" w:lineRule="exact"/>
        <w:rPr>
          <w:sz w:val="20"/>
          <w:szCs w:val="20"/>
          <w:color w:val="auto"/>
        </w:rPr>
      </w:pPr>
    </w:p>
    <w:p>
      <w:pPr>
        <w:ind w:left="540"/>
        <w:spacing w:after="0" w:line="207" w:lineRule="exact"/>
        <w:tabs>
          <w:tab w:leader="none" w:pos="3100" w:val="left"/>
        </w:tabs>
        <w:rPr>
          <w:sz w:val="20"/>
          <w:szCs w:val="20"/>
          <w:color w:val="auto"/>
        </w:rPr>
      </w:pPr>
      <w:r>
        <w:rPr>
          <w:rFonts w:ascii="Arial" w:cs="Arial" w:eastAsia="Arial" w:hAnsi="Arial"/>
          <w:sz w:val="18"/>
          <w:szCs w:val="18"/>
          <w:b w:val="1"/>
          <w:bCs w:val="1"/>
          <w:color w:val="auto"/>
        </w:rPr>
        <w:t>Performance-related Bonus</w:t>
      </w:r>
      <w:r>
        <w:rPr>
          <w:sz w:val="20"/>
          <w:szCs w:val="20"/>
          <w:color w:val="auto"/>
        </w:rPr>
        <w:tab/>
      </w:r>
      <w:r>
        <w:rPr>
          <w:rFonts w:ascii="SimSun" w:cs="SimSun" w:eastAsia="SimSun" w:hAnsi="SimSun"/>
          <w:sz w:val="17"/>
          <w:szCs w:val="17"/>
          <w:color w:val="auto"/>
        </w:rPr>
        <w:t>员 工业绩奖金</w:t>
      </w:r>
    </w:p>
    <w:p>
      <w:pPr>
        <w:spacing w:after="0" w:line="227" w:lineRule="exact"/>
        <w:rPr>
          <w:sz w:val="20"/>
          <w:szCs w:val="20"/>
          <w:color w:val="auto"/>
        </w:rPr>
      </w:pPr>
    </w:p>
    <w:p>
      <w:pPr>
        <w:jc w:val="both"/>
        <w:ind w:right="20"/>
        <w:spacing w:after="0" w:line="327" w:lineRule="auto"/>
        <w:rPr>
          <w:sz w:val="20"/>
          <w:szCs w:val="20"/>
          <w:color w:val="auto"/>
        </w:rPr>
      </w:pPr>
      <w:r>
        <w:rPr>
          <w:rFonts w:ascii="Arial" w:cs="Arial" w:eastAsia="Arial" w:hAnsi="Arial"/>
          <w:sz w:val="16"/>
          <w:szCs w:val="16"/>
          <w:color w:val="auto"/>
        </w:rPr>
        <w:t>The Employee will receive a bonus based on personal performance and company status and the company annual bonus plan approved by the top management in the company. Normally, the bonus review will be handled by the company, and the bonus will be issued before the Chinese New Year.</w:t>
      </w:r>
    </w:p>
    <w:p>
      <w:pPr>
        <w:spacing w:after="0" w:line="121"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color w:val="auto"/>
        </w:rPr>
        <w:t>员工根据个人表现和公司经营状况</w:t>
      </w:r>
      <w:r>
        <w:rPr>
          <w:rFonts w:ascii="Arial" w:cs="Arial" w:eastAsia="Arial" w:hAnsi="Arial"/>
          <w:sz w:val="18"/>
          <w:szCs w:val="18"/>
          <w:color w:val="auto"/>
        </w:rPr>
        <w:t xml:space="preserve"> , </w:t>
      </w:r>
      <w:r>
        <w:rPr>
          <w:rFonts w:ascii="SimSun" w:cs="SimSun" w:eastAsia="SimSun" w:hAnsi="SimSun"/>
          <w:sz w:val="18"/>
          <w:szCs w:val="18"/>
          <w:color w:val="auto"/>
        </w:rPr>
        <w:t>以及公司管理层针对每年奖金计划方案规定的绩效完成内容将 获得的业绩奖金。该业绩奖金将由公司高层及公司内部实行统一评估</w:t>
      </w:r>
      <w:r>
        <w:rPr>
          <w:rFonts w:ascii="Arial" w:cs="Arial" w:eastAsia="Arial" w:hAnsi="Arial"/>
          <w:sz w:val="18"/>
          <w:szCs w:val="18"/>
          <w:color w:val="auto"/>
        </w:rPr>
        <w:t xml:space="preserve"> , </w:t>
      </w:r>
      <w:r>
        <w:rPr>
          <w:rFonts w:ascii="SimSun" w:cs="SimSun" w:eastAsia="SimSun" w:hAnsi="SimSun"/>
          <w:sz w:val="18"/>
          <w:szCs w:val="18"/>
          <w:color w:val="auto"/>
        </w:rPr>
        <w:t>业绩奖金一般情况下将在中国新年之前发放。</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Only upon fulfillment of the following three conditions, the performance bonus under this article may be granted: (1) the Employee achieves the target stipulated by the Company and achieves the work target setup by his/her supervisors; (2) the Employee is still under employment with the Company when granting the bonus or the employee is continuously worked in a calendar year from Jan. 1st to Dec. 31st; and (3) the Employee has not violated the relevant rules and regulations of the Company nor damaged the Company assets.</w:t>
      </w:r>
    </w:p>
    <w:p>
      <w:pPr>
        <w:spacing w:after="0" w:line="184" w:lineRule="exact"/>
        <w:rPr>
          <w:sz w:val="20"/>
          <w:szCs w:val="20"/>
          <w:color w:val="auto"/>
        </w:rPr>
      </w:pPr>
    </w:p>
    <w:p>
      <w:pPr>
        <w:jc w:val="both"/>
        <w:spacing w:after="0" w:line="235" w:lineRule="exact"/>
        <w:rPr>
          <w:sz w:val="20"/>
          <w:szCs w:val="20"/>
          <w:color w:val="auto"/>
        </w:rPr>
      </w:pPr>
      <w:r>
        <w:rPr>
          <w:rFonts w:ascii="SimSun" w:cs="SimSun" w:eastAsia="SimSun" w:hAnsi="SimSun"/>
          <w:sz w:val="18"/>
          <w:szCs w:val="18"/>
          <w:color w:val="auto"/>
        </w:rPr>
        <w:t>在同时满足以下三个条件的情况下</w:t>
      </w:r>
      <w:r>
        <w:rPr>
          <w:rFonts w:ascii="Arial" w:cs="Arial" w:eastAsia="Arial" w:hAnsi="Arial"/>
          <w:sz w:val="18"/>
          <w:szCs w:val="18"/>
          <w:color w:val="auto"/>
        </w:rPr>
        <w:t xml:space="preserve">, </w:t>
      </w:r>
      <w:r>
        <w:rPr>
          <w:rFonts w:ascii="SimSun" w:cs="SimSun" w:eastAsia="SimSun" w:hAnsi="SimSun"/>
          <w:sz w:val="18"/>
          <w:szCs w:val="18"/>
          <w:color w:val="auto"/>
        </w:rPr>
        <w:t>本条规定的员工业绩奖金方可支付：</w:t>
      </w:r>
      <w:r>
        <w:rPr>
          <w:rFonts w:ascii="Arial" w:cs="Arial" w:eastAsia="Arial" w:hAnsi="Arial"/>
          <w:sz w:val="18"/>
          <w:szCs w:val="18"/>
          <w:color w:val="auto"/>
        </w:rPr>
        <w:t xml:space="preserve"> (1) </w:t>
      </w:r>
      <w:r>
        <w:rPr>
          <w:rFonts w:ascii="SimSun" w:cs="SimSun" w:eastAsia="SimSun" w:hAnsi="SimSun"/>
          <w:sz w:val="18"/>
          <w:szCs w:val="18"/>
          <w:color w:val="auto"/>
        </w:rPr>
        <w:t>员工达到公司规定的业绩并且完成由上级领导给予设定的工作目标；</w:t>
      </w:r>
      <w:r>
        <w:rPr>
          <w:rFonts w:ascii="Arial" w:cs="Arial" w:eastAsia="Arial" w:hAnsi="Arial"/>
          <w:sz w:val="18"/>
          <w:szCs w:val="18"/>
          <w:color w:val="auto"/>
        </w:rPr>
        <w:t xml:space="preserve"> (2) </w:t>
      </w:r>
      <w:r>
        <w:rPr>
          <w:rFonts w:ascii="SimSun" w:cs="SimSun" w:eastAsia="SimSun" w:hAnsi="SimSun"/>
          <w:sz w:val="18"/>
          <w:szCs w:val="18"/>
          <w:color w:val="auto"/>
        </w:rPr>
        <w:t>员工在业绩奖金发放时仍然在职</w:t>
      </w:r>
      <w:r>
        <w:rPr>
          <w:rFonts w:ascii="Arial" w:cs="Arial" w:eastAsia="Arial" w:hAnsi="Arial"/>
          <w:sz w:val="18"/>
          <w:szCs w:val="18"/>
          <w:color w:val="auto"/>
        </w:rPr>
        <w:t xml:space="preserve"> , </w:t>
      </w:r>
      <w:r>
        <w:rPr>
          <w:rFonts w:ascii="SimSun" w:cs="SimSun" w:eastAsia="SimSun" w:hAnsi="SimSun"/>
          <w:sz w:val="18"/>
          <w:szCs w:val="18"/>
          <w:color w:val="auto"/>
        </w:rPr>
        <w:t>或连续工作满一个公历年（从当年</w:t>
      </w:r>
      <w:r>
        <w:rPr>
          <w:rFonts w:ascii="Arial" w:cs="Arial" w:eastAsia="Arial" w:hAnsi="Arial"/>
          <w:sz w:val="18"/>
          <w:szCs w:val="18"/>
          <w:color w:val="auto"/>
        </w:rPr>
        <w:t xml:space="preserve"> 1 </w:t>
      </w:r>
      <w:r>
        <w:rPr>
          <w:rFonts w:ascii="SimSun" w:cs="SimSun" w:eastAsia="SimSun" w:hAnsi="SimSun"/>
          <w:sz w:val="18"/>
          <w:szCs w:val="18"/>
          <w:color w:val="auto"/>
        </w:rPr>
        <w:t>月</w:t>
      </w:r>
      <w:r>
        <w:rPr>
          <w:rFonts w:ascii="Arial" w:cs="Arial" w:eastAsia="Arial" w:hAnsi="Arial"/>
          <w:sz w:val="18"/>
          <w:szCs w:val="18"/>
          <w:color w:val="auto"/>
        </w:rPr>
        <w:t xml:space="preserve"> 1 </w:t>
      </w:r>
      <w:r>
        <w:rPr>
          <w:rFonts w:ascii="SimSun" w:cs="SimSun" w:eastAsia="SimSun" w:hAnsi="SimSun"/>
          <w:sz w:val="18"/>
          <w:szCs w:val="18"/>
          <w:color w:val="auto"/>
        </w:rPr>
        <w:t>日至</w:t>
      </w:r>
      <w:r>
        <w:rPr>
          <w:rFonts w:ascii="Arial" w:cs="Arial" w:eastAsia="Arial" w:hAnsi="Arial"/>
          <w:sz w:val="18"/>
          <w:szCs w:val="18"/>
          <w:color w:val="auto"/>
        </w:rPr>
        <w:t xml:space="preserve"> 12 </w:t>
      </w:r>
      <w:r>
        <w:rPr>
          <w:rFonts w:ascii="SimSun" w:cs="SimSun" w:eastAsia="SimSun" w:hAnsi="SimSun"/>
          <w:sz w:val="18"/>
          <w:szCs w:val="18"/>
          <w:color w:val="auto"/>
        </w:rPr>
        <w:t>月</w:t>
      </w:r>
      <w:r>
        <w:rPr>
          <w:rFonts w:ascii="Arial" w:cs="Arial" w:eastAsia="Arial" w:hAnsi="Arial"/>
          <w:sz w:val="18"/>
          <w:szCs w:val="18"/>
          <w:color w:val="auto"/>
        </w:rPr>
        <w:t xml:space="preserve"> 31 </w:t>
      </w:r>
      <w:r>
        <w:rPr>
          <w:rFonts w:ascii="SimSun" w:cs="SimSun" w:eastAsia="SimSun" w:hAnsi="SimSun"/>
          <w:sz w:val="18"/>
          <w:szCs w:val="18"/>
          <w:color w:val="auto"/>
        </w:rPr>
        <w:t>日）</w:t>
      </w:r>
      <w:r>
        <w:rPr>
          <w:rFonts w:ascii="Arial" w:cs="Arial" w:eastAsia="Arial" w:hAnsi="Arial"/>
          <w:sz w:val="18"/>
          <w:szCs w:val="18"/>
          <w:color w:val="auto"/>
        </w:rPr>
        <w:t xml:space="preserve">; (3) </w:t>
      </w:r>
      <w:r>
        <w:rPr>
          <w:rFonts w:ascii="SimSun" w:cs="SimSun" w:eastAsia="SimSun" w:hAnsi="SimSun"/>
          <w:sz w:val="18"/>
          <w:szCs w:val="18"/>
          <w:color w:val="auto"/>
        </w:rPr>
        <w:t>员工没有违反公司规章制度或者损坏公司财产的情况。</w:t>
      </w:r>
    </w:p>
    <w:p>
      <w:pPr>
        <w:spacing w:after="0" w:line="209" w:lineRule="exact"/>
        <w:rPr>
          <w:sz w:val="20"/>
          <w:szCs w:val="20"/>
          <w:color w:val="auto"/>
        </w:rPr>
      </w:pPr>
    </w:p>
    <w:p>
      <w:pPr>
        <w:ind w:left="540"/>
        <w:spacing w:after="0" w:line="207" w:lineRule="exact"/>
        <w:tabs>
          <w:tab w:leader="none" w:pos="1980" w:val="left"/>
        </w:tabs>
        <w:rPr>
          <w:sz w:val="20"/>
          <w:szCs w:val="20"/>
          <w:color w:val="auto"/>
        </w:rPr>
      </w:pPr>
      <w:r>
        <w:rPr>
          <w:rFonts w:ascii="Arial" w:cs="Arial" w:eastAsia="Arial" w:hAnsi="Arial"/>
          <w:sz w:val="18"/>
          <w:szCs w:val="18"/>
          <w:b w:val="1"/>
          <w:bCs w:val="1"/>
          <w:color w:val="auto"/>
        </w:rPr>
        <w:t>Tax Payment</w:t>
      </w:r>
      <w:r>
        <w:rPr>
          <w:sz w:val="20"/>
          <w:szCs w:val="20"/>
          <w:color w:val="auto"/>
        </w:rPr>
        <w:tab/>
      </w:r>
      <w:r>
        <w:rPr>
          <w:rFonts w:ascii="SimSun" w:cs="SimSun" w:eastAsia="SimSun" w:hAnsi="SimSun"/>
          <w:sz w:val="17"/>
          <w:szCs w:val="17"/>
          <w:color w:val="auto"/>
        </w:rPr>
        <w:t>纳税</w:t>
      </w:r>
    </w:p>
    <w:p>
      <w:pPr>
        <w:spacing w:after="0" w:line="2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Employee shall be personally responsible for the individual income tax and any other charges or taxes, if any, associated with the remuneration. The Company will pay salary and remuneration, if any, directly to Employee, after deducting any amount required to be withheld by the Company, acting as the legally obligatory withholder, as individual income tax or otherwise in accordance with applicable law.</w:t>
      </w:r>
    </w:p>
    <w:p>
      <w:pPr>
        <w:spacing w:after="0" w:line="2" w:lineRule="exact"/>
        <w:rPr>
          <w:sz w:val="20"/>
          <w:szCs w:val="20"/>
          <w:color w:val="auto"/>
        </w:rPr>
      </w:pPr>
    </w:p>
    <w:p>
      <w:pPr>
        <w:jc w:val="both"/>
        <w:spacing w:after="0" w:line="232" w:lineRule="exact"/>
        <w:rPr>
          <w:sz w:val="20"/>
          <w:szCs w:val="20"/>
          <w:color w:val="auto"/>
        </w:rPr>
      </w:pPr>
      <w:r>
        <w:rPr>
          <w:rFonts w:ascii="SimSun" w:cs="SimSun" w:eastAsia="SimSun" w:hAnsi="SimSun"/>
          <w:sz w:val="18"/>
          <w:szCs w:val="18"/>
          <w:color w:val="auto"/>
        </w:rPr>
        <w:t>员工应自行对与本薪酬待遇有关的个人所得税及其他税费负责。本公司根据现行法律规定</w:t>
      </w:r>
      <w:r>
        <w:rPr>
          <w:rFonts w:ascii="Arial" w:cs="Arial" w:eastAsia="Arial" w:hAnsi="Arial"/>
          <w:sz w:val="18"/>
          <w:szCs w:val="18"/>
          <w:color w:val="auto"/>
        </w:rPr>
        <w:t xml:space="preserve"> , </w:t>
      </w:r>
      <w:r>
        <w:rPr>
          <w:rFonts w:ascii="SimSun" w:cs="SimSun" w:eastAsia="SimSun" w:hAnsi="SimSun"/>
          <w:sz w:val="18"/>
          <w:szCs w:val="18"/>
          <w:color w:val="auto"/>
        </w:rPr>
        <w:t>以法定代扣人的身份代扣代缴一定数额的税费之后</w:t>
      </w:r>
      <w:r>
        <w:rPr>
          <w:rFonts w:ascii="Arial" w:cs="Arial" w:eastAsia="Arial" w:hAnsi="Arial"/>
          <w:sz w:val="18"/>
          <w:szCs w:val="18"/>
          <w:color w:val="auto"/>
        </w:rPr>
        <w:t xml:space="preserve"> , </w:t>
      </w:r>
      <w:r>
        <w:rPr>
          <w:rFonts w:ascii="SimSun" w:cs="SimSun" w:eastAsia="SimSun" w:hAnsi="SimSun"/>
          <w:sz w:val="18"/>
          <w:szCs w:val="18"/>
          <w:color w:val="auto"/>
        </w:rPr>
        <w:t>把工资以及报酬（如果有报酬的话）直接发放给员工。</w:t>
      </w: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628" w:right="319" w:bottom="1440" w:gutter="0" w:footer="0" w:header="0"/>
        </w:sectPr>
      </w:pPr>
    </w:p>
    <w:bookmarkStart w:id="145" w:name="page146"/>
    <w:bookmarkEnd w:id="145"/>
    <w:p>
      <w:pPr>
        <w:ind w:left="395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15" w:lineRule="exact"/>
        <w:rPr>
          <w:sz w:val="20"/>
          <w:szCs w:val="20"/>
          <w:color w:val="auto"/>
        </w:rPr>
      </w:pPr>
    </w:p>
    <w:p>
      <w:pPr>
        <w:ind w:left="10"/>
        <w:spacing w:after="0" w:line="264" w:lineRule="auto"/>
        <w:rPr>
          <w:sz w:val="20"/>
          <w:szCs w:val="20"/>
          <w:color w:val="auto"/>
        </w:rPr>
      </w:pPr>
      <w:r>
        <w:rPr>
          <w:rFonts w:ascii="Arial" w:cs="Arial" w:eastAsia="Arial" w:hAnsi="Arial"/>
          <w:sz w:val="18"/>
          <w:szCs w:val="18"/>
          <w:color w:val="auto"/>
        </w:rPr>
        <w:t>Chinese nationals or employees holding a Chinese passport will receive a tax certificate once a year. Employees whose yearly income exceeds one hundred twenty thousand RMB (RMB120,000.00) will be personally responsible for his/her personal tax claim.</w:t>
      </w:r>
    </w:p>
    <w:p>
      <w:pPr>
        <w:spacing w:after="0" w:line="167"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中国籍员工／持中国护照员工将每年一次收到纳税清单</w:t>
      </w:r>
      <w:r>
        <w:rPr>
          <w:rFonts w:ascii="Arial" w:cs="Arial" w:eastAsia="Arial" w:hAnsi="Arial"/>
          <w:sz w:val="18"/>
          <w:szCs w:val="18"/>
          <w:color w:val="auto"/>
        </w:rPr>
        <w:t xml:space="preserve"> , </w:t>
      </w:r>
      <w:r>
        <w:rPr>
          <w:rFonts w:ascii="SimSun" w:cs="SimSun" w:eastAsia="SimSun" w:hAnsi="SimSun"/>
          <w:sz w:val="18"/>
          <w:szCs w:val="18"/>
          <w:color w:val="auto"/>
        </w:rPr>
        <w:t>对于年收入超过</w:t>
      </w:r>
      <w:r>
        <w:rPr>
          <w:rFonts w:ascii="Arial" w:cs="Arial" w:eastAsia="Arial" w:hAnsi="Arial"/>
          <w:sz w:val="18"/>
          <w:szCs w:val="18"/>
          <w:color w:val="auto"/>
        </w:rPr>
        <w:t xml:space="preserve"> 12 </w:t>
      </w:r>
      <w:r>
        <w:rPr>
          <w:rFonts w:ascii="SimSun" w:cs="SimSun" w:eastAsia="SimSun" w:hAnsi="SimSun"/>
          <w:sz w:val="18"/>
          <w:szCs w:val="18"/>
          <w:color w:val="auto"/>
        </w:rPr>
        <w:t>万人民币一年的</w:t>
      </w:r>
      <w:r>
        <w:rPr>
          <w:rFonts w:ascii="Arial" w:cs="Arial" w:eastAsia="Arial" w:hAnsi="Arial"/>
          <w:sz w:val="18"/>
          <w:szCs w:val="18"/>
          <w:color w:val="auto"/>
        </w:rPr>
        <w:t xml:space="preserve"> , </w:t>
      </w:r>
      <w:r>
        <w:rPr>
          <w:rFonts w:ascii="SimSun" w:cs="SimSun" w:eastAsia="SimSun" w:hAnsi="SimSun"/>
          <w:sz w:val="18"/>
          <w:szCs w:val="18"/>
          <w:color w:val="auto"/>
        </w:rPr>
        <w:t>员工 将自己负责申税。</w:t>
      </w:r>
    </w:p>
    <w:p>
      <w:pPr>
        <w:spacing w:after="0" w:line="219" w:lineRule="exact"/>
        <w:rPr>
          <w:sz w:val="20"/>
          <w:szCs w:val="20"/>
          <w:color w:val="auto"/>
        </w:rPr>
      </w:pPr>
    </w:p>
    <w:p>
      <w:pPr>
        <w:ind w:left="550"/>
        <w:spacing w:after="0" w:line="207" w:lineRule="exact"/>
        <w:tabs>
          <w:tab w:leader="none" w:pos="2749" w:val="left"/>
        </w:tabs>
        <w:rPr>
          <w:sz w:val="20"/>
          <w:szCs w:val="20"/>
          <w:color w:val="auto"/>
        </w:rPr>
      </w:pPr>
      <w:r>
        <w:rPr>
          <w:rFonts w:ascii="Arial" w:cs="Arial" w:eastAsia="Arial" w:hAnsi="Arial"/>
          <w:sz w:val="18"/>
          <w:szCs w:val="18"/>
          <w:b w:val="1"/>
          <w:bCs w:val="1"/>
          <w:color w:val="auto"/>
        </w:rPr>
        <w:t>Insurance and Welfare</w:t>
      </w:r>
      <w:r>
        <w:rPr>
          <w:sz w:val="20"/>
          <w:szCs w:val="20"/>
          <w:color w:val="auto"/>
        </w:rPr>
        <w:tab/>
      </w:r>
      <w:r>
        <w:rPr>
          <w:rFonts w:ascii="SimSun" w:cs="SimSun" w:eastAsia="SimSun" w:hAnsi="SimSun"/>
          <w:sz w:val="17"/>
          <w:szCs w:val="17"/>
          <w:color w:val="auto"/>
        </w:rPr>
        <w:t>保 险和福利</w:t>
      </w:r>
    </w:p>
    <w:p>
      <w:pPr>
        <w:spacing w:after="0" w:line="227" w:lineRule="exact"/>
        <w:rPr>
          <w:sz w:val="20"/>
          <w:szCs w:val="20"/>
          <w:color w:val="auto"/>
        </w:rPr>
      </w:pPr>
    </w:p>
    <w:p>
      <w:pPr>
        <w:ind w:left="10"/>
        <w:spacing w:after="0" w:line="264" w:lineRule="auto"/>
        <w:rPr>
          <w:sz w:val="20"/>
          <w:szCs w:val="20"/>
          <w:color w:val="auto"/>
        </w:rPr>
      </w:pPr>
      <w:r>
        <w:rPr>
          <w:rFonts w:ascii="Arial" w:cs="Arial" w:eastAsia="Arial" w:hAnsi="Arial"/>
          <w:sz w:val="18"/>
          <w:szCs w:val="18"/>
          <w:color w:val="auto"/>
        </w:rPr>
        <w:t>The Company provides the statutory social insurance to the Employee, and additional commercial insurance to match up the daily requirement to the Employee. The detailed policy is listed in the Employee Handbook.</w:t>
      </w:r>
    </w:p>
    <w:p>
      <w:pPr>
        <w:spacing w:after="0" w:line="167"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员工能享受国家规定的相关社会保险</w:t>
      </w:r>
      <w:r>
        <w:rPr>
          <w:rFonts w:ascii="Arial" w:cs="Arial" w:eastAsia="Arial" w:hAnsi="Arial"/>
          <w:sz w:val="18"/>
          <w:szCs w:val="18"/>
          <w:color w:val="auto"/>
        </w:rPr>
        <w:t xml:space="preserve"> , </w:t>
      </w:r>
      <w:r>
        <w:rPr>
          <w:rFonts w:ascii="SimSun" w:cs="SimSun" w:eastAsia="SimSun" w:hAnsi="SimSun"/>
          <w:sz w:val="18"/>
          <w:szCs w:val="18"/>
          <w:color w:val="auto"/>
        </w:rPr>
        <w:t>和其他额外的商业保险计划</w:t>
      </w:r>
      <w:r>
        <w:rPr>
          <w:rFonts w:ascii="Arial" w:cs="Arial" w:eastAsia="Arial" w:hAnsi="Arial"/>
          <w:sz w:val="18"/>
          <w:szCs w:val="18"/>
          <w:color w:val="auto"/>
        </w:rPr>
        <w:t xml:space="preserve"> , </w:t>
      </w:r>
      <w:r>
        <w:rPr>
          <w:rFonts w:ascii="SimSun" w:cs="SimSun" w:eastAsia="SimSun" w:hAnsi="SimSun"/>
          <w:sz w:val="18"/>
          <w:szCs w:val="18"/>
          <w:color w:val="auto"/>
        </w:rPr>
        <w:t>详细信息根据《员工手册》内的相关规定执行。</w:t>
      </w:r>
    </w:p>
    <w:p>
      <w:pPr>
        <w:spacing w:after="0" w:line="227" w:lineRule="exact"/>
        <w:rPr>
          <w:sz w:val="20"/>
          <w:szCs w:val="20"/>
          <w:color w:val="auto"/>
        </w:rPr>
      </w:pPr>
    </w:p>
    <w:p>
      <w:pPr>
        <w:ind w:left="550" w:hanging="550"/>
        <w:spacing w:after="0" w:line="182" w:lineRule="exact"/>
        <w:tabs>
          <w:tab w:leader="none" w:pos="550"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EMPLOYEE'S GENERAL OBLIGATIONS</w:t>
      </w:r>
      <w:r>
        <w:rPr>
          <w:rFonts w:ascii="SimSun" w:cs="SimSun" w:eastAsia="SimSun" w:hAnsi="SimSun"/>
          <w:sz w:val="15"/>
          <w:szCs w:val="15"/>
          <w:color w:val="auto"/>
        </w:rPr>
        <w:t>员工的总体职责</w:t>
      </w:r>
    </w:p>
    <w:p>
      <w:pPr>
        <w:spacing w:after="0" w:line="217" w:lineRule="exact"/>
        <w:rPr>
          <w:sz w:val="20"/>
          <w:szCs w:val="20"/>
          <w:color w:val="auto"/>
        </w:rPr>
      </w:pPr>
    </w:p>
    <w:p>
      <w:pPr>
        <w:ind w:left="550"/>
        <w:spacing w:after="0" w:line="207" w:lineRule="exact"/>
        <w:tabs>
          <w:tab w:leader="none" w:pos="2589" w:val="left"/>
        </w:tabs>
        <w:rPr>
          <w:sz w:val="20"/>
          <w:szCs w:val="20"/>
          <w:color w:val="auto"/>
        </w:rPr>
      </w:pPr>
      <w:r>
        <w:rPr>
          <w:rFonts w:ascii="Arial" w:cs="Arial" w:eastAsia="Arial" w:hAnsi="Arial"/>
          <w:sz w:val="18"/>
          <w:szCs w:val="18"/>
          <w:b w:val="1"/>
          <w:bCs w:val="1"/>
          <w:color w:val="auto"/>
        </w:rPr>
        <w:t>Management of Files</w:t>
      </w:r>
      <w:r>
        <w:rPr>
          <w:sz w:val="20"/>
          <w:szCs w:val="20"/>
          <w:color w:val="auto"/>
        </w:rPr>
        <w:tab/>
      </w:r>
      <w:r>
        <w:rPr>
          <w:rFonts w:ascii="SimSun" w:cs="SimSun" w:eastAsia="SimSun" w:hAnsi="SimSun"/>
          <w:sz w:val="17"/>
          <w:szCs w:val="17"/>
          <w:color w:val="auto"/>
        </w:rPr>
        <w:t>文 件管理</w:t>
      </w:r>
    </w:p>
    <w:p>
      <w:pPr>
        <w:spacing w:after="0" w:line="227" w:lineRule="exact"/>
        <w:rPr>
          <w:sz w:val="20"/>
          <w:szCs w:val="20"/>
          <w:color w:val="auto"/>
        </w:rPr>
      </w:pPr>
    </w:p>
    <w:p>
      <w:pPr>
        <w:jc w:val="both"/>
        <w:ind w:left="10"/>
        <w:spacing w:after="0" w:line="255" w:lineRule="auto"/>
        <w:rPr>
          <w:sz w:val="20"/>
          <w:szCs w:val="20"/>
          <w:color w:val="auto"/>
        </w:rPr>
      </w:pPr>
      <w:r>
        <w:rPr>
          <w:rFonts w:ascii="Arial" w:cs="Arial" w:eastAsia="Arial" w:hAnsi="Arial"/>
          <w:sz w:val="17"/>
          <w:szCs w:val="17"/>
          <w:color w:val="auto"/>
        </w:rPr>
        <w:t>The Employee will separately file work related files as well as collecting any and all documents produced during the performance of duties, projects, tasks and/or other obligations due; the loss deletion or damage of any document is strictly prohibited and will be deemed as a serious breach of this Agreement and the Employee concerned may not be eligible for the performance bonus under Article 4 of this Agreement.</w:t>
      </w:r>
    </w:p>
    <w:p>
      <w:pPr>
        <w:spacing w:after="0" w:line="2" w:lineRule="exact"/>
        <w:rPr>
          <w:sz w:val="20"/>
          <w:szCs w:val="20"/>
          <w:color w:val="auto"/>
        </w:rPr>
      </w:pPr>
    </w:p>
    <w:p>
      <w:pPr>
        <w:jc w:val="both"/>
        <w:ind w:left="10"/>
        <w:spacing w:after="0" w:line="233" w:lineRule="exact"/>
        <w:rPr>
          <w:sz w:val="20"/>
          <w:szCs w:val="20"/>
          <w:color w:val="auto"/>
        </w:rPr>
      </w:pPr>
      <w:r>
        <w:rPr>
          <w:rFonts w:ascii="SimSun" w:cs="SimSun" w:eastAsia="SimSun" w:hAnsi="SimSun"/>
          <w:sz w:val="18"/>
          <w:szCs w:val="18"/>
          <w:color w:val="auto"/>
        </w:rPr>
        <w:t>员工将建立各自和工作有关的文件夹</w:t>
      </w:r>
      <w:r>
        <w:rPr>
          <w:rFonts w:ascii="Arial" w:cs="Arial" w:eastAsia="Arial" w:hAnsi="Arial"/>
          <w:sz w:val="18"/>
          <w:szCs w:val="18"/>
          <w:color w:val="auto"/>
        </w:rPr>
        <w:t xml:space="preserve"> , </w:t>
      </w:r>
      <w:r>
        <w:rPr>
          <w:rFonts w:ascii="SimSun" w:cs="SimSun" w:eastAsia="SimSun" w:hAnsi="SimSun"/>
          <w:sz w:val="18"/>
          <w:szCs w:val="18"/>
          <w:color w:val="auto"/>
        </w:rPr>
        <w:t>收集履行职责、项目、执行任务或其他应尽职责时产生的所有文档；严禁遗失、删除或损坏与员工工作职责相关的任何信息</w:t>
      </w:r>
      <w:r>
        <w:rPr>
          <w:rFonts w:ascii="Arial" w:cs="Arial" w:eastAsia="Arial" w:hAnsi="Arial"/>
          <w:sz w:val="18"/>
          <w:szCs w:val="18"/>
          <w:color w:val="auto"/>
        </w:rPr>
        <w:t xml:space="preserve"> , </w:t>
      </w:r>
      <w:r>
        <w:rPr>
          <w:rFonts w:ascii="SimSun" w:cs="SimSun" w:eastAsia="SimSun" w:hAnsi="SimSun"/>
          <w:sz w:val="18"/>
          <w:szCs w:val="18"/>
          <w:color w:val="auto"/>
        </w:rPr>
        <w:t>如有遗失、删除或损坏将视为严重违反本协议</w:t>
      </w:r>
      <w:r>
        <w:rPr>
          <w:rFonts w:ascii="Arial" w:cs="Arial" w:eastAsia="Arial" w:hAnsi="Arial"/>
          <w:sz w:val="18"/>
          <w:szCs w:val="18"/>
          <w:color w:val="auto"/>
        </w:rPr>
        <w:t xml:space="preserve"> , </w:t>
      </w:r>
      <w:r>
        <w:rPr>
          <w:rFonts w:ascii="SimSun" w:cs="SimSun" w:eastAsia="SimSun" w:hAnsi="SimSun"/>
          <w:sz w:val="18"/>
          <w:szCs w:val="18"/>
          <w:color w:val="auto"/>
        </w:rPr>
        <w:t>员工因此不得享有本协议第四条规定的业绩奖金。</w:t>
      </w:r>
    </w:p>
    <w:p>
      <w:pPr>
        <w:spacing w:after="0" w:line="206" w:lineRule="exact"/>
        <w:rPr>
          <w:sz w:val="20"/>
          <w:szCs w:val="20"/>
          <w:color w:val="auto"/>
        </w:rPr>
      </w:pPr>
    </w:p>
    <w:p>
      <w:pPr>
        <w:ind w:left="550"/>
        <w:spacing w:after="0" w:line="207" w:lineRule="exact"/>
        <w:tabs>
          <w:tab w:leader="none" w:pos="3969" w:val="left"/>
        </w:tabs>
        <w:rPr>
          <w:sz w:val="20"/>
          <w:szCs w:val="20"/>
          <w:color w:val="auto"/>
        </w:rPr>
      </w:pPr>
      <w:r>
        <w:rPr>
          <w:rFonts w:ascii="Arial" w:cs="Arial" w:eastAsia="Arial" w:hAnsi="Arial"/>
          <w:sz w:val="18"/>
          <w:szCs w:val="18"/>
          <w:b w:val="1"/>
          <w:bCs w:val="1"/>
          <w:color w:val="auto"/>
        </w:rPr>
        <w:t>No Other Work and Other Association</w:t>
      </w:r>
      <w:r>
        <w:rPr>
          <w:sz w:val="20"/>
          <w:szCs w:val="20"/>
          <w:color w:val="auto"/>
        </w:rPr>
        <w:tab/>
      </w:r>
      <w:r>
        <w:rPr>
          <w:rFonts w:ascii="SimSun" w:cs="SimSun" w:eastAsia="SimSun" w:hAnsi="SimSun"/>
          <w:sz w:val="18"/>
          <w:szCs w:val="18"/>
          <w:color w:val="auto"/>
        </w:rPr>
        <w:t>不得另外从事工作或加入其他社团</w:t>
      </w:r>
    </w:p>
    <w:p>
      <w:pPr>
        <w:spacing w:after="0" w:line="227" w:lineRule="exact"/>
        <w:rPr>
          <w:sz w:val="20"/>
          <w:szCs w:val="20"/>
          <w:color w:val="auto"/>
        </w:rPr>
      </w:pPr>
    </w:p>
    <w:p>
      <w:pPr>
        <w:jc w:val="both"/>
        <w:ind w:left="10"/>
        <w:spacing w:after="0" w:line="250" w:lineRule="auto"/>
        <w:rPr>
          <w:sz w:val="20"/>
          <w:szCs w:val="20"/>
          <w:color w:val="auto"/>
        </w:rPr>
      </w:pPr>
      <w:r>
        <w:rPr>
          <w:rFonts w:ascii="Arial" w:cs="Arial" w:eastAsia="Arial" w:hAnsi="Arial"/>
          <w:sz w:val="18"/>
          <w:szCs w:val="18"/>
          <w:color w:val="auto"/>
        </w:rPr>
        <w:t>During the term of this Agreement, the Employee shall only assume post of and work for the Company. The Employee is not allowed to undertake any other business or professional activity similar or unsimilar to the duties of the Employee, including employment, provide labor service and/or consultation without permission by the Company either directly or indirectly, independently or in association with others.</w:t>
      </w:r>
    </w:p>
    <w:p>
      <w:pPr>
        <w:spacing w:after="0" w:line="318" w:lineRule="exact"/>
        <w:rPr>
          <w:sz w:val="20"/>
          <w:szCs w:val="20"/>
          <w:color w:val="auto"/>
        </w:rPr>
      </w:pPr>
    </w:p>
    <w:p>
      <w:pPr>
        <w:ind w:left="10"/>
        <w:spacing w:after="0"/>
        <w:rPr>
          <w:sz w:val="20"/>
          <w:szCs w:val="20"/>
          <w:color w:val="auto"/>
        </w:rPr>
      </w:pPr>
      <w:r>
        <w:rPr>
          <w:rFonts w:ascii="Arial" w:cs="Arial" w:eastAsia="Arial" w:hAnsi="Arial"/>
          <w:sz w:val="12"/>
          <w:szCs w:val="1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628" w:right="319" w:bottom="1440" w:gutter="0" w:footer="0" w:header="0"/>
        </w:sectPr>
      </w:pPr>
    </w:p>
    <w:bookmarkStart w:id="146" w:name="page147"/>
    <w:bookmarkEnd w:id="146"/>
    <w:p>
      <w:pPr>
        <w:ind w:left="394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27" w:lineRule="exact"/>
        <w:rPr>
          <w:sz w:val="20"/>
          <w:szCs w:val="20"/>
          <w:color w:val="auto"/>
        </w:rPr>
      </w:pPr>
    </w:p>
    <w:p>
      <w:pPr>
        <w:jc w:val="both"/>
        <w:spacing w:after="0" w:line="234" w:lineRule="exact"/>
        <w:rPr>
          <w:sz w:val="20"/>
          <w:szCs w:val="20"/>
          <w:color w:val="auto"/>
        </w:rPr>
      </w:pPr>
      <w:r>
        <w:rPr>
          <w:rFonts w:ascii="SimSun" w:cs="SimSun" w:eastAsia="SimSun" w:hAnsi="SimSun"/>
          <w:sz w:val="18"/>
          <w:szCs w:val="18"/>
          <w:color w:val="auto"/>
        </w:rPr>
        <w:t>本协 议有效期内</w:t>
      </w:r>
      <w:r>
        <w:rPr>
          <w:rFonts w:ascii="Arial" w:cs="Arial" w:eastAsia="Arial" w:hAnsi="Arial"/>
          <w:sz w:val="18"/>
          <w:szCs w:val="18"/>
          <w:color w:val="auto"/>
        </w:rPr>
        <w:t xml:space="preserve"> , </w:t>
      </w:r>
      <w:r>
        <w:rPr>
          <w:rFonts w:ascii="SimSun" w:cs="SimSun" w:eastAsia="SimSun" w:hAnsi="SimSun"/>
          <w:sz w:val="18"/>
          <w:szCs w:val="18"/>
          <w:color w:val="auto"/>
        </w:rPr>
        <w:t>员工只能在本公司担任职务进行工作</w:t>
      </w:r>
      <w:r>
        <w:rPr>
          <w:rFonts w:ascii="Arial" w:cs="Arial" w:eastAsia="Arial" w:hAnsi="Arial"/>
          <w:sz w:val="18"/>
          <w:szCs w:val="18"/>
          <w:color w:val="auto"/>
        </w:rPr>
        <w:t xml:space="preserve"> , </w:t>
      </w:r>
      <w:r>
        <w:rPr>
          <w:rFonts w:ascii="SimSun" w:cs="SimSun" w:eastAsia="SimSun" w:hAnsi="SimSun"/>
          <w:sz w:val="18"/>
          <w:szCs w:val="18"/>
          <w:color w:val="auto"/>
        </w:rPr>
        <w:t>未经公司同意不得间接或直接地单独或与他人参与或联系与其在本公司的职责相同或相异的一切形式的商业或专业活动</w:t>
      </w:r>
      <w:r>
        <w:rPr>
          <w:rFonts w:ascii="Arial" w:cs="Arial" w:eastAsia="Arial" w:hAnsi="Arial"/>
          <w:sz w:val="18"/>
          <w:szCs w:val="18"/>
          <w:color w:val="auto"/>
        </w:rPr>
        <w:t xml:space="preserve"> , </w:t>
      </w:r>
      <w:r>
        <w:rPr>
          <w:rFonts w:ascii="SimSun" w:cs="SimSun" w:eastAsia="SimSun" w:hAnsi="SimSun"/>
          <w:sz w:val="18"/>
          <w:szCs w:val="18"/>
          <w:color w:val="auto"/>
        </w:rPr>
        <w:t>包括雇佣</w:t>
      </w:r>
      <w:r>
        <w:rPr>
          <w:rFonts w:ascii="Arial" w:cs="Arial" w:eastAsia="Arial" w:hAnsi="Arial"/>
          <w:sz w:val="18"/>
          <w:szCs w:val="18"/>
          <w:color w:val="auto"/>
        </w:rPr>
        <w:t xml:space="preserve"> , </w:t>
      </w:r>
      <w:r>
        <w:rPr>
          <w:rFonts w:ascii="SimSun" w:cs="SimSun" w:eastAsia="SimSun" w:hAnsi="SimSun"/>
          <w:sz w:val="18"/>
          <w:szCs w:val="18"/>
          <w:color w:val="auto"/>
        </w:rPr>
        <w:t>提供劳务和咨询活动。</w:t>
      </w:r>
    </w:p>
    <w:p>
      <w:pPr>
        <w:spacing w:after="0" w:line="208" w:lineRule="exact"/>
        <w:rPr>
          <w:sz w:val="20"/>
          <w:szCs w:val="20"/>
          <w:color w:val="auto"/>
        </w:rPr>
      </w:pPr>
    </w:p>
    <w:p>
      <w:pPr>
        <w:ind w:left="540"/>
        <w:spacing w:after="0" w:line="207" w:lineRule="exact"/>
        <w:tabs>
          <w:tab w:leader="none" w:pos="2920" w:val="left"/>
        </w:tabs>
        <w:rPr>
          <w:sz w:val="20"/>
          <w:szCs w:val="20"/>
          <w:color w:val="auto"/>
        </w:rPr>
      </w:pPr>
      <w:r>
        <w:rPr>
          <w:rFonts w:ascii="Arial" w:cs="Arial" w:eastAsia="Arial" w:hAnsi="Arial"/>
          <w:sz w:val="18"/>
          <w:szCs w:val="18"/>
          <w:b w:val="1"/>
          <w:bCs w:val="1"/>
          <w:color w:val="auto"/>
        </w:rPr>
        <w:t>Confidential Information</w:t>
      </w:r>
      <w:r>
        <w:rPr>
          <w:sz w:val="20"/>
          <w:szCs w:val="20"/>
          <w:color w:val="auto"/>
        </w:rPr>
        <w:tab/>
      </w:r>
      <w:r>
        <w:rPr>
          <w:rFonts w:ascii="SimSun" w:cs="SimSun" w:eastAsia="SimSun" w:hAnsi="SimSun"/>
          <w:sz w:val="17"/>
          <w:szCs w:val="17"/>
          <w:color w:val="auto"/>
        </w:rPr>
        <w:t>保 密信息</w:t>
      </w:r>
    </w:p>
    <w:p>
      <w:pPr>
        <w:spacing w:after="0" w:line="2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Without the prior written approval of the Company, the Employee shall not, during the term or at any time thereafter, disclose to any unauthorized person (including his/her relatives), or use for the Employee's personal benefit or otherwise any information, knowledge, or data which the Employee receives or develops during the term and that which is confidential, including, but not limited to information contained in business processes, business plan, customer lists, methods, machines, manufacturers, compositions, engineering, research, ideas, concepts, inventions, discoveries, writings, software, or otherwise, or which the Company or any affiliate thereof, has received in confidential from any others; nor shall the Employee disclose to the Company any confidential information of any others. The Employee hereby warrants that the Employee shall hold in confidence all confidential information of the Company.</w:t>
      </w:r>
    </w:p>
    <w:p>
      <w:pPr>
        <w:spacing w:after="0" w:line="162" w:lineRule="exact"/>
        <w:rPr>
          <w:sz w:val="20"/>
          <w:szCs w:val="20"/>
          <w:color w:val="auto"/>
        </w:rPr>
      </w:pPr>
    </w:p>
    <w:p>
      <w:pPr>
        <w:jc w:val="both"/>
        <w:spacing w:after="0" w:line="236" w:lineRule="exact"/>
        <w:rPr>
          <w:sz w:val="20"/>
          <w:szCs w:val="20"/>
          <w:color w:val="auto"/>
        </w:rPr>
      </w:pPr>
      <w:r>
        <w:rPr>
          <w:rFonts w:ascii="SimSun" w:cs="SimSun" w:eastAsia="SimSun" w:hAnsi="SimSun"/>
          <w:sz w:val="18"/>
          <w:szCs w:val="18"/>
          <w:color w:val="auto"/>
        </w:rPr>
        <w:t>在未事先征得公司书面同意的情况下</w:t>
      </w:r>
      <w:r>
        <w:rPr>
          <w:rFonts w:ascii="Arial" w:cs="Arial" w:eastAsia="Arial" w:hAnsi="Arial"/>
          <w:sz w:val="18"/>
          <w:szCs w:val="18"/>
          <w:color w:val="auto"/>
        </w:rPr>
        <w:t xml:space="preserve"> , </w:t>
      </w:r>
      <w:r>
        <w:rPr>
          <w:rFonts w:ascii="SimSun" w:cs="SimSun" w:eastAsia="SimSun" w:hAnsi="SimSun"/>
          <w:sz w:val="18"/>
          <w:szCs w:val="18"/>
          <w:color w:val="auto"/>
        </w:rPr>
        <w:t>员工不得在期限内或之后任何时间</w:t>
      </w:r>
      <w:r>
        <w:rPr>
          <w:rFonts w:ascii="Arial" w:cs="Arial" w:eastAsia="Arial" w:hAnsi="Arial"/>
          <w:sz w:val="18"/>
          <w:szCs w:val="18"/>
          <w:color w:val="auto"/>
        </w:rPr>
        <w:t xml:space="preserve"> , </w:t>
      </w:r>
      <w:r>
        <w:rPr>
          <w:rFonts w:ascii="SimSun" w:cs="SimSun" w:eastAsia="SimSun" w:hAnsi="SimSun"/>
          <w:sz w:val="18"/>
          <w:szCs w:val="18"/>
          <w:color w:val="auto"/>
        </w:rPr>
        <w:t>为了员工自身的利益或者他人利益</w:t>
      </w:r>
      <w:r>
        <w:rPr>
          <w:rFonts w:ascii="Arial" w:cs="Arial" w:eastAsia="Arial" w:hAnsi="Arial"/>
          <w:sz w:val="18"/>
          <w:szCs w:val="18"/>
          <w:color w:val="auto"/>
        </w:rPr>
        <w:t xml:space="preserve"> , </w:t>
      </w:r>
      <w:r>
        <w:rPr>
          <w:rFonts w:ascii="SimSun" w:cs="SimSun" w:eastAsia="SimSun" w:hAnsi="SimSun"/>
          <w:sz w:val="18"/>
          <w:szCs w:val="18"/>
          <w:color w:val="auto"/>
        </w:rPr>
        <w:t>向任何未经授权的人（包括其亲属）披露或为上述之目的而使用员工在合同期限内接收或研发出的任何保密性质的信息、知识或数据</w:t>
      </w:r>
      <w:r>
        <w:rPr>
          <w:rFonts w:ascii="Arial" w:cs="Arial" w:eastAsia="Arial" w:hAnsi="Arial"/>
          <w:sz w:val="18"/>
          <w:szCs w:val="18"/>
          <w:color w:val="auto"/>
        </w:rPr>
        <w:t xml:space="preserve"> , </w:t>
      </w:r>
      <w:r>
        <w:rPr>
          <w:rFonts w:ascii="SimSun" w:cs="SimSun" w:eastAsia="SimSun" w:hAnsi="SimSun"/>
          <w:sz w:val="18"/>
          <w:szCs w:val="18"/>
          <w:color w:val="auto"/>
        </w:rPr>
        <w:t>包括但不限于商业程序、商业计划、客户清单、 方法、机器、加工商、构成、工程、研究、想法、概念、发明、发现、书面材料、软件或者其他物件中所包含的信息</w:t>
      </w:r>
      <w:r>
        <w:rPr>
          <w:rFonts w:ascii="Arial" w:cs="Arial" w:eastAsia="Arial" w:hAnsi="Arial"/>
          <w:sz w:val="18"/>
          <w:szCs w:val="18"/>
          <w:color w:val="auto"/>
        </w:rPr>
        <w:t xml:space="preserve"> , </w:t>
      </w:r>
      <w:r>
        <w:rPr>
          <w:rFonts w:ascii="SimSun" w:cs="SimSun" w:eastAsia="SimSun" w:hAnsi="SimSun"/>
          <w:sz w:val="18"/>
          <w:szCs w:val="18"/>
          <w:color w:val="auto"/>
        </w:rPr>
        <w:t>或者公司或其任何关联公司从他方接收的要求保密的信息；员工还不得向公司披露其他任何人的任何保密信息。员工特此保证 员工将会对公司的所有保密信息进行保密。</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Employee covenants that, upon end or termination of the employment due to any reason, the Employee shall deliver to the Company or destroy, at the Company's request, any and all forms of the files, documents and materials in the Employee's possession, which may contain the Company's confidential information.</w:t>
      </w:r>
    </w:p>
    <w:p>
      <w:pPr>
        <w:spacing w:after="0" w:line="179" w:lineRule="exact"/>
        <w:rPr>
          <w:sz w:val="20"/>
          <w:szCs w:val="20"/>
          <w:color w:val="auto"/>
        </w:rPr>
      </w:pPr>
    </w:p>
    <w:p>
      <w:pPr>
        <w:jc w:val="both"/>
        <w:spacing w:after="0" w:line="233" w:lineRule="exact"/>
        <w:rPr>
          <w:sz w:val="20"/>
          <w:szCs w:val="20"/>
          <w:color w:val="auto"/>
        </w:rPr>
      </w:pPr>
      <w:r>
        <w:rPr>
          <w:rFonts w:ascii="SimSun" w:cs="SimSun" w:eastAsia="SimSun" w:hAnsi="SimSun"/>
          <w:sz w:val="18"/>
          <w:szCs w:val="18"/>
          <w:color w:val="auto"/>
        </w:rPr>
        <w:t>员工承诺</w:t>
      </w:r>
      <w:r>
        <w:rPr>
          <w:rFonts w:ascii="Arial" w:cs="Arial" w:eastAsia="Arial" w:hAnsi="Arial"/>
          <w:sz w:val="18"/>
          <w:szCs w:val="18"/>
          <w:color w:val="auto"/>
        </w:rPr>
        <w:t xml:space="preserve"> , </w:t>
      </w:r>
      <w:r>
        <w:rPr>
          <w:rFonts w:ascii="SimSun" w:cs="SimSun" w:eastAsia="SimSun" w:hAnsi="SimSun"/>
          <w:sz w:val="18"/>
          <w:szCs w:val="18"/>
          <w:color w:val="auto"/>
        </w:rPr>
        <w:t>由于任何原因而导致该雇佣关系终止或解除以后</w:t>
      </w:r>
      <w:r>
        <w:rPr>
          <w:rFonts w:ascii="Arial" w:cs="Arial" w:eastAsia="Arial" w:hAnsi="Arial"/>
          <w:sz w:val="18"/>
          <w:szCs w:val="18"/>
          <w:color w:val="auto"/>
        </w:rPr>
        <w:t xml:space="preserve"> , </w:t>
      </w:r>
      <w:r>
        <w:rPr>
          <w:rFonts w:ascii="SimSun" w:cs="SimSun" w:eastAsia="SimSun" w:hAnsi="SimSun"/>
          <w:sz w:val="18"/>
          <w:szCs w:val="18"/>
          <w:color w:val="auto"/>
        </w:rPr>
        <w:t>该员工应将其手中任何及所有形式的、 可能包含该公司保密信息的文件、档案和材料交还给公司或者在公司的要求下销毁。</w:t>
      </w: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628" w:right="319" w:bottom="1440" w:gutter="0" w:footer="0" w:header="0"/>
        </w:sectPr>
      </w:pPr>
    </w:p>
    <w:bookmarkStart w:id="147" w:name="page148"/>
    <w:bookmarkEnd w:id="147"/>
    <w:p>
      <w:pPr>
        <w:ind w:left="395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15" w:lineRule="exact"/>
        <w:rPr>
          <w:sz w:val="20"/>
          <w:szCs w:val="20"/>
          <w:color w:val="auto"/>
        </w:rPr>
      </w:pPr>
    </w:p>
    <w:p>
      <w:pPr>
        <w:jc w:val="both"/>
        <w:ind w:left="10"/>
        <w:spacing w:after="0" w:line="264" w:lineRule="auto"/>
        <w:rPr>
          <w:sz w:val="20"/>
          <w:szCs w:val="20"/>
          <w:color w:val="auto"/>
        </w:rPr>
      </w:pPr>
      <w:r>
        <w:rPr>
          <w:rFonts w:ascii="Arial" w:cs="Arial" w:eastAsia="Arial" w:hAnsi="Arial"/>
          <w:sz w:val="17"/>
          <w:szCs w:val="17"/>
          <w:color w:val="auto"/>
        </w:rPr>
        <w:t>A breach of this Article of Confidential Information by the Employee constitutes a material breach of this Agreement. The Employee shall be liable for the breach herein, and return to the Company all proceeds gained as resulted from such breach. The Employee shall indemnify the Company against any losses incurred in such breach. Furthermore, the Company also has the right to take punitive actions against the Employee in accordance with relevant labor disciplines and rules, and the Employee concerned may not be eligible for the performance bonus under Article 4 of this Agreement.</w:t>
      </w:r>
    </w:p>
    <w:p>
      <w:pPr>
        <w:spacing w:after="0" w:line="169" w:lineRule="exact"/>
        <w:rPr>
          <w:sz w:val="20"/>
          <w:szCs w:val="20"/>
          <w:color w:val="auto"/>
        </w:rPr>
      </w:pPr>
    </w:p>
    <w:p>
      <w:pPr>
        <w:jc w:val="both"/>
        <w:ind w:left="10"/>
        <w:spacing w:after="0" w:line="236" w:lineRule="exact"/>
        <w:rPr>
          <w:sz w:val="20"/>
          <w:szCs w:val="20"/>
          <w:color w:val="auto"/>
        </w:rPr>
      </w:pPr>
      <w:r>
        <w:rPr>
          <w:rFonts w:ascii="SimSun" w:cs="SimSun" w:eastAsia="SimSun" w:hAnsi="SimSun"/>
          <w:sz w:val="18"/>
          <w:szCs w:val="18"/>
          <w:color w:val="auto"/>
        </w:rPr>
        <w:t>员工违反本条关于保密信息的行为应被视为对此劳动合同的重大违约行为。该员工将对其违反本条规定的行为承担赔偿责任</w:t>
      </w:r>
      <w:r>
        <w:rPr>
          <w:rFonts w:ascii="Arial" w:cs="Arial" w:eastAsia="Arial" w:hAnsi="Arial"/>
          <w:sz w:val="18"/>
          <w:szCs w:val="18"/>
          <w:color w:val="auto"/>
        </w:rPr>
        <w:t xml:space="preserve"> , </w:t>
      </w:r>
      <w:r>
        <w:rPr>
          <w:rFonts w:ascii="SimSun" w:cs="SimSun" w:eastAsia="SimSun" w:hAnsi="SimSun"/>
          <w:sz w:val="18"/>
          <w:szCs w:val="18"/>
          <w:color w:val="auto"/>
        </w:rPr>
        <w:t>并向公司呈交由于该等违约行为而取得的所有收益。该员工应为由于该等违约行为而造成的任何损失向该公司赔偿。此外</w:t>
      </w:r>
      <w:r>
        <w:rPr>
          <w:rFonts w:ascii="Arial" w:cs="Arial" w:eastAsia="Arial" w:hAnsi="Arial"/>
          <w:sz w:val="18"/>
          <w:szCs w:val="18"/>
          <w:color w:val="auto"/>
        </w:rPr>
        <w:t xml:space="preserve"> , </w:t>
      </w:r>
      <w:r>
        <w:rPr>
          <w:rFonts w:ascii="SimSun" w:cs="SimSun" w:eastAsia="SimSun" w:hAnsi="SimSun"/>
          <w:sz w:val="18"/>
          <w:szCs w:val="18"/>
          <w:color w:val="auto"/>
        </w:rPr>
        <w:t>公司还有权根据相关的劳动纪律规则及规定对该员工采取惩罚性行动</w:t>
      </w:r>
      <w:r>
        <w:rPr>
          <w:rFonts w:ascii="Arial" w:cs="Arial" w:eastAsia="Arial" w:hAnsi="Arial"/>
          <w:sz w:val="18"/>
          <w:szCs w:val="18"/>
          <w:color w:val="auto"/>
        </w:rPr>
        <w:t xml:space="preserve"> , </w:t>
      </w:r>
      <w:r>
        <w:rPr>
          <w:rFonts w:ascii="SimSun" w:cs="SimSun" w:eastAsia="SimSun" w:hAnsi="SimSun"/>
          <w:sz w:val="18"/>
          <w:szCs w:val="18"/>
          <w:color w:val="auto"/>
        </w:rPr>
        <w:t>员工因此不得享有本协议第四条规定的业绩奖金。</w:t>
      </w:r>
    </w:p>
    <w:p>
      <w:pPr>
        <w:spacing w:after="0" w:line="206" w:lineRule="exact"/>
        <w:rPr>
          <w:sz w:val="20"/>
          <w:szCs w:val="20"/>
          <w:color w:val="auto"/>
        </w:rPr>
      </w:pPr>
    </w:p>
    <w:p>
      <w:pPr>
        <w:ind w:left="550"/>
        <w:spacing w:after="0" w:line="207" w:lineRule="exact"/>
        <w:tabs>
          <w:tab w:leader="none" w:pos="1969" w:val="left"/>
        </w:tabs>
        <w:rPr>
          <w:sz w:val="20"/>
          <w:szCs w:val="20"/>
          <w:color w:val="auto"/>
        </w:rPr>
      </w:pPr>
      <w:r>
        <w:rPr>
          <w:rFonts w:ascii="Arial" w:cs="Arial" w:eastAsia="Arial" w:hAnsi="Arial"/>
          <w:sz w:val="18"/>
          <w:szCs w:val="18"/>
          <w:b w:val="1"/>
          <w:bCs w:val="1"/>
          <w:color w:val="auto"/>
        </w:rPr>
        <w:t>Due Practice</w:t>
      </w:r>
      <w:r>
        <w:rPr>
          <w:sz w:val="20"/>
          <w:szCs w:val="20"/>
          <w:color w:val="auto"/>
        </w:rPr>
        <w:tab/>
      </w:r>
      <w:r>
        <w:rPr>
          <w:rFonts w:ascii="SimSun" w:cs="SimSun" w:eastAsia="SimSun" w:hAnsi="SimSun"/>
          <w:sz w:val="16"/>
          <w:szCs w:val="16"/>
          <w:color w:val="auto"/>
        </w:rPr>
        <w:t>正当做 法</w:t>
      </w:r>
    </w:p>
    <w:p>
      <w:pPr>
        <w:spacing w:after="0" w:line="28" w:lineRule="exact"/>
        <w:rPr>
          <w:sz w:val="20"/>
          <w:szCs w:val="20"/>
          <w:color w:val="auto"/>
        </w:rPr>
      </w:pPr>
    </w:p>
    <w:p>
      <w:pPr>
        <w:jc w:val="both"/>
        <w:ind w:left="10"/>
        <w:spacing w:after="0" w:line="283" w:lineRule="auto"/>
        <w:rPr>
          <w:sz w:val="20"/>
          <w:szCs w:val="20"/>
          <w:color w:val="auto"/>
        </w:rPr>
      </w:pPr>
      <w:r>
        <w:rPr>
          <w:rFonts w:ascii="Arial" w:cs="Arial" w:eastAsia="Arial" w:hAnsi="Arial"/>
          <w:sz w:val="16"/>
          <w:szCs w:val="16"/>
          <w:color w:val="auto"/>
        </w:rPr>
        <w:t>During the term of this Agreement, the Employee shall not, and shall not direct any other person, to offer, promise or give to any government official, any political party or official thereof, any candidate for political office, or any other person any money or any other thing of value while knowing or having reason to know that all or a portion of such money or thing of value will be offered, promised, or given directly to any such entity for the purpose of influencing any action, omission, or decision by the recipient in order to obtain or retain business for Company or to direct business to another.</w:t>
      </w:r>
    </w:p>
    <w:p>
      <w:pPr>
        <w:spacing w:after="0" w:line="157" w:lineRule="exact"/>
        <w:rPr>
          <w:sz w:val="20"/>
          <w:szCs w:val="20"/>
          <w:color w:val="auto"/>
        </w:rPr>
      </w:pPr>
    </w:p>
    <w:p>
      <w:pPr>
        <w:ind w:left="10"/>
        <w:spacing w:after="0" w:line="207" w:lineRule="exact"/>
        <w:rPr>
          <w:sz w:val="20"/>
          <w:szCs w:val="20"/>
          <w:color w:val="auto"/>
        </w:rPr>
      </w:pPr>
      <w:r>
        <w:rPr>
          <w:rFonts w:ascii="SimSun" w:cs="SimSun" w:eastAsia="SimSun" w:hAnsi="SimSun"/>
          <w:sz w:val="17"/>
          <w:szCs w:val="17"/>
          <w:color w:val="auto"/>
        </w:rPr>
        <w:t>本协 议有效期内</w:t>
      </w:r>
      <w:r>
        <w:rPr>
          <w:rFonts w:ascii="Arial" w:cs="Arial" w:eastAsia="Arial" w:hAnsi="Arial"/>
          <w:sz w:val="17"/>
          <w:szCs w:val="17"/>
          <w:color w:val="auto"/>
        </w:rPr>
        <w:t xml:space="preserve"> , </w:t>
      </w:r>
      <w:r>
        <w:rPr>
          <w:rFonts w:ascii="SimSun" w:cs="SimSun" w:eastAsia="SimSun" w:hAnsi="SimSun"/>
          <w:sz w:val="17"/>
          <w:szCs w:val="17"/>
          <w:color w:val="auto"/>
        </w:rPr>
        <w:t>员工本人不得</w:t>
      </w:r>
      <w:r>
        <w:rPr>
          <w:rFonts w:ascii="Arial" w:cs="Arial" w:eastAsia="Arial" w:hAnsi="Arial"/>
          <w:sz w:val="17"/>
          <w:szCs w:val="17"/>
          <w:color w:val="auto"/>
        </w:rPr>
        <w:t xml:space="preserve"> , </w:t>
      </w:r>
      <w:r>
        <w:rPr>
          <w:rFonts w:ascii="SimSun" w:cs="SimSun" w:eastAsia="SimSun" w:hAnsi="SimSun"/>
          <w:sz w:val="17"/>
          <w:szCs w:val="17"/>
          <w:color w:val="auto"/>
        </w:rPr>
        <w:t>也不得指示他人</w:t>
      </w:r>
      <w:r>
        <w:rPr>
          <w:rFonts w:ascii="Arial" w:cs="Arial" w:eastAsia="Arial" w:hAnsi="Arial"/>
          <w:sz w:val="17"/>
          <w:szCs w:val="17"/>
          <w:color w:val="auto"/>
        </w:rPr>
        <w:t xml:space="preserve"> , </w:t>
      </w:r>
      <w:r>
        <w:rPr>
          <w:rFonts w:ascii="SimSun" w:cs="SimSun" w:eastAsia="SimSun" w:hAnsi="SimSun"/>
          <w:sz w:val="17"/>
          <w:szCs w:val="17"/>
          <w:color w:val="auto"/>
        </w:rPr>
        <w:t>给任何政府官员、政党或政党的官员、候选人或任何其他人提供钱财</w:t>
      </w:r>
      <w:r>
        <w:rPr>
          <w:rFonts w:ascii="Arial" w:cs="Arial" w:eastAsia="Arial" w:hAnsi="Arial"/>
          <w:sz w:val="17"/>
          <w:szCs w:val="17"/>
          <w:color w:val="auto"/>
        </w:rPr>
        <w:t xml:space="preserve"> , </w:t>
      </w:r>
      <w:r>
        <w:rPr>
          <w:rFonts w:ascii="SimSun" w:cs="SimSun" w:eastAsia="SimSun" w:hAnsi="SimSun"/>
          <w:sz w:val="17"/>
          <w:szCs w:val="17"/>
          <w:color w:val="auto"/>
        </w:rPr>
        <w:t>也不得做出此类承诺</w:t>
      </w:r>
    </w:p>
    <w:p>
      <w:pPr>
        <w:spacing w:after="0" w:line="35" w:lineRule="exact"/>
        <w:rPr>
          <w:sz w:val="20"/>
          <w:szCs w:val="20"/>
          <w:color w:val="auto"/>
        </w:rPr>
      </w:pPr>
    </w:p>
    <w:p>
      <w:pPr>
        <w:ind w:left="10" w:hanging="10"/>
        <w:spacing w:after="0" w:line="232" w:lineRule="exact"/>
        <w:tabs>
          <w:tab w:leader="none" w:pos="102" w:val="left"/>
        </w:tabs>
        <w:numPr>
          <w:ilvl w:val="0"/>
          <w:numId w:val="95"/>
        </w:numPr>
        <w:rPr>
          <w:rFonts w:ascii="Arial" w:cs="Arial" w:eastAsia="Arial" w:hAnsi="Arial"/>
          <w:sz w:val="18"/>
          <w:szCs w:val="18"/>
          <w:color w:val="auto"/>
        </w:rPr>
      </w:pPr>
      <w:r>
        <w:rPr>
          <w:rFonts w:ascii="SimSun" w:cs="SimSun" w:eastAsia="SimSun" w:hAnsi="SimSun"/>
          <w:sz w:val="18"/>
          <w:szCs w:val="18"/>
          <w:color w:val="auto"/>
        </w:rPr>
        <w:t>不管是否应当知情这些钱财的一部分或者全部会提供给这些组织以影响接受方的制定法规、做出决议或做出消极行为以便本公司包揽业务或把业务指派给其他公司。</w:t>
      </w:r>
    </w:p>
    <w:p>
      <w:pPr>
        <w:spacing w:after="0" w:line="218" w:lineRule="exact"/>
        <w:rPr>
          <w:sz w:val="20"/>
          <w:szCs w:val="20"/>
          <w:color w:val="auto"/>
        </w:rPr>
      </w:pPr>
    </w:p>
    <w:p>
      <w:pPr>
        <w:ind w:left="550" w:hanging="550"/>
        <w:spacing w:after="0" w:line="182" w:lineRule="exact"/>
        <w:tabs>
          <w:tab w:leader="none" w:pos="55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TRAINING</w:t>
      </w:r>
      <w:r>
        <w:rPr>
          <w:rFonts w:ascii="SimSun" w:cs="SimSun" w:eastAsia="SimSun" w:hAnsi="SimSun"/>
          <w:sz w:val="15"/>
          <w:szCs w:val="15"/>
          <w:color w:val="auto"/>
        </w:rPr>
        <w:t>培训</w:t>
      </w:r>
    </w:p>
    <w:p>
      <w:pPr>
        <w:spacing w:after="0" w:line="210" w:lineRule="exact"/>
        <w:rPr>
          <w:sz w:val="20"/>
          <w:szCs w:val="20"/>
          <w:color w:val="auto"/>
        </w:rPr>
      </w:pPr>
    </w:p>
    <w:p>
      <w:pPr>
        <w:jc w:val="both"/>
        <w:ind w:left="10"/>
        <w:spacing w:after="0" w:line="245" w:lineRule="auto"/>
        <w:rPr>
          <w:sz w:val="20"/>
          <w:szCs w:val="20"/>
          <w:color w:val="auto"/>
        </w:rPr>
      </w:pPr>
      <w:r>
        <w:rPr>
          <w:rFonts w:ascii="Arial" w:cs="Arial" w:eastAsia="Arial" w:hAnsi="Arial"/>
          <w:sz w:val="18"/>
          <w:szCs w:val="18"/>
          <w:color w:val="auto"/>
        </w:rPr>
        <w:t>The Company requires all Employees to undertake training programs, including compulsory courses and development training courses if the Company considers it appropriate. If the Employee has received training from the Company, and terminates his/her employment pursuant to provisions of this Agreement within two (2) years of completing such training, the Employee shall reimburse the Company of all training related expenses incurred by the Company in providing such training to the Employee on a pro rata basis.</w:t>
      </w:r>
    </w:p>
    <w:p>
      <w:pPr>
        <w:spacing w:after="0" w:line="323" w:lineRule="exact"/>
        <w:rPr>
          <w:sz w:val="20"/>
          <w:szCs w:val="20"/>
          <w:color w:val="auto"/>
        </w:rPr>
      </w:pPr>
    </w:p>
    <w:p>
      <w:pPr>
        <w:ind w:left="10"/>
        <w:spacing w:after="0"/>
        <w:rPr>
          <w:sz w:val="20"/>
          <w:szCs w:val="20"/>
          <w:color w:val="auto"/>
        </w:rPr>
      </w:pPr>
      <w:r>
        <w:rPr>
          <w:rFonts w:ascii="Arial" w:cs="Arial" w:eastAsia="Arial" w:hAnsi="Arial"/>
          <w:sz w:val="12"/>
          <w:szCs w:val="12"/>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628" w:right="319" w:bottom="1440" w:gutter="0" w:footer="0" w:header="0"/>
        </w:sectPr>
      </w:pPr>
    </w:p>
    <w:bookmarkStart w:id="148" w:name="page149"/>
    <w:bookmarkEnd w:id="148"/>
    <w:p>
      <w:pPr>
        <w:ind w:left="395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27" w:lineRule="exact"/>
        <w:rPr>
          <w:sz w:val="20"/>
          <w:szCs w:val="20"/>
          <w:color w:val="auto"/>
        </w:rPr>
      </w:pPr>
    </w:p>
    <w:p>
      <w:pPr>
        <w:ind w:left="10"/>
        <w:spacing w:after="0" w:line="234" w:lineRule="exact"/>
        <w:rPr>
          <w:sz w:val="20"/>
          <w:szCs w:val="20"/>
          <w:color w:val="auto"/>
        </w:rPr>
      </w:pPr>
      <w:r>
        <w:rPr>
          <w:rFonts w:ascii="SimSun" w:cs="SimSun" w:eastAsia="SimSun" w:hAnsi="SimSun"/>
          <w:sz w:val="18"/>
          <w:szCs w:val="18"/>
          <w:color w:val="auto"/>
        </w:rPr>
        <w:t>本公司要求员工参加公司举办的必修类和合适的发展类培训项目。如果在员工在接受公司为其提供的培训完成两年（</w:t>
      </w:r>
      <w:r>
        <w:rPr>
          <w:rFonts w:ascii="Arial" w:cs="Arial" w:eastAsia="Arial" w:hAnsi="Arial"/>
          <w:sz w:val="18"/>
          <w:szCs w:val="18"/>
          <w:color w:val="auto"/>
        </w:rPr>
        <w:t>2</w:t>
      </w:r>
      <w:r>
        <w:rPr>
          <w:rFonts w:ascii="SimSun" w:cs="SimSun" w:eastAsia="SimSun" w:hAnsi="SimSun"/>
          <w:sz w:val="18"/>
          <w:szCs w:val="18"/>
          <w:color w:val="auto"/>
        </w:rPr>
        <w:t>年）内由于本协议相关的原因从本公司辞职</w:t>
      </w:r>
      <w:r>
        <w:rPr>
          <w:rFonts w:ascii="Arial" w:cs="Arial" w:eastAsia="Arial" w:hAnsi="Arial"/>
          <w:sz w:val="18"/>
          <w:szCs w:val="18"/>
          <w:color w:val="auto"/>
        </w:rPr>
        <w:t xml:space="preserve"> , </w:t>
      </w:r>
      <w:r>
        <w:rPr>
          <w:rFonts w:ascii="SimSun" w:cs="SimSun" w:eastAsia="SimSun" w:hAnsi="SimSun"/>
          <w:sz w:val="18"/>
          <w:szCs w:val="18"/>
          <w:color w:val="auto"/>
        </w:rPr>
        <w:t>则必须按比例向本公司归还公司所支付的培训费用</w:t>
      </w:r>
      <w:r>
        <w:rPr>
          <w:rFonts w:ascii="Arial" w:cs="Arial" w:eastAsia="Arial" w:hAnsi="Arial"/>
          <w:sz w:val="18"/>
          <w:szCs w:val="18"/>
          <w:color w:val="auto"/>
        </w:rPr>
        <w:t xml:space="preserve"> , </w:t>
      </w:r>
      <w:r>
        <w:rPr>
          <w:rFonts w:ascii="SimSun" w:cs="SimSun" w:eastAsia="SimSun" w:hAnsi="SimSun"/>
          <w:sz w:val="18"/>
          <w:szCs w:val="18"/>
          <w:color w:val="auto"/>
        </w:rPr>
        <w:t>作为对本公司的赔偿金。</w:t>
      </w:r>
    </w:p>
    <w:p>
      <w:pPr>
        <w:spacing w:after="0" w:line="216" w:lineRule="exact"/>
        <w:rPr>
          <w:sz w:val="20"/>
          <w:szCs w:val="20"/>
          <w:color w:val="auto"/>
        </w:rPr>
      </w:pPr>
    </w:p>
    <w:p>
      <w:pPr>
        <w:ind w:left="550" w:hanging="550"/>
        <w:spacing w:after="0" w:line="182" w:lineRule="exact"/>
        <w:tabs>
          <w:tab w:leader="none" w:pos="55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END AND TERMINATION OF THIS AGREEMENT </w:t>
      </w:r>
      <w:r>
        <w:rPr>
          <w:rFonts w:ascii="SimSun" w:cs="SimSun" w:eastAsia="SimSun" w:hAnsi="SimSun"/>
          <w:sz w:val="15"/>
          <w:szCs w:val="15"/>
          <w:color w:val="auto"/>
        </w:rPr>
        <w:t>协议的终止与解除</w:t>
      </w:r>
    </w:p>
    <w:p>
      <w:pPr>
        <w:spacing w:after="0" w:line="217" w:lineRule="exact"/>
        <w:rPr>
          <w:sz w:val="20"/>
          <w:szCs w:val="20"/>
          <w:color w:val="auto"/>
        </w:rPr>
      </w:pPr>
    </w:p>
    <w:p>
      <w:pPr>
        <w:ind w:left="550"/>
        <w:spacing w:after="0" w:line="207" w:lineRule="exact"/>
        <w:tabs>
          <w:tab w:leader="none" w:pos="4049" w:val="left"/>
        </w:tabs>
        <w:rPr>
          <w:sz w:val="20"/>
          <w:szCs w:val="20"/>
          <w:color w:val="auto"/>
        </w:rPr>
      </w:pPr>
      <w:r>
        <w:rPr>
          <w:rFonts w:ascii="Arial" w:cs="Arial" w:eastAsia="Arial" w:hAnsi="Arial"/>
          <w:sz w:val="18"/>
          <w:szCs w:val="18"/>
          <w:b w:val="1"/>
          <w:bCs w:val="1"/>
          <w:color w:val="auto"/>
        </w:rPr>
        <w:t>End and Termination of this Agreement</w:t>
      </w:r>
      <w:r>
        <w:rPr>
          <w:sz w:val="20"/>
          <w:szCs w:val="20"/>
          <w:color w:val="auto"/>
        </w:rPr>
        <w:tab/>
      </w:r>
      <w:r>
        <w:rPr>
          <w:rFonts w:ascii="SimSun" w:cs="SimSun" w:eastAsia="SimSun" w:hAnsi="SimSun"/>
          <w:sz w:val="18"/>
          <w:szCs w:val="18"/>
          <w:color w:val="auto"/>
        </w:rPr>
        <w:t>协议的终止与解除</w:t>
      </w:r>
    </w:p>
    <w:p>
      <w:pPr>
        <w:spacing w:after="0" w:line="28" w:lineRule="exact"/>
        <w:rPr>
          <w:sz w:val="20"/>
          <w:szCs w:val="20"/>
          <w:color w:val="auto"/>
        </w:rPr>
      </w:pPr>
    </w:p>
    <w:p>
      <w:pPr>
        <w:jc w:val="both"/>
        <w:ind w:left="10"/>
        <w:spacing w:after="0" w:line="255" w:lineRule="auto"/>
        <w:rPr>
          <w:sz w:val="20"/>
          <w:szCs w:val="20"/>
          <w:color w:val="auto"/>
        </w:rPr>
      </w:pPr>
      <w:r>
        <w:rPr>
          <w:rFonts w:ascii="Arial" w:cs="Arial" w:eastAsia="Arial" w:hAnsi="Arial"/>
          <w:sz w:val="17"/>
          <w:szCs w:val="17"/>
          <w:color w:val="auto"/>
        </w:rPr>
        <w:t xml:space="preserve">For the conditions related to end or termination of this Agreement, the Company will act in accordance with the relevant regulations of </w:t>
      </w:r>
      <w:r>
        <w:rPr>
          <w:rFonts w:ascii="Arial" w:cs="Arial" w:eastAsia="Arial" w:hAnsi="Arial"/>
          <w:sz w:val="17"/>
          <w:szCs w:val="17"/>
          <w:i w:val="1"/>
          <w:iCs w:val="1"/>
          <w:color w:val="auto"/>
        </w:rPr>
        <w:t>Labor Law of</w:t>
      </w:r>
      <w:r>
        <w:rPr>
          <w:rFonts w:ascii="Arial" w:cs="Arial" w:eastAsia="Arial" w:hAnsi="Arial"/>
          <w:sz w:val="17"/>
          <w:szCs w:val="17"/>
          <w:color w:val="auto"/>
        </w:rPr>
        <w:t xml:space="preserve"> </w:t>
      </w:r>
      <w:r>
        <w:rPr>
          <w:rFonts w:ascii="Arial" w:cs="Arial" w:eastAsia="Arial" w:hAnsi="Arial"/>
          <w:sz w:val="17"/>
          <w:szCs w:val="17"/>
          <w:i w:val="1"/>
          <w:iCs w:val="1"/>
          <w:color w:val="auto"/>
        </w:rPr>
        <w:t>People’s Republic of China, Labor Contract Law of People's Republic of China</w:t>
      </w:r>
      <w:r>
        <w:rPr>
          <w:rFonts w:ascii="Arial" w:cs="Arial" w:eastAsia="Arial" w:hAnsi="Arial"/>
          <w:sz w:val="17"/>
          <w:szCs w:val="17"/>
          <w:color w:val="auto"/>
        </w:rPr>
        <w:t>, and the regulations as stipulated in the Employee Handbook.</w:t>
      </w:r>
    </w:p>
    <w:p>
      <w:pPr>
        <w:spacing w:after="0" w:line="1"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对于本合同的终止和解除的情况</w:t>
      </w:r>
      <w:r>
        <w:rPr>
          <w:rFonts w:ascii="Arial" w:cs="Arial" w:eastAsia="Arial" w:hAnsi="Arial"/>
          <w:sz w:val="18"/>
          <w:szCs w:val="18"/>
          <w:color w:val="auto"/>
        </w:rPr>
        <w:t xml:space="preserve"> , </w:t>
      </w:r>
      <w:r>
        <w:rPr>
          <w:rFonts w:ascii="SimSun" w:cs="SimSun" w:eastAsia="SimSun" w:hAnsi="SimSun"/>
          <w:sz w:val="18"/>
          <w:szCs w:val="18"/>
          <w:color w:val="auto"/>
        </w:rPr>
        <w:t>公司将根据《劳动法》、 《劳动合同法》和《员工手册》的相关规定处理。</w:t>
      </w:r>
    </w:p>
    <w:p>
      <w:pPr>
        <w:spacing w:after="0" w:line="216" w:lineRule="exact"/>
        <w:rPr>
          <w:sz w:val="20"/>
          <w:szCs w:val="20"/>
          <w:color w:val="auto"/>
        </w:rPr>
      </w:pPr>
    </w:p>
    <w:p>
      <w:pPr>
        <w:ind w:left="550"/>
        <w:spacing w:after="0" w:line="219" w:lineRule="exact"/>
        <w:tabs>
          <w:tab w:leader="none" w:pos="1749" w:val="left"/>
        </w:tabs>
        <w:rPr>
          <w:sz w:val="20"/>
          <w:szCs w:val="20"/>
          <w:color w:val="auto"/>
        </w:rPr>
      </w:pPr>
      <w:r>
        <w:rPr>
          <w:rFonts w:ascii="Arial" w:cs="Arial" w:eastAsia="Arial" w:hAnsi="Arial"/>
          <w:sz w:val="18"/>
          <w:szCs w:val="18"/>
          <w:b w:val="1"/>
          <w:bCs w:val="1"/>
          <w:color w:val="auto"/>
        </w:rPr>
        <w:t>Handover</w:t>
      </w:r>
      <w:r>
        <w:rPr>
          <w:sz w:val="20"/>
          <w:szCs w:val="20"/>
          <w:color w:val="auto"/>
        </w:rPr>
        <w:tab/>
      </w:r>
      <w:r>
        <w:rPr>
          <w:rFonts w:ascii="SimSun" w:cs="SimSun" w:eastAsia="SimSun" w:hAnsi="SimSun"/>
          <w:sz w:val="18"/>
          <w:szCs w:val="18"/>
          <w:color w:val="auto"/>
        </w:rPr>
        <w:t>移交手续</w:t>
      </w:r>
    </w:p>
    <w:p>
      <w:pPr>
        <w:spacing w:after="0" w:line="17" w:lineRule="exact"/>
        <w:rPr>
          <w:sz w:val="20"/>
          <w:szCs w:val="20"/>
          <w:color w:val="auto"/>
        </w:rPr>
      </w:pPr>
    </w:p>
    <w:p>
      <w:pPr>
        <w:jc w:val="both"/>
        <w:ind w:left="10" w:right="20"/>
        <w:spacing w:after="0" w:line="247" w:lineRule="auto"/>
        <w:rPr>
          <w:sz w:val="20"/>
          <w:szCs w:val="20"/>
          <w:color w:val="auto"/>
        </w:rPr>
      </w:pPr>
      <w:r>
        <w:rPr>
          <w:rFonts w:ascii="Arial" w:cs="Arial" w:eastAsia="Arial" w:hAnsi="Arial"/>
          <w:sz w:val="18"/>
          <w:szCs w:val="18"/>
          <w:color w:val="auto"/>
        </w:rPr>
        <w:t>No matter for which reason this Agreement ends or terminates, the Employee must fully cooperate with the handover personnel designated by the Company to ensure that his/her duties are successfully transferred to the handover personnel. The Company has the discretion to adopt different handover procedures for different employees.</w:t>
      </w:r>
    </w:p>
    <w:p>
      <w:pPr>
        <w:spacing w:after="0" w:line="182" w:lineRule="exact"/>
        <w:rPr>
          <w:sz w:val="20"/>
          <w:szCs w:val="20"/>
          <w:color w:val="auto"/>
        </w:rPr>
      </w:pPr>
    </w:p>
    <w:p>
      <w:pPr>
        <w:jc w:val="both"/>
        <w:ind w:left="10"/>
        <w:spacing w:after="0" w:line="233" w:lineRule="exact"/>
        <w:rPr>
          <w:sz w:val="20"/>
          <w:szCs w:val="20"/>
          <w:color w:val="auto"/>
        </w:rPr>
      </w:pPr>
      <w:r>
        <w:rPr>
          <w:rFonts w:ascii="SimSun" w:cs="SimSun" w:eastAsia="SimSun" w:hAnsi="SimSun"/>
          <w:sz w:val="18"/>
          <w:szCs w:val="18"/>
          <w:color w:val="auto"/>
        </w:rPr>
        <w:t>员工无论何种原因与公司解除或终止劳动合同时均应与公司指定的交接人员合作</w:t>
      </w:r>
      <w:r>
        <w:rPr>
          <w:rFonts w:ascii="Arial" w:cs="Arial" w:eastAsia="Arial" w:hAnsi="Arial"/>
          <w:sz w:val="18"/>
          <w:szCs w:val="18"/>
          <w:color w:val="auto"/>
        </w:rPr>
        <w:t xml:space="preserve"> , </w:t>
      </w:r>
      <w:r>
        <w:rPr>
          <w:rFonts w:ascii="SimSun" w:cs="SimSun" w:eastAsia="SimSun" w:hAnsi="SimSun"/>
          <w:sz w:val="18"/>
          <w:szCs w:val="18"/>
          <w:color w:val="auto"/>
        </w:rPr>
        <w:t>做好所担任工作的业务交接工作。公司有权根据不同职位的员工的情况决定采用不同的适当的工作交接手续。</w:t>
      </w:r>
    </w:p>
    <w:p>
      <w:pPr>
        <w:spacing w:after="0" w:line="202" w:lineRule="exact"/>
        <w:rPr>
          <w:sz w:val="20"/>
          <w:szCs w:val="20"/>
          <w:color w:val="auto"/>
        </w:rPr>
      </w:pPr>
    </w:p>
    <w:p>
      <w:pPr>
        <w:ind w:left="10"/>
        <w:spacing w:after="0"/>
        <w:rPr>
          <w:sz w:val="20"/>
          <w:szCs w:val="20"/>
          <w:color w:val="auto"/>
        </w:rPr>
      </w:pPr>
      <w:r>
        <w:rPr>
          <w:rFonts w:ascii="Arial" w:cs="Arial" w:eastAsia="Arial" w:hAnsi="Arial"/>
          <w:sz w:val="18"/>
          <w:szCs w:val="18"/>
          <w:color w:val="auto"/>
        </w:rPr>
        <w:t>Before the Employee leaves the Company, the following matters must be delivered:</w:t>
      </w:r>
    </w:p>
    <w:p>
      <w:pPr>
        <w:spacing w:after="0" w:line="9" w:lineRule="exact"/>
        <w:rPr>
          <w:sz w:val="20"/>
          <w:szCs w:val="20"/>
          <w:color w:val="auto"/>
        </w:rPr>
      </w:pPr>
    </w:p>
    <w:p>
      <w:pPr>
        <w:ind w:left="250" w:hanging="250"/>
        <w:spacing w:after="0"/>
        <w:tabs>
          <w:tab w:leader="none" w:pos="25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Company assets held by the Employee (including equipment and facilities assigned by the Company to the Employee);</w:t>
      </w:r>
    </w:p>
    <w:p>
      <w:pPr>
        <w:ind w:left="670" w:hanging="670"/>
        <w:spacing w:after="0" w:line="236" w:lineRule="auto"/>
        <w:tabs>
          <w:tab w:leader="none" w:pos="6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Personal loans borrowed from the Company;</w:t>
      </w:r>
    </w:p>
    <w:p>
      <w:pPr>
        <w:ind w:left="670" w:hanging="670"/>
        <w:spacing w:after="0" w:line="236" w:lineRule="auto"/>
        <w:tabs>
          <w:tab w:leader="none" w:pos="6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Outstanding company affairs undertaken by the employee;</w:t>
      </w:r>
    </w:p>
    <w:p>
      <w:pPr>
        <w:ind w:left="670" w:hanging="670"/>
        <w:spacing w:after="0" w:line="236" w:lineRule="auto"/>
        <w:tabs>
          <w:tab w:leader="none" w:pos="6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Details relating to the company affairs undertaken by the employee;</w:t>
      </w:r>
    </w:p>
    <w:p>
      <w:pPr>
        <w:ind w:left="670" w:hanging="670"/>
        <w:spacing w:after="0" w:line="234" w:lineRule="auto"/>
        <w:tabs>
          <w:tab w:leader="none" w:pos="6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Various kinds of documents, disks and E-mails relating to the company affairs (including documents, books, technical data, etc.).</w:t>
      </w:r>
    </w:p>
    <w:p>
      <w:pPr>
        <w:ind w:left="10"/>
        <w:spacing w:after="0" w:line="206" w:lineRule="exact"/>
        <w:rPr>
          <w:rFonts w:ascii="Arial" w:cs="Arial" w:eastAsia="Arial" w:hAnsi="Arial"/>
          <w:sz w:val="18"/>
          <w:szCs w:val="18"/>
          <w:color w:val="auto"/>
        </w:rPr>
      </w:pPr>
      <w:r>
        <w:rPr>
          <w:rFonts w:ascii="SimSun" w:cs="SimSun" w:eastAsia="SimSun" w:hAnsi="SimSun"/>
          <w:sz w:val="18"/>
          <w:szCs w:val="18"/>
          <w:color w:val="auto"/>
        </w:rPr>
        <w:t>员工在离职前应就下列事项分别造册办理移交：</w:t>
      </w:r>
    </w:p>
    <w:p>
      <w:pPr>
        <w:spacing w:after="0" w:line="372" w:lineRule="exact"/>
        <w:rPr>
          <w:sz w:val="20"/>
          <w:szCs w:val="20"/>
          <w:color w:val="auto"/>
        </w:rPr>
      </w:pPr>
    </w:p>
    <w:p>
      <w:pPr>
        <w:ind w:left="10"/>
        <w:spacing w:after="0"/>
        <w:rPr>
          <w:sz w:val="20"/>
          <w:szCs w:val="20"/>
          <w:color w:val="auto"/>
        </w:rPr>
      </w:pPr>
      <w:r>
        <w:rPr>
          <w:rFonts w:ascii="Arial" w:cs="Arial" w:eastAsia="Arial" w:hAnsi="Arial"/>
          <w:sz w:val="12"/>
          <w:szCs w:val="12"/>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5">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628" w:right="319" w:bottom="1440" w:gutter="0" w:footer="0" w:header="0"/>
        </w:sectPr>
      </w:pPr>
    </w:p>
    <w:bookmarkStart w:id="149" w:name="page150"/>
    <w:bookmarkEnd w:id="149"/>
    <w:p>
      <w:pPr>
        <w:ind w:left="395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27" w:lineRule="exact"/>
        <w:rPr>
          <w:sz w:val="20"/>
          <w:szCs w:val="20"/>
          <w:color w:val="auto"/>
        </w:rPr>
      </w:pPr>
    </w:p>
    <w:p>
      <w:pPr>
        <w:ind w:left="10"/>
        <w:spacing w:after="0" w:line="219" w:lineRule="exact"/>
        <w:rPr>
          <w:sz w:val="20"/>
          <w:szCs w:val="20"/>
          <w:color w:val="auto"/>
        </w:rPr>
      </w:pPr>
      <w:r>
        <w:rPr>
          <w:rFonts w:ascii="Arial" w:cs="Arial" w:eastAsia="Arial" w:hAnsi="Arial"/>
          <w:sz w:val="18"/>
          <w:szCs w:val="18"/>
          <w:color w:val="auto"/>
        </w:rPr>
        <w:t>(1)</w:t>
      </w:r>
      <w:r>
        <w:rPr>
          <w:rFonts w:ascii="SimSun" w:cs="SimSun" w:eastAsia="SimSun" w:hAnsi="SimSun"/>
          <w:sz w:val="18"/>
          <w:szCs w:val="18"/>
          <w:color w:val="auto"/>
        </w:rPr>
        <w:t>、所经营的公司财物（含公司发给个人的设备和工具等）</w:t>
      </w:r>
      <w:r>
        <w:rPr>
          <w:rFonts w:ascii="Arial" w:cs="Arial" w:eastAsia="Arial" w:hAnsi="Arial"/>
          <w:sz w:val="18"/>
          <w:szCs w:val="18"/>
          <w:color w:val="auto"/>
        </w:rPr>
        <w:t>;</w:t>
      </w:r>
    </w:p>
    <w:p>
      <w:pPr>
        <w:spacing w:after="0" w:line="223" w:lineRule="exact"/>
        <w:rPr>
          <w:sz w:val="20"/>
          <w:szCs w:val="20"/>
          <w:color w:val="auto"/>
        </w:rPr>
      </w:pPr>
    </w:p>
    <w:p>
      <w:pPr>
        <w:ind w:left="10"/>
        <w:spacing w:after="0" w:line="219" w:lineRule="exact"/>
        <w:rPr>
          <w:sz w:val="20"/>
          <w:szCs w:val="20"/>
          <w:color w:val="auto"/>
        </w:rPr>
      </w:pPr>
      <w:r>
        <w:rPr>
          <w:rFonts w:ascii="Arial" w:cs="Arial" w:eastAsia="Arial" w:hAnsi="Arial"/>
          <w:sz w:val="18"/>
          <w:szCs w:val="18"/>
          <w:color w:val="auto"/>
        </w:rPr>
        <w:t>(2)</w:t>
      </w:r>
      <w:r>
        <w:rPr>
          <w:rFonts w:ascii="SimSun" w:cs="SimSun" w:eastAsia="SimSun" w:hAnsi="SimSun"/>
          <w:sz w:val="18"/>
          <w:szCs w:val="18"/>
          <w:color w:val="auto"/>
        </w:rPr>
        <w:t>、向公司借取的个人预支款；</w:t>
      </w:r>
    </w:p>
    <w:p>
      <w:pPr>
        <w:spacing w:after="0" w:line="223" w:lineRule="exact"/>
        <w:rPr>
          <w:sz w:val="20"/>
          <w:szCs w:val="20"/>
          <w:color w:val="auto"/>
        </w:rPr>
      </w:pPr>
    </w:p>
    <w:p>
      <w:pPr>
        <w:ind w:left="10"/>
        <w:spacing w:after="0" w:line="219" w:lineRule="exact"/>
        <w:rPr>
          <w:sz w:val="20"/>
          <w:szCs w:val="20"/>
          <w:color w:val="auto"/>
        </w:rPr>
      </w:pPr>
      <w:r>
        <w:rPr>
          <w:rFonts w:ascii="Arial" w:cs="Arial" w:eastAsia="Arial" w:hAnsi="Arial"/>
          <w:sz w:val="18"/>
          <w:szCs w:val="18"/>
          <w:color w:val="auto"/>
        </w:rPr>
        <w:t>(3)</w:t>
      </w:r>
      <w:r>
        <w:rPr>
          <w:rFonts w:ascii="SimSun" w:cs="SimSun" w:eastAsia="SimSun" w:hAnsi="SimSun"/>
          <w:sz w:val="18"/>
          <w:szCs w:val="18"/>
          <w:color w:val="auto"/>
        </w:rPr>
        <w:t>、应办未办及己办未了的事项；</w:t>
      </w:r>
    </w:p>
    <w:p>
      <w:pPr>
        <w:spacing w:after="0" w:line="223" w:lineRule="exact"/>
        <w:rPr>
          <w:sz w:val="20"/>
          <w:szCs w:val="20"/>
          <w:color w:val="auto"/>
        </w:rPr>
      </w:pPr>
    </w:p>
    <w:p>
      <w:pPr>
        <w:ind w:left="10"/>
        <w:spacing w:after="0" w:line="219" w:lineRule="exact"/>
        <w:rPr>
          <w:sz w:val="20"/>
          <w:szCs w:val="20"/>
          <w:color w:val="auto"/>
        </w:rPr>
      </w:pPr>
      <w:r>
        <w:rPr>
          <w:rFonts w:ascii="Arial" w:cs="Arial" w:eastAsia="Arial" w:hAnsi="Arial"/>
          <w:sz w:val="18"/>
          <w:szCs w:val="18"/>
          <w:color w:val="auto"/>
        </w:rPr>
        <w:t>(4)</w:t>
      </w:r>
      <w:r>
        <w:rPr>
          <w:rFonts w:ascii="SimSun" w:cs="SimSun" w:eastAsia="SimSun" w:hAnsi="SimSun"/>
          <w:sz w:val="18"/>
          <w:szCs w:val="18"/>
          <w:color w:val="auto"/>
        </w:rPr>
        <w:t>、所经办业务项目之办事细则；</w:t>
      </w:r>
    </w:p>
    <w:p>
      <w:pPr>
        <w:spacing w:after="0" w:line="223" w:lineRule="exact"/>
        <w:rPr>
          <w:sz w:val="20"/>
          <w:szCs w:val="20"/>
          <w:color w:val="auto"/>
        </w:rPr>
      </w:pPr>
    </w:p>
    <w:p>
      <w:pPr>
        <w:ind w:left="10"/>
        <w:spacing w:after="0" w:line="219" w:lineRule="exact"/>
        <w:rPr>
          <w:sz w:val="20"/>
          <w:szCs w:val="20"/>
          <w:color w:val="auto"/>
        </w:rPr>
      </w:pPr>
      <w:r>
        <w:rPr>
          <w:rFonts w:ascii="Arial" w:cs="Arial" w:eastAsia="Arial" w:hAnsi="Arial"/>
          <w:sz w:val="18"/>
          <w:szCs w:val="18"/>
          <w:color w:val="auto"/>
        </w:rPr>
        <w:t>(5)</w:t>
      </w:r>
      <w:r>
        <w:rPr>
          <w:rFonts w:ascii="SimSun" w:cs="SimSun" w:eastAsia="SimSun" w:hAnsi="SimSun"/>
          <w:sz w:val="18"/>
          <w:szCs w:val="18"/>
          <w:color w:val="auto"/>
        </w:rPr>
        <w:t>、所经办业务之各项资料（包括公文、图书、技术资料等）。</w:t>
      </w:r>
    </w:p>
    <w:p>
      <w:pPr>
        <w:spacing w:after="0" w:line="212" w:lineRule="exact"/>
        <w:rPr>
          <w:sz w:val="20"/>
          <w:szCs w:val="20"/>
          <w:color w:val="auto"/>
        </w:rPr>
      </w:pPr>
    </w:p>
    <w:p>
      <w:pPr>
        <w:jc w:val="both"/>
        <w:ind w:left="10"/>
        <w:spacing w:after="0" w:line="293" w:lineRule="auto"/>
        <w:rPr>
          <w:sz w:val="20"/>
          <w:szCs w:val="20"/>
          <w:color w:val="auto"/>
        </w:rPr>
      </w:pPr>
      <w:r>
        <w:rPr>
          <w:rFonts w:ascii="Arial" w:cs="Arial" w:eastAsia="Arial" w:hAnsi="Arial"/>
          <w:sz w:val="17"/>
          <w:szCs w:val="17"/>
          <w:color w:val="auto"/>
        </w:rPr>
        <w:t>After completion of the handover, the Employee shall not keep any copy of the work related materials or electronical copies; the Employee shall not use the work related materials to support any opponent in lawsuit, arbitration or dispute which may have adverse effect to the Company.</w:t>
      </w:r>
    </w:p>
    <w:p>
      <w:pPr>
        <w:spacing w:after="0" w:line="145" w:lineRule="exact"/>
        <w:rPr>
          <w:sz w:val="20"/>
          <w:szCs w:val="20"/>
          <w:color w:val="auto"/>
        </w:rPr>
      </w:pPr>
    </w:p>
    <w:p>
      <w:pPr>
        <w:jc w:val="both"/>
        <w:ind w:left="10"/>
        <w:spacing w:after="0" w:line="233" w:lineRule="exact"/>
        <w:rPr>
          <w:sz w:val="20"/>
          <w:szCs w:val="20"/>
          <w:color w:val="auto"/>
        </w:rPr>
      </w:pPr>
      <w:r>
        <w:rPr>
          <w:rFonts w:ascii="SimSun" w:cs="SimSun" w:eastAsia="SimSun" w:hAnsi="SimSun"/>
          <w:sz w:val="18"/>
          <w:szCs w:val="18"/>
          <w:color w:val="auto"/>
        </w:rPr>
        <w:t>交接完毕后</w:t>
      </w:r>
      <w:r>
        <w:rPr>
          <w:rFonts w:ascii="Arial" w:cs="Arial" w:eastAsia="Arial" w:hAnsi="Arial"/>
          <w:sz w:val="18"/>
          <w:szCs w:val="18"/>
          <w:color w:val="auto"/>
        </w:rPr>
        <w:t xml:space="preserve"> , </w:t>
      </w:r>
      <w:r>
        <w:rPr>
          <w:rFonts w:ascii="SimSun" w:cs="SimSun" w:eastAsia="SimSun" w:hAnsi="SimSun"/>
          <w:sz w:val="18"/>
          <w:szCs w:val="18"/>
          <w:color w:val="auto"/>
        </w:rPr>
        <w:t>员工不得保留任何跟公司业务资料有关的复印件或电子版拷贝</w:t>
      </w:r>
      <w:r>
        <w:rPr>
          <w:rFonts w:ascii="Arial" w:cs="Arial" w:eastAsia="Arial" w:hAnsi="Arial"/>
          <w:sz w:val="18"/>
          <w:szCs w:val="18"/>
          <w:color w:val="auto"/>
        </w:rPr>
        <w:t xml:space="preserve"> , </w:t>
      </w:r>
      <w:r>
        <w:rPr>
          <w:rFonts w:ascii="SimSun" w:cs="SimSun" w:eastAsia="SimSun" w:hAnsi="SimSun"/>
          <w:sz w:val="18"/>
          <w:szCs w:val="18"/>
          <w:color w:val="auto"/>
        </w:rPr>
        <w:t>不得将保留的业务资料用于支持任何可能对公司造成不利影响的诉讼、仲裁或争议的相对方。</w:t>
      </w:r>
    </w:p>
    <w:p>
      <w:pPr>
        <w:spacing w:after="0" w:line="202" w:lineRule="exact"/>
        <w:rPr>
          <w:sz w:val="20"/>
          <w:szCs w:val="20"/>
          <w:color w:val="auto"/>
        </w:rPr>
      </w:pPr>
    </w:p>
    <w:p>
      <w:pPr>
        <w:jc w:val="both"/>
        <w:ind w:left="10"/>
        <w:spacing w:after="0" w:line="250" w:lineRule="auto"/>
        <w:rPr>
          <w:sz w:val="20"/>
          <w:szCs w:val="20"/>
          <w:color w:val="auto"/>
        </w:rPr>
      </w:pPr>
      <w:r>
        <w:rPr>
          <w:rFonts w:ascii="Arial" w:cs="Arial" w:eastAsia="Arial" w:hAnsi="Arial"/>
          <w:sz w:val="18"/>
          <w:szCs w:val="18"/>
          <w:color w:val="auto"/>
        </w:rPr>
        <w:t>The Employee must complete the handover in person. If the handover cannot be conducted by the Employee, a third party can be designated to complete the delivery upon approval by the Company. However, the Employee will still be responsible for the delivery. If the delivery fails to be delivered in time or completely, the Employee will be responsible for the losses or damages incurred to the Company.</w:t>
      </w:r>
    </w:p>
    <w:p>
      <w:pPr>
        <w:spacing w:after="0" w:line="179" w:lineRule="exact"/>
        <w:rPr>
          <w:sz w:val="20"/>
          <w:szCs w:val="20"/>
          <w:color w:val="auto"/>
        </w:rPr>
      </w:pPr>
    </w:p>
    <w:p>
      <w:pPr>
        <w:jc w:val="both"/>
        <w:ind w:left="10"/>
        <w:spacing w:after="0" w:line="234" w:lineRule="exact"/>
        <w:rPr>
          <w:sz w:val="20"/>
          <w:szCs w:val="20"/>
          <w:color w:val="auto"/>
        </w:rPr>
      </w:pPr>
      <w:r>
        <w:rPr>
          <w:rFonts w:ascii="SimSun" w:cs="SimSun" w:eastAsia="SimSun" w:hAnsi="SimSun"/>
          <w:sz w:val="18"/>
          <w:szCs w:val="18"/>
          <w:color w:val="auto"/>
        </w:rPr>
        <w:t>移交应亲自办理</w:t>
      </w:r>
      <w:r>
        <w:rPr>
          <w:rFonts w:ascii="Arial" w:cs="Arial" w:eastAsia="Arial" w:hAnsi="Arial"/>
          <w:sz w:val="18"/>
          <w:szCs w:val="18"/>
          <w:color w:val="auto"/>
        </w:rPr>
        <w:t xml:space="preserve"> , </w:t>
      </w:r>
      <w:r>
        <w:rPr>
          <w:rFonts w:ascii="SimSun" w:cs="SimSun" w:eastAsia="SimSun" w:hAnsi="SimSun"/>
          <w:sz w:val="18"/>
          <w:szCs w:val="18"/>
          <w:color w:val="auto"/>
        </w:rPr>
        <w:t>如有特别原因</w:t>
      </w:r>
      <w:r>
        <w:rPr>
          <w:rFonts w:ascii="Arial" w:cs="Arial" w:eastAsia="Arial" w:hAnsi="Arial"/>
          <w:sz w:val="18"/>
          <w:szCs w:val="18"/>
          <w:color w:val="auto"/>
        </w:rPr>
        <w:t xml:space="preserve"> , </w:t>
      </w:r>
      <w:r>
        <w:rPr>
          <w:rFonts w:ascii="SimSun" w:cs="SimSun" w:eastAsia="SimSun" w:hAnsi="SimSun"/>
          <w:sz w:val="18"/>
          <w:szCs w:val="18"/>
          <w:color w:val="auto"/>
        </w:rPr>
        <w:t>经核准可指定他人代为办理移交</w:t>
      </w:r>
      <w:r>
        <w:rPr>
          <w:rFonts w:ascii="Arial" w:cs="Arial" w:eastAsia="Arial" w:hAnsi="Arial"/>
          <w:sz w:val="18"/>
          <w:szCs w:val="18"/>
          <w:color w:val="auto"/>
        </w:rPr>
        <w:t xml:space="preserve"> , </w:t>
      </w:r>
      <w:r>
        <w:rPr>
          <w:rFonts w:ascii="SimSun" w:cs="SimSun" w:eastAsia="SimSun" w:hAnsi="SimSun"/>
          <w:sz w:val="18"/>
          <w:szCs w:val="18"/>
          <w:color w:val="auto"/>
        </w:rPr>
        <w:t>所有一切责任仍由原移交人负责。逾期不移交或移交不清导致公司财物缺少、损坏</w:t>
      </w:r>
      <w:r>
        <w:rPr>
          <w:rFonts w:ascii="Arial" w:cs="Arial" w:eastAsia="Arial" w:hAnsi="Arial"/>
          <w:sz w:val="18"/>
          <w:szCs w:val="18"/>
          <w:color w:val="auto"/>
        </w:rPr>
        <w:t xml:space="preserve"> , </w:t>
      </w:r>
      <w:r>
        <w:rPr>
          <w:rFonts w:ascii="SimSun" w:cs="SimSun" w:eastAsia="SimSun" w:hAnsi="SimSun"/>
          <w:sz w:val="18"/>
          <w:szCs w:val="18"/>
          <w:color w:val="auto"/>
        </w:rPr>
        <w:t>以及使公司蒙受其他损失者应负赔偿责任。</w:t>
      </w:r>
    </w:p>
    <w:p>
      <w:pPr>
        <w:spacing w:after="0" w:line="216" w:lineRule="exact"/>
        <w:rPr>
          <w:sz w:val="20"/>
          <w:szCs w:val="20"/>
          <w:color w:val="auto"/>
        </w:rPr>
      </w:pPr>
    </w:p>
    <w:p>
      <w:pPr>
        <w:ind w:left="550" w:hanging="550"/>
        <w:spacing w:after="0" w:line="182" w:lineRule="exact"/>
        <w:tabs>
          <w:tab w:leader="none" w:pos="550" w:val="left"/>
        </w:tabs>
        <w:numPr>
          <w:ilvl w:val="0"/>
          <w:numId w:val="99"/>
        </w:numPr>
        <w:rPr>
          <w:rFonts w:ascii="Arial" w:cs="Arial" w:eastAsia="Arial" w:hAnsi="Arial"/>
          <w:sz w:val="15"/>
          <w:szCs w:val="15"/>
          <w:b w:val="1"/>
          <w:bCs w:val="1"/>
          <w:color w:val="auto"/>
        </w:rPr>
      </w:pPr>
      <w:r>
        <w:rPr>
          <w:rFonts w:ascii="Arial" w:cs="Arial" w:eastAsia="Arial" w:hAnsi="Arial"/>
          <w:sz w:val="15"/>
          <w:szCs w:val="15"/>
          <w:b w:val="1"/>
          <w:bCs w:val="1"/>
          <w:color w:val="auto"/>
        </w:rPr>
        <w:t>STATEMENT OF DISPUTE</w:t>
      </w:r>
      <w:r>
        <w:rPr>
          <w:rFonts w:ascii="SimSun" w:cs="SimSun" w:eastAsia="SimSun" w:hAnsi="SimSun"/>
          <w:sz w:val="15"/>
          <w:szCs w:val="15"/>
          <w:color w:val="auto"/>
        </w:rPr>
        <w:t>争议的条件</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the event of a labor dispute, the Employee and the Company will negotiate based on fairness and equality.</w:t>
      </w:r>
    </w:p>
    <w:p>
      <w:pPr>
        <w:spacing w:after="0" w:line="212"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一旦劳动争议发生</w:t>
      </w:r>
      <w:r>
        <w:rPr>
          <w:rFonts w:ascii="Arial" w:cs="Arial" w:eastAsia="Arial" w:hAnsi="Arial"/>
          <w:sz w:val="18"/>
          <w:szCs w:val="18"/>
          <w:color w:val="auto"/>
        </w:rPr>
        <w:t xml:space="preserve"> , </w:t>
      </w:r>
      <w:r>
        <w:rPr>
          <w:rFonts w:ascii="SimSun" w:cs="SimSun" w:eastAsia="SimSun" w:hAnsi="SimSun"/>
          <w:sz w:val="18"/>
          <w:szCs w:val="18"/>
          <w:color w:val="auto"/>
        </w:rPr>
        <w:t>员工和公司将在公平和公正的基础上协商解决。</w:t>
      </w:r>
    </w:p>
    <w:p>
      <w:pPr>
        <w:spacing w:after="0" w:line="212" w:lineRule="exact"/>
        <w:rPr>
          <w:sz w:val="20"/>
          <w:szCs w:val="20"/>
          <w:color w:val="auto"/>
        </w:rPr>
      </w:pPr>
    </w:p>
    <w:p>
      <w:pPr>
        <w:ind w:left="10"/>
        <w:spacing w:after="0" w:line="244" w:lineRule="auto"/>
        <w:rPr>
          <w:sz w:val="20"/>
          <w:szCs w:val="20"/>
          <w:color w:val="auto"/>
        </w:rPr>
      </w:pPr>
      <w:r>
        <w:rPr>
          <w:rFonts w:ascii="Arial" w:cs="Arial" w:eastAsia="Arial" w:hAnsi="Arial"/>
          <w:sz w:val="18"/>
          <w:szCs w:val="18"/>
          <w:color w:val="auto"/>
        </w:rPr>
        <w:t>If the dispute is not settled within 30 days after the occurrence, the parties have the right to submit to the local labor dispute arbitration committee for arbitration.</w:t>
      </w:r>
    </w:p>
    <w:p>
      <w:pPr>
        <w:spacing w:after="0" w:line="1"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如果双方自劳动争议发生的</w:t>
      </w:r>
      <w:r>
        <w:rPr>
          <w:rFonts w:ascii="Arial" w:cs="Arial" w:eastAsia="Arial" w:hAnsi="Arial"/>
          <w:sz w:val="18"/>
          <w:szCs w:val="18"/>
          <w:color w:val="auto"/>
        </w:rPr>
        <w:t>30</w:t>
      </w:r>
      <w:r>
        <w:rPr>
          <w:rFonts w:ascii="SimSun" w:cs="SimSun" w:eastAsia="SimSun" w:hAnsi="SimSun"/>
          <w:sz w:val="18"/>
          <w:szCs w:val="18"/>
          <w:color w:val="auto"/>
        </w:rPr>
        <w:t>天内无法解决劳动争议</w:t>
      </w:r>
      <w:r>
        <w:rPr>
          <w:rFonts w:ascii="Arial" w:cs="Arial" w:eastAsia="Arial" w:hAnsi="Arial"/>
          <w:sz w:val="18"/>
          <w:szCs w:val="18"/>
          <w:color w:val="auto"/>
        </w:rPr>
        <w:t xml:space="preserve"> , </w:t>
      </w:r>
      <w:r>
        <w:rPr>
          <w:rFonts w:ascii="SimSun" w:cs="SimSun" w:eastAsia="SimSun" w:hAnsi="SimSun"/>
          <w:sz w:val="18"/>
          <w:szCs w:val="18"/>
          <w:color w:val="auto"/>
        </w:rPr>
        <w:t>双方有权向劳动关系所在地的劳动仲裁委员会提出仲裁。</w:t>
      </w:r>
    </w:p>
    <w:p>
      <w:pPr>
        <w:spacing w:after="0" w:line="359" w:lineRule="exact"/>
        <w:rPr>
          <w:sz w:val="20"/>
          <w:szCs w:val="20"/>
          <w:color w:val="auto"/>
        </w:rPr>
      </w:pPr>
    </w:p>
    <w:p>
      <w:pPr>
        <w:ind w:left="10"/>
        <w:spacing w:after="0"/>
        <w:rPr>
          <w:sz w:val="20"/>
          <w:szCs w:val="20"/>
          <w:color w:val="auto"/>
        </w:rPr>
      </w:pPr>
      <w:r>
        <w:rPr>
          <w:rFonts w:ascii="Arial" w:cs="Arial" w:eastAsia="Arial" w:hAnsi="Arial"/>
          <w:sz w:val="12"/>
          <w:szCs w:val="12"/>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628" w:right="319" w:bottom="1440" w:gutter="0" w:footer="0" w:header="0"/>
        </w:sectPr>
      </w:pPr>
    </w:p>
    <w:bookmarkStart w:id="150" w:name="page151"/>
    <w:bookmarkEnd w:id="150"/>
    <w:p>
      <w:pPr>
        <w:ind w:left="395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15" w:lineRule="exact"/>
        <w:rPr>
          <w:sz w:val="20"/>
          <w:szCs w:val="20"/>
          <w:color w:val="auto"/>
        </w:rPr>
      </w:pPr>
    </w:p>
    <w:p>
      <w:pPr>
        <w:ind w:left="10"/>
        <w:spacing w:after="0"/>
        <w:rPr>
          <w:sz w:val="20"/>
          <w:szCs w:val="20"/>
          <w:color w:val="auto"/>
        </w:rPr>
      </w:pPr>
      <w:r>
        <w:rPr>
          <w:rFonts w:ascii="Arial" w:cs="Arial" w:eastAsia="Arial" w:hAnsi="Arial"/>
          <w:sz w:val="18"/>
          <w:szCs w:val="18"/>
          <w:color w:val="auto"/>
        </w:rPr>
        <w:t>If either party is not satisfied with the arbitration ruling, the case may be forwarded to the local People's Court.</w:t>
      </w:r>
    </w:p>
    <w:p>
      <w:pPr>
        <w:spacing w:after="0" w:line="212"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任何一方对仲裁结果不满意的</w:t>
      </w:r>
      <w:r>
        <w:rPr>
          <w:rFonts w:ascii="Arial" w:cs="Arial" w:eastAsia="Arial" w:hAnsi="Arial"/>
          <w:sz w:val="18"/>
          <w:szCs w:val="18"/>
          <w:color w:val="auto"/>
        </w:rPr>
        <w:t xml:space="preserve"> , </w:t>
      </w:r>
      <w:r>
        <w:rPr>
          <w:rFonts w:ascii="SimSun" w:cs="SimSun" w:eastAsia="SimSun" w:hAnsi="SimSun"/>
          <w:sz w:val="18"/>
          <w:szCs w:val="18"/>
          <w:color w:val="auto"/>
        </w:rPr>
        <w:t>可向地区法院起诉。</w:t>
      </w:r>
    </w:p>
    <w:p>
      <w:pPr>
        <w:spacing w:after="0" w:line="219" w:lineRule="exact"/>
        <w:rPr>
          <w:sz w:val="20"/>
          <w:szCs w:val="20"/>
          <w:color w:val="auto"/>
        </w:rPr>
      </w:pPr>
    </w:p>
    <w:p>
      <w:pPr>
        <w:ind w:left="550" w:hanging="550"/>
        <w:spacing w:after="0" w:line="219" w:lineRule="exact"/>
        <w:tabs>
          <w:tab w:leader="none" w:pos="55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NON-CONFLICTING AGREEMENT</w:t>
      </w:r>
      <w:r>
        <w:rPr>
          <w:rFonts w:ascii="SimSun" w:cs="SimSun" w:eastAsia="SimSun" w:hAnsi="SimSun"/>
          <w:sz w:val="18"/>
          <w:szCs w:val="18"/>
          <w:color w:val="auto"/>
        </w:rPr>
        <w:t>无相互冲突的协议</w:t>
      </w:r>
    </w:p>
    <w:p>
      <w:pPr>
        <w:spacing w:after="0" w:line="216" w:lineRule="exact"/>
        <w:rPr>
          <w:sz w:val="20"/>
          <w:szCs w:val="20"/>
          <w:color w:val="auto"/>
        </w:rPr>
      </w:pPr>
    </w:p>
    <w:p>
      <w:pPr>
        <w:jc w:val="both"/>
        <w:ind w:left="10"/>
        <w:spacing w:after="0" w:line="264" w:lineRule="auto"/>
        <w:rPr>
          <w:sz w:val="20"/>
          <w:szCs w:val="20"/>
          <w:color w:val="auto"/>
        </w:rPr>
      </w:pPr>
      <w:r>
        <w:rPr>
          <w:rFonts w:ascii="Arial" w:cs="Arial" w:eastAsia="Arial" w:hAnsi="Arial"/>
          <w:sz w:val="17"/>
          <w:szCs w:val="17"/>
          <w:color w:val="auto"/>
        </w:rPr>
        <w:t>The Employee hereby represents and warrants that the execution of this Agreement and the performance of the Employee's obligations hereunder will not breach or be in conflict with any other agreement to which the Employee is a party or is bound to and that the Employee is not subject to any covenants against competition or similar covenants that would affect the performance of the Employee's obligations under this Agreement, and all the obligations included in the non-competition agreement or any other agreements which may have influential problems.</w:t>
      </w:r>
    </w:p>
    <w:p>
      <w:pPr>
        <w:spacing w:after="0" w:line="169" w:lineRule="exact"/>
        <w:rPr>
          <w:sz w:val="20"/>
          <w:szCs w:val="20"/>
          <w:color w:val="auto"/>
        </w:rPr>
      </w:pPr>
    </w:p>
    <w:p>
      <w:pPr>
        <w:jc w:val="both"/>
        <w:ind w:left="10"/>
        <w:spacing w:after="0" w:line="235" w:lineRule="exact"/>
        <w:rPr>
          <w:sz w:val="20"/>
          <w:szCs w:val="20"/>
          <w:color w:val="auto"/>
        </w:rPr>
      </w:pPr>
      <w:r>
        <w:rPr>
          <w:rFonts w:ascii="SimSun" w:cs="SimSun" w:eastAsia="SimSun" w:hAnsi="SimSun"/>
          <w:sz w:val="18"/>
          <w:szCs w:val="18"/>
          <w:color w:val="auto"/>
        </w:rPr>
        <w:t>本公司的员工在此声明并保证在执行本协议及履行本协议中规定的员工职责时</w:t>
      </w:r>
      <w:r>
        <w:rPr>
          <w:rFonts w:ascii="Arial" w:cs="Arial" w:eastAsia="Arial" w:hAnsi="Arial"/>
          <w:sz w:val="18"/>
          <w:szCs w:val="18"/>
          <w:color w:val="auto"/>
        </w:rPr>
        <w:t xml:space="preserve"> , </w:t>
      </w:r>
      <w:r>
        <w:rPr>
          <w:rFonts w:ascii="SimSun" w:cs="SimSun" w:eastAsia="SimSun" w:hAnsi="SimSun"/>
          <w:sz w:val="18"/>
          <w:szCs w:val="18"/>
          <w:color w:val="auto"/>
        </w:rPr>
        <w:t>不会违反或者冲突员工签订的其他协议或使其受到制约的协议</w:t>
      </w:r>
      <w:r>
        <w:rPr>
          <w:rFonts w:ascii="Arial" w:cs="Arial" w:eastAsia="Arial" w:hAnsi="Arial"/>
          <w:sz w:val="18"/>
          <w:szCs w:val="18"/>
          <w:color w:val="auto"/>
        </w:rPr>
        <w:t xml:space="preserve"> , </w:t>
      </w:r>
      <w:r>
        <w:rPr>
          <w:rFonts w:ascii="SimSun" w:cs="SimSun" w:eastAsia="SimSun" w:hAnsi="SimSun"/>
          <w:sz w:val="18"/>
          <w:szCs w:val="18"/>
          <w:color w:val="auto"/>
        </w:rPr>
        <w:t>而且员工当前不再受任何不竞争契约或者其他一切可能影响本协议下员工职责的类似契约的管辖</w:t>
      </w:r>
      <w:r>
        <w:rPr>
          <w:rFonts w:ascii="Arial" w:cs="Arial" w:eastAsia="Arial" w:hAnsi="Arial"/>
          <w:sz w:val="18"/>
          <w:szCs w:val="18"/>
          <w:color w:val="auto"/>
        </w:rPr>
        <w:t xml:space="preserve"> , </w:t>
      </w:r>
      <w:r>
        <w:rPr>
          <w:rFonts w:ascii="SimSun" w:cs="SimSun" w:eastAsia="SimSun" w:hAnsi="SimSun"/>
          <w:sz w:val="18"/>
          <w:szCs w:val="18"/>
          <w:color w:val="auto"/>
        </w:rPr>
        <w:t>包括前任公司遗留的任何竞业限制或其他合约问题的 影响。</w:t>
      </w:r>
    </w:p>
    <w:p>
      <w:pPr>
        <w:spacing w:after="0" w:line="209" w:lineRule="exact"/>
        <w:rPr>
          <w:sz w:val="20"/>
          <w:szCs w:val="20"/>
          <w:color w:val="auto"/>
        </w:rPr>
      </w:pPr>
    </w:p>
    <w:p>
      <w:pPr>
        <w:ind w:left="10"/>
        <w:spacing w:after="0" w:line="219" w:lineRule="exact"/>
        <w:tabs>
          <w:tab w:leader="none" w:pos="609"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MISCELLANEOUS</w:t>
      </w:r>
      <w:r>
        <w:rPr>
          <w:rFonts w:ascii="SimSun" w:cs="SimSun" w:eastAsia="SimSun" w:hAnsi="SimSun"/>
          <w:sz w:val="18"/>
          <w:szCs w:val="18"/>
          <w:color w:val="auto"/>
        </w:rPr>
        <w:t>其 他</w:t>
      </w:r>
    </w:p>
    <w:p>
      <w:pPr>
        <w:spacing w:after="0" w:line="2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After the expiration or termination of this agreement, provisions of this agreement shall survive the termination thereof for the settlement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obligation(s) produced by this agreement.</w:t>
      </w:r>
    </w:p>
    <w:p>
      <w:pPr>
        <w:spacing w:after="0" w:line="164" w:lineRule="exact"/>
        <w:rPr>
          <w:sz w:val="20"/>
          <w:szCs w:val="20"/>
          <w:color w:val="auto"/>
        </w:rPr>
      </w:pPr>
    </w:p>
    <w:p>
      <w:pPr>
        <w:ind w:left="10"/>
        <w:spacing w:after="0" w:line="219" w:lineRule="exact"/>
        <w:rPr>
          <w:sz w:val="20"/>
          <w:szCs w:val="20"/>
          <w:color w:val="auto"/>
        </w:rPr>
      </w:pPr>
      <w:r>
        <w:rPr>
          <w:rFonts w:ascii="SimSun" w:cs="SimSun" w:eastAsia="SimSun" w:hAnsi="SimSun"/>
          <w:sz w:val="18"/>
          <w:szCs w:val="18"/>
          <w:color w:val="auto"/>
        </w:rPr>
        <w:t>遗留效力：本协议期满或终止后为清算本协议产生的（各项）权利和（各项）义务</w:t>
      </w:r>
      <w:r>
        <w:rPr>
          <w:rFonts w:ascii="Arial" w:cs="Arial" w:eastAsia="Arial" w:hAnsi="Arial"/>
          <w:sz w:val="18"/>
          <w:szCs w:val="18"/>
          <w:color w:val="auto"/>
        </w:rPr>
        <w:t xml:space="preserve"> , </w:t>
      </w:r>
      <w:r>
        <w:rPr>
          <w:rFonts w:ascii="SimSun" w:cs="SimSun" w:eastAsia="SimSun" w:hAnsi="SimSun"/>
          <w:sz w:val="18"/>
          <w:szCs w:val="18"/>
          <w:color w:val="auto"/>
        </w:rPr>
        <w:t>本协议的各条规定以及保密规定仍然有效。</w:t>
      </w:r>
    </w:p>
    <w:p>
      <w:pPr>
        <w:spacing w:after="0" w:line="208"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 xml:space="preserve">Revision in Written Form: </w:t>
      </w:r>
      <w:r>
        <w:rPr>
          <w:rFonts w:ascii="Arial" w:cs="Arial" w:eastAsia="Arial" w:hAnsi="Arial"/>
          <w:sz w:val="17"/>
          <w:szCs w:val="17"/>
          <w:color w:val="auto"/>
        </w:rPr>
        <w:t>No provision of this Agreement may be amended, modified or waived without a written agreement signed by both parties.</w:t>
      </w:r>
    </w:p>
    <w:p>
      <w:pPr>
        <w:spacing w:after="0" w:line="230" w:lineRule="exact"/>
        <w:rPr>
          <w:sz w:val="20"/>
          <w:szCs w:val="20"/>
          <w:color w:val="auto"/>
        </w:rPr>
      </w:pPr>
    </w:p>
    <w:p>
      <w:pPr>
        <w:ind w:left="10"/>
        <w:spacing w:after="0" w:line="206" w:lineRule="exact"/>
        <w:rPr>
          <w:sz w:val="20"/>
          <w:szCs w:val="20"/>
          <w:color w:val="auto"/>
        </w:rPr>
      </w:pPr>
      <w:r>
        <w:rPr>
          <w:rFonts w:ascii="SimSun" w:cs="SimSun" w:eastAsia="SimSun" w:hAnsi="SimSun"/>
          <w:sz w:val="18"/>
          <w:szCs w:val="18"/>
          <w:color w:val="auto"/>
        </w:rPr>
        <w:t>以书 面形式修改：本协议各条规定的修正、修改或放弃都必须由双方签署同意。</w:t>
      </w:r>
    </w:p>
    <w:p>
      <w:pPr>
        <w:spacing w:after="0" w:line="218" w:lineRule="exact"/>
        <w:rPr>
          <w:sz w:val="20"/>
          <w:szCs w:val="20"/>
          <w:color w:val="auto"/>
        </w:rPr>
      </w:pPr>
    </w:p>
    <w:p>
      <w:pPr>
        <w:jc w:val="both"/>
        <w:ind w:left="10" w:right="20"/>
        <w:spacing w:after="0" w:line="268"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Any notice or other communications shall be delivered by first class certified mail or by registered mail. If the address of the Employee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shall notify the Company within seven days after the effectiveness of such change.</w:t>
      </w:r>
    </w:p>
    <w:p>
      <w:pPr>
        <w:spacing w:after="0" w:line="164" w:lineRule="exact"/>
        <w:rPr>
          <w:sz w:val="20"/>
          <w:szCs w:val="20"/>
          <w:color w:val="auto"/>
        </w:rPr>
      </w:pPr>
    </w:p>
    <w:p>
      <w:pPr>
        <w:jc w:val="both"/>
        <w:ind w:left="10"/>
        <w:spacing w:after="0" w:line="233" w:lineRule="exact"/>
        <w:rPr>
          <w:sz w:val="20"/>
          <w:szCs w:val="20"/>
          <w:color w:val="auto"/>
        </w:rPr>
      </w:pPr>
      <w:r>
        <w:rPr>
          <w:rFonts w:ascii="SimSun" w:cs="SimSun" w:eastAsia="SimSun" w:hAnsi="SimSun"/>
          <w:sz w:val="18"/>
          <w:szCs w:val="18"/>
          <w:color w:val="auto"/>
        </w:rPr>
        <w:t>通知：双方之间任何通知或者沟通应通过特快专递或者挂号信</w:t>
      </w:r>
      <w:r>
        <w:rPr>
          <w:rFonts w:ascii="Arial" w:cs="Arial" w:eastAsia="Arial" w:hAnsi="Arial"/>
          <w:sz w:val="18"/>
          <w:szCs w:val="18"/>
          <w:color w:val="auto"/>
        </w:rPr>
        <w:t xml:space="preserve"> , </w:t>
      </w:r>
      <w:r>
        <w:rPr>
          <w:rFonts w:ascii="SimSun" w:cs="SimSun" w:eastAsia="SimSun" w:hAnsi="SimSun"/>
          <w:sz w:val="18"/>
          <w:szCs w:val="18"/>
          <w:color w:val="auto"/>
        </w:rPr>
        <w:t>由日寄到双方在本协议中规定的地址。 若员工的通讯地址有任何变更</w:t>
      </w:r>
      <w:r>
        <w:rPr>
          <w:rFonts w:ascii="Arial" w:cs="Arial" w:eastAsia="Arial" w:hAnsi="Arial"/>
          <w:sz w:val="18"/>
          <w:szCs w:val="18"/>
          <w:color w:val="auto"/>
        </w:rPr>
        <w:t xml:space="preserve"> , </w:t>
      </w:r>
      <w:r>
        <w:rPr>
          <w:rFonts w:ascii="SimSun" w:cs="SimSun" w:eastAsia="SimSun" w:hAnsi="SimSun"/>
          <w:sz w:val="18"/>
          <w:szCs w:val="18"/>
          <w:color w:val="auto"/>
        </w:rPr>
        <w:t>员工应当在该变更生效后七天内通知公司。</w:t>
      </w:r>
    </w:p>
    <w:p>
      <w:pPr>
        <w:spacing w:after="0" w:line="352" w:lineRule="exact"/>
        <w:rPr>
          <w:sz w:val="20"/>
          <w:szCs w:val="20"/>
          <w:color w:val="auto"/>
        </w:rPr>
      </w:pPr>
    </w:p>
    <w:p>
      <w:pPr>
        <w:ind w:left="10"/>
        <w:spacing w:after="0"/>
        <w:rPr>
          <w:sz w:val="20"/>
          <w:szCs w:val="20"/>
          <w:color w:val="auto"/>
        </w:rPr>
      </w:pPr>
      <w:r>
        <w:rPr>
          <w:rFonts w:ascii="Arial" w:cs="Arial" w:eastAsia="Arial" w:hAnsi="Arial"/>
          <w:sz w:val="12"/>
          <w:szCs w:val="1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54545"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9">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628" w:right="319" w:bottom="1440" w:gutter="0" w:footer="0" w:header="0"/>
        </w:sectPr>
      </w:pPr>
    </w:p>
    <w:bookmarkStart w:id="151" w:name="page152"/>
    <w:bookmarkEnd w:id="151"/>
    <w:p>
      <w:pPr>
        <w:ind w:left="394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This Agreement is executed in two (2) sets of originals, with each set comprised of and English and Chinese version. If there is any</w:t>
      </w:r>
      <w:r>
        <w:rPr>
          <w:rFonts w:ascii="Arial" w:cs="Arial" w:eastAsia="Arial" w:hAnsi="Arial"/>
          <w:sz w:val="18"/>
          <w:szCs w:val="18"/>
          <w:b w:val="1"/>
          <w:bCs w:val="1"/>
          <w:color w:val="auto"/>
        </w:rPr>
        <w:t xml:space="preserve"> </w:t>
      </w:r>
      <w:r>
        <w:rPr>
          <w:rFonts w:ascii="Arial" w:cs="Arial" w:eastAsia="Arial" w:hAnsi="Arial"/>
          <w:sz w:val="18"/>
          <w:szCs w:val="18"/>
          <w:color w:val="auto"/>
        </w:rPr>
        <w:t>discrepancy between the Chinese version and the English version, the Chinese shall prevail.</w:t>
      </w:r>
    </w:p>
    <w:p>
      <w:pPr>
        <w:spacing w:after="0" w:line="164"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语言：本协议由两套（</w:t>
      </w:r>
      <w:r>
        <w:rPr>
          <w:rFonts w:ascii="Arial" w:cs="Arial" w:eastAsia="Arial" w:hAnsi="Arial"/>
          <w:sz w:val="18"/>
          <w:szCs w:val="18"/>
          <w:color w:val="auto"/>
        </w:rPr>
        <w:t>2</w:t>
      </w:r>
      <w:r>
        <w:rPr>
          <w:rFonts w:ascii="SimSun" w:cs="SimSun" w:eastAsia="SimSun" w:hAnsi="SimSun"/>
          <w:sz w:val="18"/>
          <w:szCs w:val="18"/>
          <w:color w:val="auto"/>
        </w:rPr>
        <w:t>套）原件组成</w:t>
      </w:r>
      <w:r>
        <w:rPr>
          <w:rFonts w:ascii="Arial" w:cs="Arial" w:eastAsia="Arial" w:hAnsi="Arial"/>
          <w:sz w:val="18"/>
          <w:szCs w:val="18"/>
          <w:color w:val="auto"/>
        </w:rPr>
        <w:t xml:space="preserve"> , </w:t>
      </w:r>
      <w:r>
        <w:rPr>
          <w:rFonts w:ascii="SimSun" w:cs="SimSun" w:eastAsia="SimSun" w:hAnsi="SimSun"/>
          <w:sz w:val="18"/>
          <w:szCs w:val="18"/>
          <w:color w:val="auto"/>
        </w:rPr>
        <w:t>每套有英文和中文书面协议版本</w:t>
      </w:r>
      <w:r>
        <w:rPr>
          <w:rFonts w:ascii="Arial" w:cs="Arial" w:eastAsia="Arial" w:hAnsi="Arial"/>
          <w:sz w:val="18"/>
          <w:szCs w:val="18"/>
          <w:color w:val="auto"/>
        </w:rPr>
        <w:t xml:space="preserve"> , </w:t>
      </w:r>
      <w:r>
        <w:rPr>
          <w:rFonts w:ascii="SimSun" w:cs="SimSun" w:eastAsia="SimSun" w:hAnsi="SimSun"/>
          <w:sz w:val="18"/>
          <w:szCs w:val="18"/>
          <w:color w:val="auto"/>
        </w:rPr>
        <w:t>若中文与英文有任何不一致</w:t>
      </w:r>
      <w:r>
        <w:rPr>
          <w:rFonts w:ascii="Arial" w:cs="Arial" w:eastAsia="Arial" w:hAnsi="Arial"/>
          <w:sz w:val="18"/>
          <w:szCs w:val="18"/>
          <w:color w:val="auto"/>
        </w:rPr>
        <w:t xml:space="preserve"> , </w:t>
      </w:r>
      <w:r>
        <w:rPr>
          <w:rFonts w:ascii="SimSun" w:cs="SimSun" w:eastAsia="SimSun" w:hAnsi="SimSun"/>
          <w:sz w:val="18"/>
          <w:szCs w:val="18"/>
          <w:color w:val="auto"/>
        </w:rPr>
        <w:t>以中文为准。</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page. Next page is Signature Page.</w:t>
      </w:r>
      <w:r>
        <w:rPr>
          <w:rFonts w:ascii="Arial" w:cs="Arial" w:eastAsia="Arial" w:hAnsi="Arial"/>
          <w:sz w:val="18"/>
          <w:szCs w:val="18"/>
          <w:color w:val="auto"/>
        </w:rPr>
        <w:t>]</w:t>
      </w:r>
    </w:p>
    <w:p>
      <w:pPr>
        <w:spacing w:after="0" w:line="1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本页 完</w:t>
      </w:r>
      <w:r>
        <w:rPr>
          <w:rFonts w:ascii="Arial" w:cs="Arial" w:eastAsia="Arial" w:hAnsi="Arial"/>
          <w:sz w:val="18"/>
          <w:szCs w:val="18"/>
          <w:color w:val="auto"/>
        </w:rPr>
        <w:t xml:space="preserve"> , </w:t>
      </w:r>
      <w:r>
        <w:rPr>
          <w:rFonts w:ascii="SimSun" w:cs="SimSun" w:eastAsia="SimSun" w:hAnsi="SimSun"/>
          <w:sz w:val="18"/>
          <w:szCs w:val="18"/>
          <w:color w:val="auto"/>
        </w:rPr>
        <w:t>签字转下页</w:t>
      </w: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7154545"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1">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628" w:right="319" w:bottom="1440" w:gutter="0" w:footer="0" w:header="0"/>
        </w:sectPr>
      </w:pPr>
    </w:p>
    <w:bookmarkStart w:id="152" w:name="page153"/>
    <w:bookmarkEnd w:id="152"/>
    <w:p>
      <w:pPr>
        <w:ind w:left="3940"/>
        <w:spacing w:after="0" w:line="172" w:lineRule="exact"/>
        <w:rPr>
          <w:sz w:val="20"/>
          <w:szCs w:val="20"/>
          <w:color w:val="auto"/>
        </w:rPr>
      </w:pPr>
      <w:r>
        <w:rPr>
          <w:rFonts w:ascii="SimSun" w:cs="SimSun" w:eastAsia="SimSun" w:hAnsi="SimSun"/>
          <w:sz w:val="15"/>
          <w:szCs w:val="15"/>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34085" cy="4381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934085" cy="438150"/>
                    </a:xfrm>
                    <a:prstGeom prst="rect">
                      <a:avLst/>
                    </a:prstGeom>
                    <a:noFill/>
                  </pic:spPr>
                </pic:pic>
              </a:graphicData>
            </a:graphic>
          </wp:anchor>
        </w:drawing>
        <w:t>盛美半导体设备（上海）有限公司</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HEREOF</w:t>
      </w:r>
      <w:r>
        <w:rPr>
          <w:rFonts w:ascii="Arial" w:cs="Arial" w:eastAsia="Arial" w:hAnsi="Arial"/>
          <w:sz w:val="16"/>
          <w:szCs w:val="16"/>
          <w:color w:val="auto"/>
        </w:rPr>
        <w:t>, the parties have executed this Employment Agreement as of the date set forth above.</w:t>
      </w:r>
    </w:p>
    <w:p>
      <w:pPr>
        <w:spacing w:after="0" w:line="239"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截止上述日期</w:t>
      </w:r>
      <w:r>
        <w:rPr>
          <w:rFonts w:ascii="Arial" w:cs="Arial" w:eastAsia="Arial" w:hAnsi="Arial"/>
          <w:sz w:val="18"/>
          <w:szCs w:val="18"/>
          <w:color w:val="auto"/>
        </w:rPr>
        <w:t xml:space="preserve"> , </w:t>
      </w:r>
      <w:r>
        <w:rPr>
          <w:rFonts w:ascii="SimSun" w:cs="SimSun" w:eastAsia="SimSun" w:hAnsi="SimSun"/>
          <w:sz w:val="18"/>
          <w:szCs w:val="18"/>
          <w:color w:val="auto"/>
        </w:rPr>
        <w:t>双方已经完成雇佣协议的制定</w:t>
      </w:r>
      <w:r>
        <w:rPr>
          <w:rFonts w:ascii="Arial" w:cs="Arial" w:eastAsia="Arial" w:hAnsi="Arial"/>
          <w:sz w:val="18"/>
          <w:szCs w:val="18"/>
          <w:color w:val="auto"/>
        </w:rPr>
        <w:t xml:space="preserve"> , </w:t>
      </w:r>
      <w:r>
        <w:rPr>
          <w:rFonts w:ascii="SimSun" w:cs="SimSun" w:eastAsia="SimSun" w:hAnsi="SimSun"/>
          <w:sz w:val="18"/>
          <w:szCs w:val="18"/>
          <w:color w:val="auto"/>
        </w:rPr>
        <w:t>特此证明。</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ACM Research (Shanghai), Inc.</w:t>
      </w:r>
    </w:p>
    <w:p>
      <w:pPr>
        <w:spacing w:after="0" w:line="216"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盛美半导体设备</w:t>
      </w:r>
      <w:r>
        <w:rPr>
          <w:rFonts w:ascii="Arial" w:cs="Arial" w:eastAsia="Arial" w:hAnsi="Arial"/>
          <w:sz w:val="18"/>
          <w:szCs w:val="18"/>
          <w:color w:val="auto"/>
        </w:rPr>
        <w:t>(</w:t>
      </w:r>
      <w:r>
        <w:rPr>
          <w:rFonts w:ascii="SimSun" w:cs="SimSun" w:eastAsia="SimSun" w:hAnsi="SimSun"/>
          <w:sz w:val="18"/>
          <w:szCs w:val="18"/>
          <w:color w:val="auto"/>
        </w:rPr>
        <w:t>上海）有限公司</w:t>
      </w:r>
    </w:p>
    <w:p>
      <w:pPr>
        <w:spacing w:after="0" w:line="223" w:lineRule="exact"/>
        <w:rPr>
          <w:sz w:val="20"/>
          <w:szCs w:val="20"/>
          <w:color w:val="auto"/>
        </w:rPr>
      </w:pPr>
    </w:p>
    <w:p>
      <w:pPr>
        <w:spacing w:after="0" w:line="219" w:lineRule="exact"/>
        <w:tabs>
          <w:tab w:leader="none" w:pos="1360" w:val="left"/>
        </w:tabs>
        <w:rPr>
          <w:sz w:val="20"/>
          <w:szCs w:val="20"/>
          <w:color w:val="auto"/>
        </w:rPr>
      </w:pPr>
      <w:r>
        <w:rPr>
          <w:rFonts w:ascii="Arial" w:cs="Arial" w:eastAsia="Arial" w:hAnsi="Arial"/>
          <w:sz w:val="18"/>
          <w:szCs w:val="18"/>
          <w:color w:val="auto"/>
        </w:rPr>
        <w:t>By</w:t>
      </w:r>
      <w:r>
        <w:rPr>
          <w:rFonts w:ascii="SimSun" w:cs="SimSun" w:eastAsia="SimSun" w:hAnsi="SimSun"/>
          <w:sz w:val="18"/>
          <w:szCs w:val="18"/>
          <w:color w:val="auto"/>
        </w:rPr>
        <w:t>／签订人</w:t>
      </w:r>
      <w:r>
        <w:rPr>
          <w:sz w:val="20"/>
          <w:szCs w:val="20"/>
          <w:color w:val="auto"/>
        </w:rPr>
        <w:tab/>
      </w:r>
      <w:r>
        <w:rPr>
          <w:rFonts w:ascii="Arial" w:cs="Arial" w:eastAsia="Arial" w:hAnsi="Arial"/>
          <w:sz w:val="16"/>
          <w:szCs w:val="16"/>
          <w:u w:val="single" w:color="auto"/>
          <w:color w:val="auto"/>
        </w:rPr>
        <w:t>/s/ David Wang</w:t>
      </w:r>
    </w:p>
    <w:p>
      <w:pPr>
        <w:spacing w:after="0" w:line="22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Printed Name/</w:t>
      </w:r>
      <w:r>
        <w:rPr>
          <w:rFonts w:ascii="SimSun" w:cs="SimSun" w:eastAsia="SimSun" w:hAnsi="SimSun"/>
          <w:sz w:val="18"/>
          <w:szCs w:val="18"/>
          <w:color w:val="auto"/>
        </w:rPr>
        <w:t>打印姓名：</w:t>
      </w:r>
      <w:r>
        <w:rPr>
          <w:rFonts w:ascii="Arial" w:cs="Arial" w:eastAsia="Arial" w:hAnsi="Arial"/>
          <w:sz w:val="18"/>
          <w:szCs w:val="18"/>
          <w:color w:val="auto"/>
        </w:rPr>
        <w:t>David Wang</w:t>
      </w:r>
    </w:p>
    <w:p>
      <w:pPr>
        <w:spacing w:after="0" w:line="223" w:lineRule="exact"/>
        <w:rPr>
          <w:sz w:val="20"/>
          <w:szCs w:val="20"/>
          <w:color w:val="auto"/>
        </w:rPr>
      </w:pPr>
    </w:p>
    <w:p>
      <w:pPr>
        <w:spacing w:after="0" w:line="219" w:lineRule="exact"/>
        <w:tabs>
          <w:tab w:leader="none" w:pos="1340" w:val="left"/>
        </w:tabs>
        <w:rPr>
          <w:sz w:val="20"/>
          <w:szCs w:val="20"/>
          <w:color w:val="auto"/>
        </w:rPr>
      </w:pPr>
      <w:r>
        <w:rPr>
          <w:rFonts w:ascii="Arial" w:cs="Arial" w:eastAsia="Arial" w:hAnsi="Arial"/>
          <w:sz w:val="18"/>
          <w:szCs w:val="18"/>
          <w:color w:val="auto"/>
        </w:rPr>
        <w:t xml:space="preserve">Title </w:t>
      </w:r>
      <w:r>
        <w:rPr>
          <w:rFonts w:ascii="SimSun" w:cs="SimSun" w:eastAsia="SimSun" w:hAnsi="SimSun"/>
          <w:sz w:val="18"/>
          <w:szCs w:val="18"/>
          <w:color w:val="auto"/>
        </w:rPr>
        <w:t>职务：</w:t>
      </w:r>
      <w:r>
        <w:rPr>
          <w:sz w:val="20"/>
          <w:szCs w:val="20"/>
          <w:color w:val="auto"/>
        </w:rPr>
        <w:tab/>
      </w:r>
      <w:r>
        <w:rPr>
          <w:rFonts w:ascii="Arial" w:cs="Arial" w:eastAsia="Arial" w:hAnsi="Arial"/>
          <w:sz w:val="17"/>
          <w:szCs w:val="17"/>
          <w:color w:val="auto"/>
        </w:rPr>
        <w:t>Chairman of the Board/</w:t>
      </w:r>
      <w:r>
        <w:rPr>
          <w:rFonts w:ascii="SimSun" w:cs="SimSun" w:eastAsia="SimSun" w:hAnsi="SimSun"/>
          <w:sz w:val="17"/>
          <w:szCs w:val="17"/>
          <w:color w:val="auto"/>
        </w:rPr>
        <w:t>成事长法人代表</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60" w:type="dxa"/>
            <w:vAlign w:val="bottom"/>
            <w:gridSpan w:val="3"/>
          </w:tcPr>
          <w:p>
            <w:pPr>
              <w:spacing w:after="0" w:line="219" w:lineRule="exact"/>
              <w:rPr>
                <w:sz w:val="20"/>
                <w:szCs w:val="20"/>
                <w:color w:val="auto"/>
              </w:rPr>
            </w:pPr>
            <w:r>
              <w:rPr>
                <w:rFonts w:ascii="Arial" w:cs="Arial" w:eastAsia="Arial" w:hAnsi="Arial"/>
                <w:sz w:val="18"/>
                <w:szCs w:val="18"/>
                <w:b w:val="1"/>
                <w:bCs w:val="1"/>
                <w:color w:val="auto"/>
              </w:rPr>
              <w:t>EMPLOYEE</w:t>
            </w:r>
            <w:r>
              <w:rPr>
                <w:rFonts w:ascii="Arial" w:cs="Arial" w:eastAsia="Arial" w:hAnsi="Arial"/>
                <w:sz w:val="18"/>
                <w:szCs w:val="18"/>
                <w:color w:val="auto"/>
              </w:rPr>
              <w:t>/</w:t>
            </w:r>
            <w:r>
              <w:rPr>
                <w:rFonts w:ascii="SimSun" w:cs="SimSun" w:eastAsia="SimSun" w:hAnsi="SimSun"/>
                <w:sz w:val="18"/>
                <w:szCs w:val="18"/>
                <w:color w:val="auto"/>
              </w:rPr>
              <w:t>员人</w:t>
            </w:r>
            <w:r>
              <w:rPr>
                <w:rFonts w:ascii="Arial" w:cs="Arial" w:eastAsia="Arial" w:hAnsi="Arial"/>
                <w:sz w:val="18"/>
                <w:szCs w:val="18"/>
                <w:color w:val="auto"/>
              </w:rPr>
              <w:t>:</w:t>
            </w:r>
          </w:p>
        </w:tc>
        <w:tc>
          <w:tcPr>
            <w:tcW w:w="760" w:type="dxa"/>
            <w:vAlign w:val="bottom"/>
          </w:tcPr>
          <w:p>
            <w:pPr>
              <w:spacing w:after="0"/>
              <w:rPr>
                <w:sz w:val="20"/>
                <w:szCs w:val="20"/>
                <w:color w:val="auto"/>
              </w:rPr>
            </w:pPr>
          </w:p>
        </w:tc>
      </w:tr>
      <w:tr>
        <w:trPr>
          <w:trHeight w:val="398"/>
        </w:trPr>
        <w:tc>
          <w:tcPr>
            <w:tcW w:w="2360" w:type="dxa"/>
            <w:vAlign w:val="bottom"/>
            <w:gridSpan w:val="3"/>
          </w:tcPr>
          <w:p>
            <w:pPr>
              <w:spacing w:after="0" w:line="219" w:lineRule="exact"/>
              <w:rPr>
                <w:sz w:val="20"/>
                <w:szCs w:val="20"/>
                <w:color w:val="auto"/>
              </w:rPr>
            </w:pPr>
            <w:r>
              <w:rPr>
                <w:rFonts w:ascii="Arial" w:cs="Arial" w:eastAsia="Arial" w:hAnsi="Arial"/>
                <w:sz w:val="18"/>
                <w:szCs w:val="18"/>
                <w:color w:val="auto"/>
                <w:w w:val="91"/>
              </w:rPr>
              <w:t>By</w:t>
            </w:r>
            <w:r>
              <w:rPr>
                <w:rFonts w:ascii="SimSun" w:cs="SimSun" w:eastAsia="SimSun" w:hAnsi="SimSun"/>
                <w:sz w:val="18"/>
                <w:szCs w:val="18"/>
                <w:color w:val="auto"/>
                <w:w w:val="91"/>
              </w:rPr>
              <w:t>／签订人</w:t>
            </w:r>
            <w:r>
              <w:rPr>
                <w:rFonts w:ascii="Arial" w:cs="Arial" w:eastAsia="Arial" w:hAnsi="Arial"/>
                <w:sz w:val="18"/>
                <w:szCs w:val="18"/>
                <w:color w:val="auto"/>
                <w:w w:val="91"/>
              </w:rPr>
              <w:t>/s/ Lisa Feng</w:t>
            </w:r>
          </w:p>
        </w:tc>
        <w:tc>
          <w:tcPr>
            <w:tcW w:w="76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4"/>
        </w:trPr>
        <w:tc>
          <w:tcPr>
            <w:tcW w:w="2360" w:type="dxa"/>
            <w:vAlign w:val="bottom"/>
            <w:gridSpan w:val="3"/>
          </w:tcPr>
          <w:p>
            <w:pPr>
              <w:spacing w:after="0" w:line="219" w:lineRule="exact"/>
              <w:rPr>
                <w:sz w:val="20"/>
                <w:szCs w:val="20"/>
                <w:color w:val="auto"/>
              </w:rPr>
            </w:pPr>
            <w:r>
              <w:rPr>
                <w:rFonts w:ascii="Arial" w:cs="Arial" w:eastAsia="Arial" w:hAnsi="Arial"/>
                <w:sz w:val="18"/>
                <w:szCs w:val="18"/>
                <w:color w:val="auto"/>
              </w:rPr>
              <w:t>Printed Name/</w:t>
            </w:r>
            <w:r>
              <w:rPr>
                <w:rFonts w:ascii="SimSun" w:cs="SimSun" w:eastAsia="SimSun" w:hAnsi="SimSun"/>
                <w:sz w:val="18"/>
                <w:szCs w:val="18"/>
                <w:color w:val="auto"/>
              </w:rPr>
              <w:t>打印姓名：</w:t>
            </w:r>
          </w:p>
        </w:tc>
        <w:tc>
          <w:tcPr>
            <w:tcW w:w="760" w:type="dxa"/>
            <w:vAlign w:val="bottom"/>
          </w:tcPr>
          <w:p>
            <w:pPr>
              <w:jc w:val="right"/>
              <w:spacing w:after="0"/>
              <w:rPr>
                <w:sz w:val="20"/>
                <w:szCs w:val="20"/>
                <w:color w:val="auto"/>
              </w:rPr>
            </w:pPr>
            <w:r>
              <w:rPr>
                <w:rFonts w:ascii="Arial" w:cs="Arial" w:eastAsia="Arial" w:hAnsi="Arial"/>
                <w:sz w:val="18"/>
                <w:szCs w:val="18"/>
                <w:color w:val="auto"/>
                <w:w w:val="93"/>
              </w:rPr>
              <w:t>Lisa Feng</w:t>
            </w:r>
          </w:p>
        </w:tc>
      </w:tr>
      <w:tr>
        <w:trPr>
          <w:trHeight w:val="441"/>
        </w:trPr>
        <w:tc>
          <w:tcPr>
            <w:tcW w:w="2360" w:type="dxa"/>
            <w:vAlign w:val="bottom"/>
            <w:gridSpan w:val="3"/>
          </w:tcPr>
          <w:p>
            <w:pPr>
              <w:spacing w:after="0" w:line="219" w:lineRule="exact"/>
              <w:rPr>
                <w:sz w:val="20"/>
                <w:szCs w:val="20"/>
                <w:color w:val="auto"/>
              </w:rPr>
            </w:pPr>
            <w:r>
              <w:rPr>
                <w:rFonts w:ascii="Arial" w:cs="Arial" w:eastAsia="Arial" w:hAnsi="Arial"/>
                <w:sz w:val="18"/>
                <w:szCs w:val="18"/>
                <w:color w:val="auto"/>
              </w:rPr>
              <w:t>I.D. Card #/</w:t>
            </w:r>
            <w:r>
              <w:rPr>
                <w:rFonts w:ascii="SimSun" w:cs="SimSun" w:eastAsia="SimSun" w:hAnsi="SimSun"/>
                <w:sz w:val="18"/>
                <w:szCs w:val="18"/>
                <w:color w:val="auto"/>
              </w:rPr>
              <w:t>身份证明号码：</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441"/>
        </w:trPr>
        <w:tc>
          <w:tcPr>
            <w:tcW w:w="2360" w:type="dxa"/>
            <w:vAlign w:val="bottom"/>
            <w:gridSpan w:val="3"/>
          </w:tcPr>
          <w:p>
            <w:pPr>
              <w:spacing w:after="0" w:line="219" w:lineRule="exact"/>
              <w:rPr>
                <w:sz w:val="20"/>
                <w:szCs w:val="20"/>
                <w:color w:val="auto"/>
              </w:rPr>
            </w:pPr>
            <w:r>
              <w:rPr>
                <w:rFonts w:ascii="Arial" w:cs="Arial" w:eastAsia="Arial" w:hAnsi="Arial"/>
                <w:sz w:val="18"/>
                <w:szCs w:val="18"/>
                <w:color w:val="auto"/>
              </w:rPr>
              <w:t>ID Address/</w:t>
            </w:r>
            <w:r>
              <w:rPr>
                <w:rFonts w:ascii="SimSun" w:cs="SimSun" w:eastAsia="SimSun" w:hAnsi="SimSun"/>
                <w:sz w:val="18"/>
                <w:szCs w:val="18"/>
                <w:color w:val="auto"/>
              </w:rPr>
              <w:t>户籍地址：</w:t>
            </w:r>
          </w:p>
        </w:tc>
        <w:tc>
          <w:tcPr>
            <w:tcW w:w="760" w:type="dxa"/>
            <w:vAlign w:val="bottom"/>
          </w:tcPr>
          <w:p>
            <w:pPr>
              <w:spacing w:after="0"/>
              <w:rPr>
                <w:sz w:val="24"/>
                <w:szCs w:val="24"/>
                <w:color w:val="auto"/>
              </w:rPr>
            </w:pPr>
          </w:p>
        </w:tc>
      </w:tr>
    </w:tbl>
    <w:p>
      <w:pPr>
        <w:spacing w:after="0" w:line="21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Residential Address/</w:t>
      </w:r>
      <w:r>
        <w:rPr>
          <w:rFonts w:ascii="SimSun" w:cs="SimSun" w:eastAsia="SimSun" w:hAnsi="SimSun"/>
          <w:sz w:val="18"/>
          <w:szCs w:val="18"/>
          <w:color w:val="auto"/>
        </w:rPr>
        <w:t>居住地址</w:t>
      </w:r>
      <w:r>
        <w:rPr>
          <w:rFonts w:ascii="Arial" w:cs="Arial" w:eastAsia="Arial" w:hAnsi="Arial"/>
          <w:sz w:val="18"/>
          <w:szCs w:val="18"/>
          <w:color w:val="auto"/>
        </w:rPr>
        <w:t>: ***</w:t>
      </w:r>
    </w:p>
    <w:p>
      <w:pPr>
        <w:spacing w:after="0" w:line="22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Email/</w:t>
      </w:r>
      <w:r>
        <w:rPr>
          <w:rFonts w:ascii="SimSun" w:cs="SimSun" w:eastAsia="SimSun" w:hAnsi="SimSun"/>
          <w:sz w:val="18"/>
          <w:szCs w:val="18"/>
          <w:color w:val="auto"/>
        </w:rPr>
        <w:t>电子邮件</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67310</wp:posOffset>
            </wp:positionV>
            <wp:extent cx="7154545"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0139"/>
          </w:cols>
          <w:pgMar w:left="320" w:top="628"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285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4">
                      <a:extLst>
                        <a:ext uri="{28A0092B-C50C-407E-A947-70E740481C1C}"/>
                      </a:extLst>
                    </a:blip>
                    <a:srcRect/>
                    <a:stretch>
                      <a:fillRect/>
                    </a:stretch>
                  </pic:blipFill>
                  <pic:spPr bwMode="auto">
                    <a:xfrm>
                      <a:off x="0" y="0"/>
                      <a:ext cx="7154545" cy="28575"/>
                    </a:xfrm>
                    <a:prstGeom prst="rect">
                      <a:avLst/>
                    </a:prstGeom>
                    <a:noFill/>
                  </pic:spPr>
                </pic:pic>
              </a:graphicData>
            </a:graphic>
          </wp:anchor>
        </w:drawing>
        <w:t>Exhibit 21.01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00" w:type="dxa"/>
            <w:vAlign w:val="bottom"/>
          </w:tcPr>
          <w:p>
            <w:pPr>
              <w:spacing w:after="0"/>
              <w:rPr>
                <w:sz w:val="16"/>
                <w:szCs w:val="16"/>
                <w:color w:val="auto"/>
              </w:rPr>
            </w:pPr>
          </w:p>
        </w:tc>
        <w:tc>
          <w:tcPr>
            <w:tcW w:w="7060" w:type="dxa"/>
            <w:vAlign w:val="bottom"/>
            <w:gridSpan w:val="3"/>
          </w:tcPr>
          <w:p>
            <w:pPr>
              <w:jc w:val="center"/>
              <w:ind w:right="4125"/>
              <w:spacing w:after="0"/>
              <w:rPr>
                <w:sz w:val="20"/>
                <w:szCs w:val="20"/>
                <w:color w:val="auto"/>
              </w:rPr>
            </w:pPr>
            <w:r>
              <w:rPr>
                <w:rFonts w:ascii="Arial" w:cs="Arial" w:eastAsia="Arial" w:hAnsi="Arial"/>
                <w:sz w:val="15"/>
                <w:szCs w:val="15"/>
                <w:b w:val="1"/>
                <w:bCs w:val="1"/>
                <w:color w:val="auto"/>
              </w:rPr>
              <w:t>ACM RESEARCH, INC.</w:t>
            </w:r>
          </w:p>
        </w:tc>
      </w:tr>
      <w:tr>
        <w:trPr>
          <w:trHeight w:val="362"/>
        </w:trPr>
        <w:tc>
          <w:tcPr>
            <w:tcW w:w="4200" w:type="dxa"/>
            <w:vAlign w:val="bottom"/>
          </w:tcPr>
          <w:p>
            <w:pPr>
              <w:spacing w:after="0"/>
              <w:rPr>
                <w:sz w:val="24"/>
                <w:szCs w:val="24"/>
                <w:color w:val="auto"/>
              </w:rPr>
            </w:pPr>
          </w:p>
        </w:tc>
        <w:tc>
          <w:tcPr>
            <w:tcW w:w="7060" w:type="dxa"/>
            <w:vAlign w:val="bottom"/>
            <w:gridSpan w:val="3"/>
          </w:tcPr>
          <w:p>
            <w:pPr>
              <w:jc w:val="center"/>
              <w:ind w:right="4125"/>
              <w:spacing w:after="0"/>
              <w:rPr>
                <w:sz w:val="20"/>
                <w:szCs w:val="20"/>
                <w:color w:val="auto"/>
              </w:rPr>
            </w:pPr>
            <w:r>
              <w:rPr>
                <w:rFonts w:ascii="Arial" w:cs="Arial" w:eastAsia="Arial" w:hAnsi="Arial"/>
                <w:sz w:val="15"/>
                <w:szCs w:val="15"/>
                <w:b w:val="1"/>
                <w:bCs w:val="1"/>
                <w:color w:val="auto"/>
              </w:rPr>
              <w:t>LIST OF SUBSIDIARIES</w:t>
            </w:r>
          </w:p>
        </w:tc>
      </w:tr>
      <w:tr>
        <w:trPr>
          <w:trHeight w:val="366"/>
        </w:trPr>
        <w:tc>
          <w:tcPr>
            <w:tcW w:w="4200" w:type="dxa"/>
            <w:vAlign w:val="bottom"/>
            <w:tcBorders>
              <w:bottom w:val="single" w:sz="8" w:color="auto"/>
            </w:tcBorders>
          </w:tcPr>
          <w:p>
            <w:pPr>
              <w:jc w:val="center"/>
              <w:ind w:left="685"/>
              <w:spacing w:after="0"/>
              <w:rPr>
                <w:sz w:val="20"/>
                <w:szCs w:val="20"/>
                <w:color w:val="auto"/>
              </w:rPr>
            </w:pPr>
            <w:r>
              <w:rPr>
                <w:rFonts w:ascii="Arial" w:cs="Arial" w:eastAsia="Arial" w:hAnsi="Arial"/>
                <w:sz w:val="15"/>
                <w:szCs w:val="15"/>
                <w:b w:val="1"/>
                <w:bCs w:val="1"/>
                <w:color w:val="auto"/>
                <w:w w:val="91"/>
              </w:rPr>
              <w:t>Name of Subsidiary</w:t>
            </w: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Jurisdiction of Incorporation or Organization</w:t>
            </w:r>
          </w:p>
        </w:tc>
      </w:tr>
      <w:tr>
        <w:trPr>
          <w:trHeight w:val="181"/>
        </w:trPr>
        <w:tc>
          <w:tcPr>
            <w:tcW w:w="4200" w:type="dxa"/>
            <w:vAlign w:val="bottom"/>
            <w:shd w:val="clear" w:color="auto" w:fill="CCEEFF"/>
          </w:tcPr>
          <w:p>
            <w:pPr>
              <w:jc w:val="center"/>
              <w:ind w:left="665"/>
              <w:spacing w:after="0"/>
              <w:rPr>
                <w:sz w:val="20"/>
                <w:szCs w:val="20"/>
                <w:color w:val="auto"/>
              </w:rPr>
            </w:pPr>
            <w:r>
              <w:rPr>
                <w:rFonts w:ascii="Arial" w:cs="Arial" w:eastAsia="Arial" w:hAnsi="Arial"/>
                <w:sz w:val="15"/>
                <w:szCs w:val="15"/>
                <w:color w:val="auto"/>
                <w:w w:val="91"/>
              </w:rPr>
              <w:t>ACM Research (Shanghai), Inc.</w:t>
            </w:r>
          </w:p>
        </w:tc>
        <w:tc>
          <w:tcPr>
            <w:tcW w:w="7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People’s Republic of China</w:t>
            </w:r>
          </w:p>
        </w:tc>
      </w:tr>
      <w:tr>
        <w:trPr>
          <w:trHeight w:val="181"/>
        </w:trPr>
        <w:tc>
          <w:tcPr>
            <w:tcW w:w="4200" w:type="dxa"/>
            <w:vAlign w:val="bottom"/>
          </w:tcPr>
          <w:p>
            <w:pPr>
              <w:jc w:val="center"/>
              <w:ind w:left="685"/>
              <w:spacing w:after="0"/>
              <w:rPr>
                <w:sz w:val="20"/>
                <w:szCs w:val="20"/>
                <w:color w:val="auto"/>
              </w:rPr>
            </w:pPr>
            <w:r>
              <w:rPr>
                <w:rFonts w:ascii="Arial" w:cs="Arial" w:eastAsia="Arial" w:hAnsi="Arial"/>
                <w:sz w:val="15"/>
                <w:szCs w:val="15"/>
                <w:color w:val="auto"/>
                <w:w w:val="92"/>
              </w:rPr>
              <w:t>CleanChip Technologies Limited</w:t>
            </w: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960" w:type="dxa"/>
            <w:vAlign w:val="bottom"/>
          </w:tcPr>
          <w:p>
            <w:pPr>
              <w:jc w:val="center"/>
              <w:spacing w:after="0"/>
              <w:rPr>
                <w:sz w:val="20"/>
                <w:szCs w:val="20"/>
                <w:color w:val="auto"/>
              </w:rPr>
            </w:pPr>
            <w:r>
              <w:rPr>
                <w:rFonts w:ascii="Arial" w:cs="Arial" w:eastAsia="Arial" w:hAnsi="Arial"/>
                <w:sz w:val="15"/>
                <w:szCs w:val="15"/>
                <w:color w:val="auto"/>
                <w:w w:val="95"/>
              </w:rPr>
              <w:t>Hong Kong</w:t>
            </w:r>
          </w:p>
        </w:tc>
      </w:tr>
      <w:tr>
        <w:trPr>
          <w:trHeight w:val="181"/>
        </w:trPr>
        <w:tc>
          <w:tcPr>
            <w:tcW w:w="4200" w:type="dxa"/>
            <w:vAlign w:val="bottom"/>
            <w:shd w:val="clear" w:color="auto" w:fill="CCEEFF"/>
          </w:tcPr>
          <w:p>
            <w:pPr>
              <w:jc w:val="center"/>
              <w:ind w:left="665"/>
              <w:spacing w:after="0"/>
              <w:rPr>
                <w:sz w:val="20"/>
                <w:szCs w:val="20"/>
                <w:color w:val="auto"/>
              </w:rPr>
            </w:pPr>
            <w:r>
              <w:rPr>
                <w:rFonts w:ascii="Arial" w:cs="Arial" w:eastAsia="Arial" w:hAnsi="Arial"/>
                <w:sz w:val="15"/>
                <w:szCs w:val="15"/>
                <w:color w:val="auto"/>
                <w:w w:val="93"/>
              </w:rPr>
              <w:t>ACM Research (Wuxi), Inc.</w:t>
            </w:r>
          </w:p>
        </w:tc>
        <w:tc>
          <w:tcPr>
            <w:tcW w:w="7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People’s Republic of China</w:t>
            </w:r>
          </w:p>
        </w:tc>
      </w:tr>
      <w:tr>
        <w:trPr>
          <w:trHeight w:val="181"/>
        </w:trPr>
        <w:tc>
          <w:tcPr>
            <w:tcW w:w="4200" w:type="dxa"/>
            <w:vAlign w:val="bottom"/>
          </w:tcPr>
          <w:p>
            <w:pPr>
              <w:jc w:val="center"/>
              <w:ind w:left="665"/>
              <w:spacing w:after="0"/>
              <w:rPr>
                <w:sz w:val="20"/>
                <w:szCs w:val="20"/>
                <w:color w:val="auto"/>
              </w:rPr>
            </w:pPr>
            <w:r>
              <w:rPr>
                <w:rFonts w:ascii="Arial" w:cs="Arial" w:eastAsia="Arial" w:hAnsi="Arial"/>
                <w:sz w:val="15"/>
                <w:szCs w:val="15"/>
                <w:color w:val="auto"/>
                <w:w w:val="92"/>
              </w:rPr>
              <w:t>ACM Research Korea CO., LTD.</w:t>
            </w: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960" w:type="dxa"/>
            <w:vAlign w:val="bottom"/>
          </w:tcPr>
          <w:p>
            <w:pPr>
              <w:jc w:val="center"/>
              <w:spacing w:after="0"/>
              <w:rPr>
                <w:sz w:val="20"/>
                <w:szCs w:val="20"/>
                <w:color w:val="auto"/>
              </w:rPr>
            </w:pPr>
            <w:r>
              <w:rPr>
                <w:rFonts w:ascii="Arial" w:cs="Arial" w:eastAsia="Arial" w:hAnsi="Arial"/>
                <w:sz w:val="15"/>
                <w:szCs w:val="15"/>
                <w:color w:val="auto"/>
                <w:w w:val="93"/>
              </w:rPr>
              <w:t>Republic of Korea</w:t>
            </w:r>
          </w:p>
        </w:tc>
      </w:tr>
      <w:tr>
        <w:trPr>
          <w:trHeight w:val="181"/>
        </w:trPr>
        <w:tc>
          <w:tcPr>
            <w:tcW w:w="4200" w:type="dxa"/>
            <w:vAlign w:val="bottom"/>
            <w:shd w:val="clear" w:color="auto" w:fill="CCEEFF"/>
          </w:tcPr>
          <w:p>
            <w:pPr>
              <w:jc w:val="center"/>
              <w:ind w:left="665"/>
              <w:spacing w:after="0"/>
              <w:rPr>
                <w:sz w:val="20"/>
                <w:szCs w:val="20"/>
                <w:color w:val="auto"/>
              </w:rPr>
            </w:pPr>
            <w:r>
              <w:rPr>
                <w:rFonts w:ascii="Arial" w:cs="Arial" w:eastAsia="Arial" w:hAnsi="Arial"/>
                <w:sz w:val="15"/>
                <w:szCs w:val="15"/>
                <w:color w:val="auto"/>
                <w:w w:val="89"/>
              </w:rPr>
              <w:t>Shengwei Research (Shanghai), Inc.</w:t>
            </w:r>
          </w:p>
        </w:tc>
        <w:tc>
          <w:tcPr>
            <w:tcW w:w="7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People’s Republic of China</w:t>
            </w:r>
          </w:p>
        </w:tc>
      </w:tr>
      <w:tr>
        <w:trPr>
          <w:trHeight w:val="181"/>
        </w:trPr>
        <w:tc>
          <w:tcPr>
            <w:tcW w:w="4200" w:type="dxa"/>
            <w:vAlign w:val="bottom"/>
          </w:tcPr>
          <w:p>
            <w:pPr>
              <w:jc w:val="center"/>
              <w:ind w:left="665"/>
              <w:spacing w:after="0"/>
              <w:rPr>
                <w:sz w:val="20"/>
                <w:szCs w:val="20"/>
                <w:color w:val="auto"/>
              </w:rPr>
            </w:pPr>
            <w:r>
              <w:rPr>
                <w:rFonts w:ascii="Arial" w:cs="Arial" w:eastAsia="Arial" w:hAnsi="Arial"/>
                <w:sz w:val="15"/>
                <w:szCs w:val="15"/>
                <w:color w:val="auto"/>
                <w:w w:val="91"/>
              </w:rPr>
              <w:t>ACM Research (Singapore) PTE, Ltd.</w:t>
            </w: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960" w:type="dxa"/>
            <w:vAlign w:val="bottom"/>
          </w:tcPr>
          <w:p>
            <w:pPr>
              <w:jc w:val="center"/>
              <w:spacing w:after="0"/>
              <w:rPr>
                <w:sz w:val="20"/>
                <w:szCs w:val="20"/>
                <w:color w:val="auto"/>
              </w:rPr>
            </w:pPr>
            <w:r>
              <w:rPr>
                <w:rFonts w:ascii="Arial" w:cs="Arial" w:eastAsia="Arial" w:hAnsi="Arial"/>
                <w:sz w:val="15"/>
                <w:szCs w:val="15"/>
                <w:color w:val="auto"/>
                <w:w w:val="87"/>
              </w:rPr>
              <w:t>Singapore</w:t>
            </w:r>
          </w:p>
        </w:tc>
      </w:tr>
      <w:tr>
        <w:trPr>
          <w:trHeight w:val="181"/>
        </w:trPr>
        <w:tc>
          <w:tcPr>
            <w:tcW w:w="4200" w:type="dxa"/>
            <w:vAlign w:val="bottom"/>
            <w:shd w:val="clear" w:color="auto" w:fill="CCEEFF"/>
          </w:tcPr>
          <w:p>
            <w:pPr>
              <w:jc w:val="center"/>
              <w:ind w:left="665"/>
              <w:spacing w:after="0"/>
              <w:rPr>
                <w:sz w:val="20"/>
                <w:szCs w:val="20"/>
                <w:color w:val="auto"/>
              </w:rPr>
            </w:pPr>
            <w:r>
              <w:rPr>
                <w:rFonts w:ascii="Arial" w:cs="Arial" w:eastAsia="Arial" w:hAnsi="Arial"/>
                <w:sz w:val="15"/>
                <w:szCs w:val="15"/>
                <w:color w:val="auto"/>
                <w:w w:val="93"/>
              </w:rPr>
              <w:t>ACM Research (CA), Inc.</w:t>
            </w:r>
          </w:p>
        </w:tc>
        <w:tc>
          <w:tcPr>
            <w:tcW w:w="7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9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United States of America</w:t>
            </w:r>
          </w:p>
        </w:tc>
      </w:tr>
      <w:tr>
        <w:trPr>
          <w:trHeight w:val="190"/>
        </w:trPr>
        <w:tc>
          <w:tcPr>
            <w:tcW w:w="4200" w:type="dxa"/>
            <w:vAlign w:val="bottom"/>
          </w:tcPr>
          <w:p>
            <w:pPr>
              <w:jc w:val="center"/>
              <w:ind w:left="685"/>
              <w:spacing w:after="0"/>
              <w:rPr>
                <w:sz w:val="20"/>
                <w:szCs w:val="20"/>
                <w:color w:val="auto"/>
              </w:rPr>
            </w:pPr>
            <w:r>
              <w:rPr>
                <w:rFonts w:ascii="Arial" w:cs="Arial" w:eastAsia="Arial" w:hAnsi="Arial"/>
                <w:sz w:val="15"/>
                <w:szCs w:val="15"/>
                <w:color w:val="auto"/>
                <w:w w:val="92"/>
              </w:rPr>
              <w:t>ACM Research (Cayman), Inc.</w:t>
            </w: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960" w:type="dxa"/>
            <w:vAlign w:val="bottom"/>
          </w:tcPr>
          <w:p>
            <w:pPr>
              <w:jc w:val="center"/>
              <w:spacing w:after="0"/>
              <w:rPr>
                <w:sz w:val="20"/>
                <w:szCs w:val="20"/>
                <w:color w:val="auto"/>
              </w:rPr>
            </w:pPr>
            <w:r>
              <w:rPr>
                <w:rFonts w:ascii="Arial" w:cs="Arial" w:eastAsia="Arial" w:hAnsi="Arial"/>
                <w:sz w:val="15"/>
                <w:szCs w:val="15"/>
                <w:color w:val="auto"/>
                <w:w w:val="89"/>
              </w:rPr>
              <w:t>Cayman Islands</w:t>
            </w:r>
          </w:p>
        </w:tc>
      </w:tr>
      <w:tr>
        <w:trPr>
          <w:trHeight w:val="468"/>
        </w:trPr>
        <w:tc>
          <w:tcPr>
            <w:tcW w:w="4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61"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28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5">
                      <a:extLst>
                        <a:ext uri="{28A0092B-C50C-407E-A947-70E740481C1C}"/>
                      </a:extLst>
                    </a:blip>
                    <a:srcRect/>
                    <a:stretch>
                      <a:fillRect/>
                    </a:stretch>
                  </pic:blipFill>
                  <pic:spPr bwMode="auto">
                    <a:xfrm>
                      <a:off x="0" y="0"/>
                      <a:ext cx="7154545" cy="28575"/>
                    </a:xfrm>
                    <a:prstGeom prst="rect">
                      <a:avLst/>
                    </a:prstGeom>
                    <a:noFill/>
                  </pic:spPr>
                </pic:pic>
              </a:graphicData>
            </a:graphic>
          </wp:anchor>
        </w:drawing>
        <w:t>Exhibit 23.01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141605</wp:posOffset>
            </wp:positionV>
            <wp:extent cx="4274185" cy="423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6">
                      <a:extLst>
                        <a:ext uri="{28A0092B-C50C-407E-A947-70E740481C1C}"/>
                      </a:extLst>
                    </a:blip>
                    <a:srcRect/>
                    <a:stretch>
                      <a:fillRect/>
                    </a:stretch>
                  </pic:blipFill>
                  <pic:spPr bwMode="auto">
                    <a:xfrm>
                      <a:off x="0" y="0"/>
                      <a:ext cx="4274185" cy="42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ACM Research, Inc.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Fremont, California 94539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United States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hereby consent to the incorporation by reference in the Registration Statements on Form S-8 (No. 333-222702, 333-232780 and 333-254150) of ACM Research, Inc. of our reports dated March 1, 2022, relating to the consolidated financial statements and the effectiveness of the Company’s internal control over financial reporting, which appear in this Form 10-K for the year ended December 31, 2021.</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BDO China Shu Lun Pan Certified Public Accountants LLP</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Shenzhen, The People’s Republic of China</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292100</wp:posOffset>
            </wp:positionV>
            <wp:extent cx="7154545"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60"/>
          </w:cols>
          <w:pgMar w:left="320" w:top="253" w:right="3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28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8">
                      <a:extLst>
                        <a:ext uri="{28A0092B-C50C-407E-A947-70E740481C1C}"/>
                      </a:extLst>
                    </a:blip>
                    <a:srcRect/>
                    <a:stretch>
                      <a:fillRect/>
                    </a:stretch>
                  </pic:blipFill>
                  <pic:spPr bwMode="auto">
                    <a:xfrm>
                      <a:off x="0" y="0"/>
                      <a:ext cx="7154545" cy="28575"/>
                    </a:xfrm>
                    <a:prstGeom prst="rect">
                      <a:avLst/>
                    </a:prstGeom>
                    <a:noFill/>
                  </pic:spPr>
                </pic:pic>
              </a:graphicData>
            </a:graphic>
          </wp:anchor>
        </w:drawing>
        <w:t>Exhibit 31.01</w:t>
      </w:r>
    </w:p>
    <w:p>
      <w:pPr>
        <w:spacing w:after="0" w:line="20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10"/>
        <w:spacing w:after="0"/>
        <w:rPr>
          <w:sz w:val="20"/>
          <w:szCs w:val="20"/>
          <w:color w:val="auto"/>
        </w:rPr>
      </w:pPr>
      <w:r>
        <w:rPr>
          <w:rFonts w:ascii="Arial" w:cs="Arial" w:eastAsia="Arial" w:hAnsi="Arial"/>
          <w:sz w:val="18"/>
          <w:szCs w:val="18"/>
          <w:color w:val="auto"/>
        </w:rPr>
        <w:t>I, David H. Wang, certify that:</w:t>
      </w:r>
    </w:p>
    <w:p>
      <w:pPr>
        <w:spacing w:after="0" w:line="200" w:lineRule="exact"/>
        <w:rPr>
          <w:sz w:val="20"/>
          <w:szCs w:val="20"/>
          <w:color w:val="auto"/>
        </w:rPr>
      </w:pPr>
    </w:p>
    <w:p>
      <w:pPr>
        <w:ind w:left="270" w:hanging="270"/>
        <w:spacing w:after="0"/>
        <w:tabs>
          <w:tab w:leader="none" w:pos="2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ACM Research, Inc.</w:t>
      </w:r>
    </w:p>
    <w:p>
      <w:pPr>
        <w:spacing w:after="0" w:line="200" w:lineRule="exact"/>
        <w:rPr>
          <w:rFonts w:ascii="Arial" w:cs="Arial" w:eastAsia="Arial" w:hAnsi="Arial"/>
          <w:sz w:val="18"/>
          <w:szCs w:val="18"/>
          <w:color w:val="auto"/>
        </w:rPr>
      </w:pPr>
    </w:p>
    <w:p>
      <w:pPr>
        <w:ind w:left="10" w:right="240" w:hanging="10"/>
        <w:spacing w:after="0" w:line="250" w:lineRule="auto"/>
        <w:tabs>
          <w:tab w:leader="none" w:pos="28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67" w:lineRule="exact"/>
        <w:rPr>
          <w:rFonts w:ascii="Arial" w:cs="Arial" w:eastAsia="Arial" w:hAnsi="Arial"/>
          <w:sz w:val="18"/>
          <w:szCs w:val="18"/>
          <w:color w:val="auto"/>
        </w:rPr>
      </w:pPr>
    </w:p>
    <w:p>
      <w:pPr>
        <w:ind w:left="10" w:right="440" w:hanging="10"/>
        <w:spacing w:after="0" w:line="264" w:lineRule="auto"/>
        <w:tabs>
          <w:tab w:leader="none" w:pos="28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10" w:right="20" w:hanging="10"/>
        <w:spacing w:after="0" w:line="250" w:lineRule="auto"/>
        <w:tabs>
          <w:tab w:leader="none" w:pos="28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left="10" w:right="100" w:hanging="10"/>
        <w:spacing w:after="0" w:line="250" w:lineRule="auto"/>
        <w:tabs>
          <w:tab w:leader="none" w:pos="3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8"/>
          <w:szCs w:val="18"/>
          <w:color w:val="auto"/>
        </w:rPr>
      </w:pPr>
    </w:p>
    <w:p>
      <w:pPr>
        <w:jc w:val="both"/>
        <w:ind w:left="10" w:right="20" w:hanging="10"/>
        <w:spacing w:after="0" w:line="250" w:lineRule="auto"/>
        <w:tabs>
          <w:tab w:leader="none" w:pos="3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8"/>
          <w:szCs w:val="18"/>
          <w:color w:val="auto"/>
        </w:rPr>
      </w:pPr>
    </w:p>
    <w:p>
      <w:pPr>
        <w:ind w:left="10" w:right="60" w:hanging="10"/>
        <w:spacing w:after="0" w:line="264" w:lineRule="auto"/>
        <w:tabs>
          <w:tab w:leader="none" w:pos="30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jc w:val="both"/>
        <w:ind w:left="10" w:right="280" w:hanging="10"/>
        <w:spacing w:after="0" w:line="250" w:lineRule="auto"/>
        <w:tabs>
          <w:tab w:leader="none" w:pos="3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68" w:lineRule="exact"/>
        <w:rPr>
          <w:sz w:val="20"/>
          <w:szCs w:val="20"/>
          <w:color w:val="auto"/>
        </w:rPr>
      </w:pPr>
    </w:p>
    <w:p>
      <w:pPr>
        <w:ind w:left="10" w:right="360" w:hanging="10"/>
        <w:spacing w:after="0" w:line="293" w:lineRule="auto"/>
        <w:tabs>
          <w:tab w:leader="none" w:pos="28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ind w:left="10" w:right="20" w:hanging="10"/>
        <w:spacing w:after="0" w:line="264" w:lineRule="auto"/>
        <w:tabs>
          <w:tab w:leader="none" w:pos="3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0" w:right="240" w:hanging="10"/>
        <w:spacing w:after="0" w:line="264" w:lineRule="auto"/>
        <w:tabs>
          <w:tab w:leader="none" w:pos="3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10"/>
        <w:spacing w:after="0"/>
        <w:tabs>
          <w:tab w:leader="none" w:pos="5609"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3"/>
          <w:szCs w:val="13"/>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12065</wp:posOffset>
            </wp:positionV>
            <wp:extent cx="3577590"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9">
                      <a:extLst>
                        <a:ext uri="{28A0092B-C50C-407E-A947-70E740481C1C}"/>
                      </a:extLst>
                    </a:blip>
                    <a:srcRect/>
                    <a:stretch>
                      <a:fillRect/>
                    </a:stretch>
                  </pic:blipFill>
                  <pic:spPr bwMode="auto">
                    <a:xfrm>
                      <a:off x="0" y="0"/>
                      <a:ext cx="3577590" cy="14605"/>
                    </a:xfrm>
                    <a:prstGeom prst="rect">
                      <a:avLst/>
                    </a:prstGeom>
                    <a:noFill/>
                  </pic:spPr>
                </pic:pic>
              </a:graphicData>
            </a:graphic>
          </wp:anchor>
        </w:drawing>
      </w:r>
    </w:p>
    <w:p>
      <w:pPr>
        <w:spacing w:after="0" w:line="11" w:lineRule="exact"/>
        <w:rPr>
          <w:sz w:val="20"/>
          <w:szCs w:val="20"/>
          <w:color w:val="auto"/>
        </w:rPr>
      </w:pPr>
    </w:p>
    <w:p>
      <w:pPr>
        <w:ind w:left="5630"/>
        <w:spacing w:after="0"/>
        <w:rPr>
          <w:sz w:val="20"/>
          <w:szCs w:val="20"/>
          <w:color w:val="auto"/>
        </w:rPr>
      </w:pPr>
      <w:r>
        <w:rPr>
          <w:rFonts w:ascii="Arial" w:cs="Arial" w:eastAsia="Arial" w:hAnsi="Arial"/>
          <w:sz w:val="15"/>
          <w:szCs w:val="15"/>
          <w:color w:val="auto"/>
        </w:rPr>
        <w:t>David H. Wang</w:t>
      </w:r>
    </w:p>
    <w:p>
      <w:pPr>
        <w:spacing w:after="0" w:line="18" w:lineRule="exact"/>
        <w:rPr>
          <w:sz w:val="20"/>
          <w:szCs w:val="20"/>
          <w:color w:val="auto"/>
        </w:rPr>
      </w:pPr>
    </w:p>
    <w:p>
      <w:pPr>
        <w:ind w:left="5630"/>
        <w:spacing w:after="0"/>
        <w:rPr>
          <w:sz w:val="20"/>
          <w:szCs w:val="20"/>
          <w:color w:val="auto"/>
        </w:rPr>
      </w:pPr>
      <w:r>
        <w:rPr>
          <w:rFonts w:ascii="Arial" w:cs="Arial" w:eastAsia="Arial" w:hAnsi="Arial"/>
          <w:sz w:val="15"/>
          <w:szCs w:val="15"/>
          <w:color w:val="auto"/>
        </w:rPr>
        <w:t>Chief Executive Officer and President</w:t>
      </w:r>
    </w:p>
    <w:p>
      <w:pPr>
        <w:spacing w:after="0" w:line="9" w:lineRule="exact"/>
        <w:rPr>
          <w:sz w:val="20"/>
          <w:szCs w:val="20"/>
          <w:color w:val="auto"/>
        </w:rPr>
      </w:pPr>
    </w:p>
    <w:p>
      <w:pPr>
        <w:ind w:left="5630"/>
        <w:spacing w:after="0"/>
        <w:rPr>
          <w:sz w:val="20"/>
          <w:szCs w:val="20"/>
          <w:color w:val="auto"/>
        </w:rPr>
      </w:pPr>
      <w:r>
        <w:rPr>
          <w:rFonts w:ascii="Arial" w:cs="Arial" w:eastAsia="Arial" w:hAnsi="Arial"/>
          <w:sz w:val="15"/>
          <w:szCs w:val="15"/>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154545"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0">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252"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28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1">
                      <a:extLst>
                        <a:ext uri="{28A0092B-C50C-407E-A947-70E740481C1C}"/>
                      </a:extLst>
                    </a:blip>
                    <a:srcRect/>
                    <a:stretch>
                      <a:fillRect/>
                    </a:stretch>
                  </pic:blipFill>
                  <pic:spPr bwMode="auto">
                    <a:xfrm>
                      <a:off x="0" y="0"/>
                      <a:ext cx="7154545" cy="28575"/>
                    </a:xfrm>
                    <a:prstGeom prst="rect">
                      <a:avLst/>
                    </a:prstGeom>
                    <a:noFill/>
                  </pic:spPr>
                </pic:pic>
              </a:graphicData>
            </a:graphic>
          </wp:anchor>
        </w:drawing>
        <w:t>Exhibit 31.02</w:t>
      </w:r>
    </w:p>
    <w:p>
      <w:pPr>
        <w:spacing w:after="0" w:line="20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10"/>
        <w:spacing w:after="0"/>
        <w:rPr>
          <w:sz w:val="20"/>
          <w:szCs w:val="20"/>
          <w:color w:val="auto"/>
        </w:rPr>
      </w:pPr>
      <w:r>
        <w:rPr>
          <w:rFonts w:ascii="Arial" w:cs="Arial" w:eastAsia="Arial" w:hAnsi="Arial"/>
          <w:sz w:val="18"/>
          <w:szCs w:val="18"/>
          <w:color w:val="auto"/>
        </w:rPr>
        <w:t>I, Mark A. McKechnie, certify that:</w:t>
      </w:r>
    </w:p>
    <w:p>
      <w:pPr>
        <w:spacing w:after="0" w:line="200" w:lineRule="exact"/>
        <w:rPr>
          <w:sz w:val="20"/>
          <w:szCs w:val="20"/>
          <w:color w:val="auto"/>
        </w:rPr>
      </w:pPr>
    </w:p>
    <w:p>
      <w:pPr>
        <w:ind w:left="270" w:hanging="270"/>
        <w:spacing w:after="0"/>
        <w:tabs>
          <w:tab w:leader="none" w:pos="27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ACM Research, Inc.</w:t>
      </w:r>
    </w:p>
    <w:p>
      <w:pPr>
        <w:spacing w:after="0" w:line="200" w:lineRule="exact"/>
        <w:rPr>
          <w:rFonts w:ascii="Arial" w:cs="Arial" w:eastAsia="Arial" w:hAnsi="Arial"/>
          <w:sz w:val="18"/>
          <w:szCs w:val="18"/>
          <w:color w:val="auto"/>
        </w:rPr>
      </w:pPr>
    </w:p>
    <w:p>
      <w:pPr>
        <w:ind w:left="10" w:right="240" w:hanging="10"/>
        <w:spacing w:after="0" w:line="250" w:lineRule="auto"/>
        <w:tabs>
          <w:tab w:leader="none" w:pos="2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67" w:lineRule="exact"/>
        <w:rPr>
          <w:rFonts w:ascii="Arial" w:cs="Arial" w:eastAsia="Arial" w:hAnsi="Arial"/>
          <w:sz w:val="18"/>
          <w:szCs w:val="18"/>
          <w:color w:val="auto"/>
        </w:rPr>
      </w:pPr>
    </w:p>
    <w:p>
      <w:pPr>
        <w:ind w:left="10" w:right="440" w:hanging="10"/>
        <w:spacing w:after="0" w:line="264" w:lineRule="auto"/>
        <w:tabs>
          <w:tab w:leader="none" w:pos="2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10" w:right="20" w:hanging="10"/>
        <w:spacing w:after="0" w:line="250" w:lineRule="auto"/>
        <w:tabs>
          <w:tab w:leader="none" w:pos="2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left="10" w:right="100" w:hanging="10"/>
        <w:spacing w:after="0" w:line="250" w:lineRule="auto"/>
        <w:tabs>
          <w:tab w:leader="none" w:pos="3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8"/>
          <w:szCs w:val="18"/>
          <w:color w:val="auto"/>
        </w:rPr>
      </w:pPr>
    </w:p>
    <w:p>
      <w:pPr>
        <w:jc w:val="both"/>
        <w:ind w:left="10" w:right="20" w:hanging="10"/>
        <w:spacing w:after="0" w:line="250" w:lineRule="auto"/>
        <w:tabs>
          <w:tab w:leader="none" w:pos="3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8"/>
          <w:szCs w:val="18"/>
          <w:color w:val="auto"/>
        </w:rPr>
      </w:pPr>
    </w:p>
    <w:p>
      <w:pPr>
        <w:ind w:left="10" w:right="60" w:hanging="10"/>
        <w:spacing w:after="0" w:line="264" w:lineRule="auto"/>
        <w:tabs>
          <w:tab w:leader="none" w:pos="3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left="10" w:right="280" w:hanging="10"/>
        <w:spacing w:after="0" w:line="250" w:lineRule="auto"/>
        <w:tabs>
          <w:tab w:leader="none" w:pos="3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68" w:lineRule="exact"/>
        <w:rPr>
          <w:sz w:val="20"/>
          <w:szCs w:val="20"/>
          <w:color w:val="auto"/>
        </w:rPr>
      </w:pPr>
    </w:p>
    <w:p>
      <w:pPr>
        <w:ind w:left="10" w:right="360" w:hanging="10"/>
        <w:spacing w:after="0" w:line="293" w:lineRule="auto"/>
        <w:tabs>
          <w:tab w:leader="none" w:pos="28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4" w:lineRule="exact"/>
        <w:rPr>
          <w:sz w:val="20"/>
          <w:szCs w:val="20"/>
          <w:color w:val="auto"/>
        </w:rPr>
      </w:pPr>
    </w:p>
    <w:p>
      <w:pPr>
        <w:ind w:left="10" w:right="20" w:hanging="10"/>
        <w:spacing w:after="0" w:line="264" w:lineRule="auto"/>
        <w:tabs>
          <w:tab w:leader="none" w:pos="30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0" w:right="240" w:hanging="10"/>
        <w:spacing w:after="0" w:line="264" w:lineRule="auto"/>
        <w:tabs>
          <w:tab w:leader="none" w:pos="3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10"/>
        <w:spacing w:after="0"/>
        <w:tabs>
          <w:tab w:leader="none" w:pos="5609"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4"/>
          <w:szCs w:val="14"/>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12065</wp:posOffset>
            </wp:positionV>
            <wp:extent cx="357759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2">
                      <a:extLst>
                        <a:ext uri="{28A0092B-C50C-407E-A947-70E740481C1C}"/>
                      </a:extLst>
                    </a:blip>
                    <a:srcRect/>
                    <a:stretch>
                      <a:fillRect/>
                    </a:stretch>
                  </pic:blipFill>
                  <pic:spPr bwMode="auto">
                    <a:xfrm>
                      <a:off x="0" y="0"/>
                      <a:ext cx="3577590" cy="14605"/>
                    </a:xfrm>
                    <a:prstGeom prst="rect">
                      <a:avLst/>
                    </a:prstGeom>
                    <a:noFill/>
                  </pic:spPr>
                </pic:pic>
              </a:graphicData>
            </a:graphic>
          </wp:anchor>
        </w:drawing>
      </w:r>
    </w:p>
    <w:p>
      <w:pPr>
        <w:spacing w:after="0" w:line="11" w:lineRule="exact"/>
        <w:rPr>
          <w:sz w:val="20"/>
          <w:szCs w:val="20"/>
          <w:color w:val="auto"/>
        </w:rPr>
      </w:pPr>
    </w:p>
    <w:p>
      <w:pPr>
        <w:ind w:left="5630"/>
        <w:spacing w:after="0"/>
        <w:rPr>
          <w:sz w:val="20"/>
          <w:szCs w:val="20"/>
          <w:color w:val="auto"/>
        </w:rPr>
      </w:pPr>
      <w:r>
        <w:rPr>
          <w:rFonts w:ascii="Arial" w:cs="Arial" w:eastAsia="Arial" w:hAnsi="Arial"/>
          <w:sz w:val="15"/>
          <w:szCs w:val="15"/>
          <w:color w:val="auto"/>
        </w:rPr>
        <w:t>Mark A. McKechnie</w:t>
      </w:r>
    </w:p>
    <w:p>
      <w:pPr>
        <w:spacing w:after="0" w:line="18" w:lineRule="exact"/>
        <w:rPr>
          <w:sz w:val="20"/>
          <w:szCs w:val="20"/>
          <w:color w:val="auto"/>
        </w:rPr>
      </w:pPr>
    </w:p>
    <w:p>
      <w:pPr>
        <w:ind w:left="5630"/>
        <w:spacing w:after="0"/>
        <w:rPr>
          <w:sz w:val="20"/>
          <w:szCs w:val="20"/>
          <w:color w:val="auto"/>
        </w:rPr>
      </w:pPr>
      <w:r>
        <w:rPr>
          <w:rFonts w:ascii="Arial" w:cs="Arial" w:eastAsia="Arial" w:hAnsi="Arial"/>
          <w:sz w:val="15"/>
          <w:szCs w:val="15"/>
          <w:color w:val="auto"/>
        </w:rPr>
        <w:t>Chief Financial Officer, Executive Vice President and Treasurer</w:t>
      </w:r>
    </w:p>
    <w:p>
      <w:pPr>
        <w:spacing w:after="0" w:line="9" w:lineRule="exact"/>
        <w:rPr>
          <w:sz w:val="20"/>
          <w:szCs w:val="20"/>
          <w:color w:val="auto"/>
        </w:rPr>
      </w:pPr>
    </w:p>
    <w:p>
      <w:pPr>
        <w:ind w:left="5630"/>
        <w:spacing w:after="0"/>
        <w:rPr>
          <w:sz w:val="20"/>
          <w:szCs w:val="20"/>
          <w:color w:val="auto"/>
        </w:rPr>
      </w:pPr>
      <w:r>
        <w:rPr>
          <w:rFonts w:ascii="Arial" w:cs="Arial" w:eastAsia="Arial" w:hAnsi="Arial"/>
          <w:sz w:val="15"/>
          <w:szCs w:val="15"/>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154545"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3">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p>
      <w:pPr>
        <w:sectPr>
          <w:pgSz w:w="11900" w:h="16838" w:orient="portrait"/>
          <w:cols w:equalWidth="0" w:num="1">
            <w:col w:w="11270"/>
          </w:cols>
          <w:pgMar w:left="310" w:top="252"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4545" cy="28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4">
                      <a:extLst>
                        <a:ext uri="{28A0092B-C50C-407E-A947-70E740481C1C}"/>
                      </a:extLst>
                    </a:blip>
                    <a:srcRect/>
                    <a:stretch>
                      <a:fillRect/>
                    </a:stretch>
                  </pic:blipFill>
                  <pic:spPr bwMode="auto">
                    <a:xfrm>
                      <a:off x="0" y="0"/>
                      <a:ext cx="7154545" cy="28575"/>
                    </a:xfrm>
                    <a:prstGeom prst="rect">
                      <a:avLst/>
                    </a:prstGeom>
                    <a:noFill/>
                  </pic:spPr>
                </pic:pic>
              </a:graphicData>
            </a:graphic>
          </wp:anchor>
        </w:drawing>
        <w:t>Exhibit 32.01</w:t>
      </w:r>
    </w:p>
    <w:p>
      <w:pPr>
        <w:spacing w:after="0" w:line="20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CERTIFICATION PURSUANT TO 18 U.S.C. 1350,</w:t>
      </w:r>
    </w:p>
    <w:p>
      <w:pPr>
        <w:spacing w:after="0" w:line="17"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10" w:right="360"/>
        <w:spacing w:after="0" w:line="250" w:lineRule="auto"/>
        <w:rPr>
          <w:sz w:val="20"/>
          <w:szCs w:val="20"/>
          <w:color w:val="auto"/>
        </w:rPr>
      </w:pPr>
      <w:r>
        <w:rPr>
          <w:rFonts w:ascii="Arial" w:cs="Arial" w:eastAsia="Arial" w:hAnsi="Arial"/>
          <w:sz w:val="18"/>
          <w:szCs w:val="18"/>
          <w:color w:val="auto"/>
        </w:rPr>
        <w:t>In connection with the Annual Report on Form 10-K of ACM Research, Inc. for the year ended December 31, 2021,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168" w:lineRule="exact"/>
        <w:rPr>
          <w:sz w:val="20"/>
          <w:szCs w:val="20"/>
          <w:color w:val="auto"/>
        </w:rPr>
      </w:pPr>
    </w:p>
    <w:p>
      <w:pPr>
        <w:ind w:left="270" w:hanging="270"/>
        <w:spacing w:after="0"/>
        <w:tabs>
          <w:tab w:leader="none" w:pos="2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ind w:left="10" w:right="60" w:hanging="10"/>
        <w:spacing w:after="0" w:line="264" w:lineRule="auto"/>
        <w:tabs>
          <w:tab w:leader="none" w:pos="28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ACM Research, Inc. for the period presented therein.</w:t>
      </w:r>
    </w:p>
    <w:p>
      <w:pPr>
        <w:spacing w:after="0" w:line="164" w:lineRule="exact"/>
        <w:rPr>
          <w:sz w:val="20"/>
          <w:szCs w:val="20"/>
          <w:color w:val="auto"/>
        </w:rPr>
      </w:pPr>
    </w:p>
    <w:p>
      <w:pPr>
        <w:ind w:left="10"/>
        <w:spacing w:after="0"/>
        <w:tabs>
          <w:tab w:leader="none" w:pos="5609"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3"/>
          <w:szCs w:val="13"/>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12065</wp:posOffset>
            </wp:positionV>
            <wp:extent cx="3577590"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5">
                      <a:extLst>
                        <a:ext uri="{28A0092B-C50C-407E-A947-70E740481C1C}"/>
                      </a:extLst>
                    </a:blip>
                    <a:srcRect/>
                    <a:stretch>
                      <a:fillRect/>
                    </a:stretch>
                  </pic:blipFill>
                  <pic:spPr bwMode="auto">
                    <a:xfrm>
                      <a:off x="0" y="0"/>
                      <a:ext cx="3577590" cy="14605"/>
                    </a:xfrm>
                    <a:prstGeom prst="rect">
                      <a:avLst/>
                    </a:prstGeom>
                    <a:noFill/>
                  </pic:spPr>
                </pic:pic>
              </a:graphicData>
            </a:graphic>
          </wp:anchor>
        </w:drawing>
      </w:r>
    </w:p>
    <w:p>
      <w:pPr>
        <w:spacing w:after="0" w:line="11" w:lineRule="exact"/>
        <w:rPr>
          <w:sz w:val="20"/>
          <w:szCs w:val="20"/>
          <w:color w:val="auto"/>
        </w:rPr>
      </w:pPr>
    </w:p>
    <w:p>
      <w:pPr>
        <w:ind w:left="5630"/>
        <w:spacing w:after="0"/>
        <w:rPr>
          <w:sz w:val="20"/>
          <w:szCs w:val="20"/>
          <w:color w:val="auto"/>
        </w:rPr>
      </w:pPr>
      <w:r>
        <w:rPr>
          <w:rFonts w:ascii="Arial" w:cs="Arial" w:eastAsia="Arial" w:hAnsi="Arial"/>
          <w:sz w:val="15"/>
          <w:szCs w:val="15"/>
          <w:color w:val="auto"/>
        </w:rPr>
        <w:t>David H. Wang</w:t>
      </w:r>
    </w:p>
    <w:p>
      <w:pPr>
        <w:spacing w:after="0" w:line="18" w:lineRule="exact"/>
        <w:rPr>
          <w:sz w:val="20"/>
          <w:szCs w:val="20"/>
          <w:color w:val="auto"/>
        </w:rPr>
      </w:pPr>
    </w:p>
    <w:p>
      <w:pPr>
        <w:ind w:left="5630"/>
        <w:spacing w:after="0"/>
        <w:rPr>
          <w:sz w:val="20"/>
          <w:szCs w:val="20"/>
          <w:color w:val="auto"/>
        </w:rPr>
      </w:pPr>
      <w:r>
        <w:rPr>
          <w:rFonts w:ascii="Arial" w:cs="Arial" w:eastAsia="Arial" w:hAnsi="Arial"/>
          <w:sz w:val="15"/>
          <w:szCs w:val="15"/>
          <w:color w:val="auto"/>
        </w:rPr>
        <w:t>Chief Executive Officer and President</w:t>
      </w:r>
    </w:p>
    <w:p>
      <w:pPr>
        <w:spacing w:after="0" w:line="9" w:lineRule="exact"/>
        <w:rPr>
          <w:sz w:val="20"/>
          <w:szCs w:val="20"/>
          <w:color w:val="auto"/>
        </w:rPr>
      </w:pPr>
    </w:p>
    <w:p>
      <w:pPr>
        <w:ind w:left="5630"/>
        <w:spacing w:after="0"/>
        <w:rPr>
          <w:sz w:val="20"/>
          <w:szCs w:val="20"/>
          <w:color w:val="auto"/>
        </w:rPr>
      </w:pPr>
      <w:r>
        <w:rPr>
          <w:rFonts w:ascii="Arial" w:cs="Arial" w:eastAsia="Arial" w:hAnsi="Arial"/>
          <w:sz w:val="15"/>
          <w:szCs w:val="15"/>
          <w:i w:val="1"/>
          <w:iCs w:val="1"/>
          <w:color w:val="auto"/>
        </w:rPr>
        <w:t>(Principal Executive Officer)</w:t>
      </w:r>
    </w:p>
    <w:p>
      <w:pPr>
        <w:spacing w:after="0" w:line="203" w:lineRule="exact"/>
        <w:rPr>
          <w:sz w:val="20"/>
          <w:szCs w:val="20"/>
          <w:color w:val="auto"/>
        </w:rPr>
      </w:pPr>
    </w:p>
    <w:p>
      <w:pPr>
        <w:ind w:left="10"/>
        <w:spacing w:after="0"/>
        <w:tabs>
          <w:tab w:leader="none" w:pos="5609"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4"/>
          <w:szCs w:val="14"/>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12065</wp:posOffset>
            </wp:positionV>
            <wp:extent cx="3577590"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6">
                      <a:extLst>
                        <a:ext uri="{28A0092B-C50C-407E-A947-70E740481C1C}"/>
                      </a:extLst>
                    </a:blip>
                    <a:srcRect/>
                    <a:stretch>
                      <a:fillRect/>
                    </a:stretch>
                  </pic:blipFill>
                  <pic:spPr bwMode="auto">
                    <a:xfrm>
                      <a:off x="0" y="0"/>
                      <a:ext cx="3577590" cy="14605"/>
                    </a:xfrm>
                    <a:prstGeom prst="rect">
                      <a:avLst/>
                    </a:prstGeom>
                    <a:noFill/>
                  </pic:spPr>
                </pic:pic>
              </a:graphicData>
            </a:graphic>
          </wp:anchor>
        </w:drawing>
      </w:r>
    </w:p>
    <w:p>
      <w:pPr>
        <w:spacing w:after="0" w:line="11" w:lineRule="exact"/>
        <w:rPr>
          <w:sz w:val="20"/>
          <w:szCs w:val="20"/>
          <w:color w:val="auto"/>
        </w:rPr>
      </w:pPr>
    </w:p>
    <w:p>
      <w:pPr>
        <w:ind w:left="5630"/>
        <w:spacing w:after="0"/>
        <w:rPr>
          <w:sz w:val="20"/>
          <w:szCs w:val="20"/>
          <w:color w:val="auto"/>
        </w:rPr>
      </w:pPr>
      <w:r>
        <w:rPr>
          <w:rFonts w:ascii="Arial" w:cs="Arial" w:eastAsia="Arial" w:hAnsi="Arial"/>
          <w:sz w:val="15"/>
          <w:szCs w:val="15"/>
          <w:color w:val="auto"/>
        </w:rPr>
        <w:t>Mark A. McKechnie</w:t>
      </w:r>
    </w:p>
    <w:p>
      <w:pPr>
        <w:spacing w:after="0" w:line="18" w:lineRule="exact"/>
        <w:rPr>
          <w:sz w:val="20"/>
          <w:szCs w:val="20"/>
          <w:color w:val="auto"/>
        </w:rPr>
      </w:pPr>
    </w:p>
    <w:p>
      <w:pPr>
        <w:ind w:left="5630"/>
        <w:spacing w:after="0"/>
        <w:rPr>
          <w:sz w:val="20"/>
          <w:szCs w:val="20"/>
          <w:color w:val="auto"/>
        </w:rPr>
      </w:pPr>
      <w:r>
        <w:rPr>
          <w:rFonts w:ascii="Arial" w:cs="Arial" w:eastAsia="Arial" w:hAnsi="Arial"/>
          <w:sz w:val="15"/>
          <w:szCs w:val="15"/>
          <w:color w:val="auto"/>
        </w:rPr>
        <w:t>Chief Financial Officer, Executive Vice President and Treasurer</w:t>
      </w:r>
    </w:p>
    <w:p>
      <w:pPr>
        <w:spacing w:after="0" w:line="9" w:lineRule="exact"/>
        <w:rPr>
          <w:sz w:val="20"/>
          <w:szCs w:val="20"/>
          <w:color w:val="auto"/>
        </w:rPr>
      </w:pPr>
    </w:p>
    <w:p>
      <w:pPr>
        <w:ind w:left="5630"/>
        <w:spacing w:after="0"/>
        <w:rPr>
          <w:sz w:val="20"/>
          <w:szCs w:val="20"/>
          <w:color w:val="auto"/>
        </w:rPr>
      </w:pPr>
      <w:r>
        <w:rPr>
          <w:rFonts w:ascii="Arial" w:cs="Arial" w:eastAsia="Arial" w:hAnsi="Arial"/>
          <w:sz w:val="15"/>
          <w:szCs w:val="15"/>
          <w:i w:val="1"/>
          <w:iCs w:val="1"/>
          <w:color w:val="auto"/>
        </w:rPr>
        <w:t>(Principal Financial Officer)</w:t>
      </w:r>
    </w:p>
    <w:p>
      <w:pPr>
        <w:spacing w:after="0" w:line="194" w:lineRule="exact"/>
        <w:rPr>
          <w:sz w:val="20"/>
          <w:szCs w:val="20"/>
          <w:color w:val="auto"/>
        </w:rPr>
      </w:pPr>
    </w:p>
    <w:p>
      <w:pPr>
        <w:ind w:left="10" w:right="320"/>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7154545"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7">
                      <a:extLst>
                        <a:ext uri="{28A0092B-C50C-407E-A947-70E740481C1C}"/>
                      </a:extLst>
                    </a:blip>
                    <a:srcRect/>
                    <a:stretch>
                      <a:fillRect/>
                    </a:stretch>
                  </pic:blipFill>
                  <pic:spPr bwMode="auto">
                    <a:xfrm>
                      <a:off x="0" y="0"/>
                      <a:ext cx="7154545" cy="14605"/>
                    </a:xfrm>
                    <a:prstGeom prst="rect">
                      <a:avLst/>
                    </a:prstGeom>
                    <a:noFill/>
                  </pic:spPr>
                </pic:pic>
              </a:graphicData>
            </a:graphic>
          </wp:anchor>
        </w:drawing>
      </w:r>
    </w:p>
    <w:sectPr>
      <w:pgSz w:w="11900" w:h="16838" w:orient="portrait"/>
      <w:cols w:equalWidth="0" w:num="1">
        <w:col w:w="11270"/>
      </w:cols>
      <w:pgMar w:left="310" w:top="25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1)"/>
      <w:numFmt w:val="lowerLetter"/>
      <w:start w:val="3"/>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1."/>
      <w:numFmt w:val="decimal"/>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1)"/>
      <w:numFmt w:val="lowerLetter"/>
      <w:start w:val="1"/>
    </w:lvl>
  </w:abstractNum>
  <w:abstractNum w:abstractNumId="78">
    <w:nsid w:val="26F324BA"/>
    <w:multiLevelType w:val="hybridMultilevel"/>
    <w:lvl w:ilvl="0">
      <w:lvlJc w:val="left"/>
      <w:lvlText w:val="(%1)"/>
      <w:numFmt w:val="decimal"/>
      <w:start w:val="1"/>
    </w:lvl>
  </w:abstractNum>
  <w:abstractNum w:abstractNumId="79">
    <w:nsid w:val="7F01579B"/>
    <w:multiLevelType w:val="hybridMultilevel"/>
    <w:lvl w:ilvl="0">
      <w:lvlJc w:val="left"/>
      <w:lvlText w:val="(%1)"/>
      <w:numFmt w:val="decimal"/>
      <w:start w:val="1"/>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1)"/>
      <w:numFmt w:val="lowerLetter"/>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1"/>
      <w:numFmt w:val="bullet"/>
      <w:start w:val="1"/>
    </w:lvl>
  </w:abstractNum>
  <w:abstractNum w:abstractNumId="90">
    <w:nsid w:val="7D5E18F8"/>
    <w:multiLevelType w:val="hybridMultilevel"/>
    <w:lvl w:ilvl="0">
      <w:lvlJc w:val="left"/>
      <w:lvlText w:val="2"/>
      <w:numFmt w:val="bullet"/>
      <w:start w:val="1"/>
    </w:lvl>
  </w:abstractNum>
  <w:abstractNum w:abstractNumId="91">
    <w:nsid w:val="5F3534A4"/>
    <w:multiLevelType w:val="hybridMultilevel"/>
    <w:lvl w:ilvl="0">
      <w:lvlJc w:val="left"/>
      <w:lvlText w:val="3"/>
      <w:numFmt w:val="bullet"/>
      <w:start w:val="1"/>
    </w:lvl>
  </w:abstractNum>
  <w:abstractNum w:abstractNumId="92">
    <w:nsid w:val="73A1821B"/>
    <w:multiLevelType w:val="hybridMultilevel"/>
    <w:lvl w:ilvl="0">
      <w:lvlJc w:val="left"/>
      <w:lvlText w:val="4"/>
      <w:numFmt w:val="bullet"/>
      <w:start w:val="1"/>
    </w:lvl>
  </w:abstractNum>
  <w:abstractNum w:abstractNumId="93">
    <w:nsid w:val="7DE67713"/>
    <w:multiLevelType w:val="hybridMultilevel"/>
    <w:lvl w:ilvl="0">
      <w:lvlJc w:val="left"/>
      <w:lvlText w:val="5"/>
      <w:numFmt w:val="bullet"/>
      <w:start w:val="1"/>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6"/>
      <w:numFmt w:val="bullet"/>
      <w:start w:val="1"/>
    </w:lvl>
  </w:abstractNum>
  <w:abstractNum w:abstractNumId="96">
    <w:nsid w:val="14FCE74E"/>
    <w:multiLevelType w:val="hybridMultilevel"/>
    <w:lvl w:ilvl="0">
      <w:lvlJc w:val="left"/>
      <w:lvlText w:val="7"/>
      <w:numFmt w:val="bullet"/>
      <w:start w:val="1"/>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8"/>
      <w:numFmt w:val="bullet"/>
      <w:start w:val="1"/>
    </w:lvl>
  </w:abstractNum>
  <w:abstractNum w:abstractNumId="99">
    <w:nsid w:val="9DAF632"/>
    <w:multiLevelType w:val="hybridMultilevel"/>
    <w:lvl w:ilvl="0">
      <w:lvlJc w:val="left"/>
      <w:lvlText w:val="9"/>
      <w:numFmt w:val="bullet"/>
      <w:start w:val="1"/>
    </w:lvl>
  </w:abstractNum>
  <w:abstractNum w:abstractNumId="100">
    <w:nsid w:val="53299938"/>
    <w:multiLevelType w:val="hybridMultilevel"/>
    <w:lvl w:ilvl="0">
      <w:lvlJc w:val="left"/>
      <w:lvlText w:val="%1."/>
      <w:numFmt w:val="decimal"/>
      <w:start w:val="1"/>
    </w:lvl>
  </w:abstractNum>
  <w:abstractNum w:abstractNumId="101">
    <w:nsid w:val="1FBFE8E0"/>
    <w:multiLevelType w:val="hybridMultilevel"/>
    <w:lvl w:ilvl="0">
      <w:lvlJc w:val="left"/>
      <w:lvlText w:val="(%1)"/>
      <w:numFmt w:val="lowerLetter"/>
      <w:start w:val="1"/>
    </w:lvl>
  </w:abstractNum>
  <w:abstractNum w:abstractNumId="102">
    <w:nsid w:val="5092CA79"/>
    <w:multiLevelType w:val="hybridMultilevel"/>
    <w:lvl w:ilvl="0">
      <w:lvlJc w:val="left"/>
      <w:lvlText w:val="(%1)"/>
      <w:numFmt w:val="lowerLetter"/>
      <w:start w:val="5"/>
    </w:lvl>
  </w:abstractNum>
  <w:abstractNum w:abstractNumId="103">
    <w:nsid w:val="1D545C4D"/>
    <w:multiLevelType w:val="hybridMultilevel"/>
    <w:lvl w:ilvl="0">
      <w:lvlJc w:val="left"/>
      <w:lvlText w:val="%1."/>
      <w:numFmt w:val="decimal"/>
      <w:start w:val="5"/>
    </w:lvl>
  </w:abstractNum>
  <w:abstractNum w:abstractNumId="104">
    <w:nsid w:val="59ADEA3D"/>
    <w:multiLevelType w:val="hybridMultilevel"/>
    <w:lvl w:ilvl="0">
      <w:lvlJc w:val="left"/>
      <w:lvlText w:val="(%1)"/>
      <w:numFmt w:val="lowerLetter"/>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lowerLetter"/>
      <w:start w:val="1"/>
    </w:lvl>
  </w:abstractNum>
  <w:abstractNum w:abstractNumId="107">
    <w:nsid w:val="1D9F6E5F"/>
    <w:multiLevelType w:val="hybridMultilevel"/>
    <w:lvl w:ilvl="0">
      <w:lvlJc w:val="left"/>
      <w:lvlText w:val="%1."/>
      <w:numFmt w:val="decimal"/>
      <w:start w:val="5"/>
    </w:lvl>
  </w:abstractNum>
  <w:abstractNum w:abstractNumId="108">
    <w:nsid w:val="97E1B4E"/>
    <w:multiLevelType w:val="hybridMultilevel"/>
    <w:lvl w:ilvl="0">
      <w:lvlJc w:val="left"/>
      <w:lvlText w:val="(%1)"/>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204" Type="http://schemas.openxmlformats.org/officeDocument/2006/relationships/image" Target="media/image134.png"/><Relationship Id="rId205" Type="http://schemas.openxmlformats.org/officeDocument/2006/relationships/image" Target="media/image135.png"/><Relationship Id="rId206" Type="http://schemas.openxmlformats.org/officeDocument/2006/relationships/image" Target="media/image136.png"/><Relationship Id="rId207" Type="http://schemas.openxmlformats.org/officeDocument/2006/relationships/image" Target="media/image137.png"/><Relationship Id="rId208" Type="http://schemas.openxmlformats.org/officeDocument/2006/relationships/image" Target="media/image138.png"/><Relationship Id="rId209" Type="http://schemas.openxmlformats.org/officeDocument/2006/relationships/image" Target="media/image139.png"/><Relationship Id="rId210" Type="http://schemas.openxmlformats.org/officeDocument/2006/relationships/image" Target="media/image140.png"/><Relationship Id="rId211" Type="http://schemas.openxmlformats.org/officeDocument/2006/relationships/image" Target="media/image141.png"/><Relationship Id="rId212" Type="http://schemas.openxmlformats.org/officeDocument/2006/relationships/image" Target="media/image142.png"/><Relationship Id="rId213" Type="http://schemas.openxmlformats.org/officeDocument/2006/relationships/image" Target="media/image143.png"/><Relationship Id="rId214" Type="http://schemas.openxmlformats.org/officeDocument/2006/relationships/image" Target="media/image144.png"/><Relationship Id="rId215" Type="http://schemas.openxmlformats.org/officeDocument/2006/relationships/image" Target="media/image145.png"/><Relationship Id="rId216" Type="http://schemas.openxmlformats.org/officeDocument/2006/relationships/image" Target="media/image146.png"/><Relationship Id="rId217" Type="http://schemas.openxmlformats.org/officeDocument/2006/relationships/image" Target="media/image147.png"/><Relationship Id="rId218" Type="http://schemas.openxmlformats.org/officeDocument/2006/relationships/image" Target="media/image148.png"/><Relationship Id="rId219" Type="http://schemas.openxmlformats.org/officeDocument/2006/relationships/image" Target="media/image149.png"/><Relationship Id="rId220" Type="http://schemas.openxmlformats.org/officeDocument/2006/relationships/image" Target="media/image150.png"/><Relationship Id="rId221" Type="http://schemas.openxmlformats.org/officeDocument/2006/relationships/image" Target="media/image151.png"/><Relationship Id="rId222" Type="http://schemas.openxmlformats.org/officeDocument/2006/relationships/image" Target="media/image152.png"/><Relationship Id="rId223" Type="http://schemas.openxmlformats.org/officeDocument/2006/relationships/image" Target="media/image153.png"/><Relationship Id="rId224" Type="http://schemas.openxmlformats.org/officeDocument/2006/relationships/image" Target="media/image154.png"/><Relationship Id="rId225" Type="http://schemas.openxmlformats.org/officeDocument/2006/relationships/image" Target="media/image155.png"/><Relationship Id="rId226" Type="http://schemas.openxmlformats.org/officeDocument/2006/relationships/image" Target="media/image156.jpeg"/><Relationship Id="rId227" Type="http://schemas.openxmlformats.org/officeDocument/2006/relationships/image" Target="media/image157.png"/><Relationship Id="rId228" Type="http://schemas.openxmlformats.org/officeDocument/2006/relationships/image" Target="media/image158.jpeg"/><Relationship Id="rId229" Type="http://schemas.openxmlformats.org/officeDocument/2006/relationships/image" Target="media/image159.png"/><Relationship Id="rId230" Type="http://schemas.openxmlformats.org/officeDocument/2006/relationships/image" Target="media/image160.jpeg"/><Relationship Id="rId231" Type="http://schemas.openxmlformats.org/officeDocument/2006/relationships/image" Target="media/image161.png"/><Relationship Id="rId232" Type="http://schemas.openxmlformats.org/officeDocument/2006/relationships/image" Target="media/image162.jpeg"/><Relationship Id="rId233" Type="http://schemas.openxmlformats.org/officeDocument/2006/relationships/image" Target="media/image163.png"/><Relationship Id="rId234" Type="http://schemas.openxmlformats.org/officeDocument/2006/relationships/image" Target="media/image164.jpeg"/><Relationship Id="rId235" Type="http://schemas.openxmlformats.org/officeDocument/2006/relationships/image" Target="media/image165.png"/><Relationship Id="rId236" Type="http://schemas.openxmlformats.org/officeDocument/2006/relationships/image" Target="media/image166.jpeg"/><Relationship Id="rId237" Type="http://schemas.openxmlformats.org/officeDocument/2006/relationships/image" Target="media/image167.png"/><Relationship Id="rId238" Type="http://schemas.openxmlformats.org/officeDocument/2006/relationships/image" Target="media/image168.jpeg"/><Relationship Id="rId239" Type="http://schemas.openxmlformats.org/officeDocument/2006/relationships/image" Target="media/image169.png"/><Relationship Id="rId240" Type="http://schemas.openxmlformats.org/officeDocument/2006/relationships/image" Target="media/image170.jpeg"/><Relationship Id="rId241" Type="http://schemas.openxmlformats.org/officeDocument/2006/relationships/image" Target="media/image171.png"/><Relationship Id="rId242" Type="http://schemas.openxmlformats.org/officeDocument/2006/relationships/image" Target="media/image172.jpeg"/><Relationship Id="rId243" Type="http://schemas.openxmlformats.org/officeDocument/2006/relationships/image" Target="media/image173.png"/><Relationship Id="rId244" Type="http://schemas.openxmlformats.org/officeDocument/2006/relationships/image" Target="media/image174.jpeg"/><Relationship Id="rId245" Type="http://schemas.openxmlformats.org/officeDocument/2006/relationships/image" Target="media/image175.png"/><Relationship Id="rId246" Type="http://schemas.openxmlformats.org/officeDocument/2006/relationships/image" Target="media/image176.jpeg"/><Relationship Id="rId247" Type="http://schemas.openxmlformats.org/officeDocument/2006/relationships/image" Target="media/image177.png"/><Relationship Id="rId248" Type="http://schemas.openxmlformats.org/officeDocument/2006/relationships/image" Target="media/image178.jpeg"/><Relationship Id="rId249" Type="http://schemas.openxmlformats.org/officeDocument/2006/relationships/image" Target="media/image179.png"/><Relationship Id="rId250" Type="http://schemas.openxmlformats.org/officeDocument/2006/relationships/image" Target="media/image180.jpeg"/><Relationship Id="rId251" Type="http://schemas.openxmlformats.org/officeDocument/2006/relationships/image" Target="media/image181.png"/><Relationship Id="rId252" Type="http://schemas.openxmlformats.org/officeDocument/2006/relationships/image" Target="media/image182.jpeg"/><Relationship Id="rId253" Type="http://schemas.openxmlformats.org/officeDocument/2006/relationships/image" Target="media/image183.png"/><Relationship Id="rId254" Type="http://schemas.openxmlformats.org/officeDocument/2006/relationships/image" Target="media/image184.png"/><Relationship Id="rId255" Type="http://schemas.openxmlformats.org/officeDocument/2006/relationships/image" Target="media/image185.png"/><Relationship Id="rId256" Type="http://schemas.openxmlformats.org/officeDocument/2006/relationships/image" Target="media/image186.jpeg"/><Relationship Id="rId257" Type="http://schemas.openxmlformats.org/officeDocument/2006/relationships/image" Target="media/image187.png"/><Relationship Id="rId258" Type="http://schemas.openxmlformats.org/officeDocument/2006/relationships/image" Target="media/image188.png"/><Relationship Id="rId259" Type="http://schemas.openxmlformats.org/officeDocument/2006/relationships/image" Target="media/image189.png"/><Relationship Id="rId260" Type="http://schemas.openxmlformats.org/officeDocument/2006/relationships/image" Target="media/image190.png"/><Relationship Id="rId261" Type="http://schemas.openxmlformats.org/officeDocument/2006/relationships/image" Target="media/image191.png"/><Relationship Id="rId262" Type="http://schemas.openxmlformats.org/officeDocument/2006/relationships/image" Target="media/image192.png"/><Relationship Id="rId263" Type="http://schemas.openxmlformats.org/officeDocument/2006/relationships/image" Target="media/image193.png"/><Relationship Id="rId264" Type="http://schemas.openxmlformats.org/officeDocument/2006/relationships/image" Target="media/image194.png"/><Relationship Id="rId265" Type="http://schemas.openxmlformats.org/officeDocument/2006/relationships/image" Target="media/image195.png"/><Relationship Id="rId266" Type="http://schemas.openxmlformats.org/officeDocument/2006/relationships/image" Target="media/image196.png"/><Relationship Id="rId267" Type="http://schemas.openxmlformats.org/officeDocument/2006/relationships/image" Target="media/image197.png"/><Relationship Id="rId141" Type="http://schemas.openxmlformats.org/officeDocument/2006/relationships/hyperlink" Target="https://www.sec.gov/Archives/edgar/data/1680062/000119312517342650/d407541dex301.htm" TargetMode="External"/><Relationship Id="rId142" Type="http://schemas.openxmlformats.org/officeDocument/2006/relationships/hyperlink" Target="https://www.sec.gov/Archives/edgar/data/0001680062/000114036121024240/brhc10026736_ex3-01.htm" TargetMode="External"/><Relationship Id="rId143" Type="http://schemas.openxmlformats.org/officeDocument/2006/relationships/hyperlink" Target="https://www.sec.gov/Archives/edgar/data/1680062/000119312517342650/d407541dex302.htm" TargetMode="External"/><Relationship Id="rId144" Type="http://schemas.openxmlformats.org/officeDocument/2006/relationships/hyperlink" Target="https://www.sec.gov/Archives/edgar/data/1680062/000165495418005164/acm_ex10-03.htm" TargetMode="External"/><Relationship Id="rId145" Type="http://schemas.openxmlformats.org/officeDocument/2006/relationships/hyperlink" Target="https://www.sec.gov/Archives/edgar/data/1680062/000165495418005164/acm_ex10-04.htm" TargetMode="External"/><Relationship Id="rId146" Type="http://schemas.openxmlformats.org/officeDocument/2006/relationships/hyperlink" Target="https://www.sec.gov/Archives/edgar/data/1680062/000165495418005164/acm_ex10-02.htm" TargetMode="External"/><Relationship Id="rId147" Type="http://schemas.openxmlformats.org/officeDocument/2006/relationships/hyperlink" Target="https://www.sec.gov/Archives/edgar/data/1680062/000114036120017994/brhc10014158_ex4-01.htm" TargetMode="External"/><Relationship Id="rId148" Type="http://schemas.openxmlformats.org/officeDocument/2006/relationships/hyperlink" Target="https://www.sec.gov/Archives/edgar/data/1680062/000119312517283955/d311227dex1001.htm" TargetMode="External"/><Relationship Id="rId149" Type="http://schemas.openxmlformats.org/officeDocument/2006/relationships/hyperlink" Target="https://www.sec.gov/Archives/edgar/data/1680062/000165495418011153/acmr_ex1006.htm" TargetMode="External"/><Relationship Id="rId150" Type="http://schemas.openxmlformats.org/officeDocument/2006/relationships/hyperlink" Target="https://www.sec.gov/Archives/edgar/data/1680062/000165495419001232/acm_ex10-1.htm" TargetMode="External"/><Relationship Id="rId151" Type="http://schemas.openxmlformats.org/officeDocument/2006/relationships/hyperlink" Target="https://www.sec.gov/Archives/edgar/data/1680062/000165495418011154/acmr_ex1001.htm" TargetMode="External"/><Relationship Id="rId152" Type="http://schemas.openxmlformats.org/officeDocument/2006/relationships/hyperlink" Target="https://www.sec.gov/Archives/edgar/data/1680062/000165495418011153/acmr_ex1005.htm" TargetMode="External"/><Relationship Id="rId153" Type="http://schemas.openxmlformats.org/officeDocument/2006/relationships/hyperlink" Target="https://www.sec.gov/Archives/edgar/data/1680062/000119312517283955/d311227dex1003.htm" TargetMode="External"/><Relationship Id="rId154" Type="http://schemas.openxmlformats.org/officeDocument/2006/relationships/hyperlink" Target="https://www.sec.gov/Archives/edgar/data/1680062/000119312517312780/d311227dex1004.htm" TargetMode="External"/><Relationship Id="rId155" Type="http://schemas.openxmlformats.org/officeDocument/2006/relationships/hyperlink" Target="https://www.sec.gov/Archives/edgar/data/1680062/000119312517312780/d311227dex1007.htm" TargetMode="External"/><Relationship Id="rId156" Type="http://schemas.openxmlformats.org/officeDocument/2006/relationships/hyperlink" Target="https://www.sec.gov/Archives/edgar/data/1680062/000119312517312780/d311227dex1009.htm" TargetMode="External"/><Relationship Id="rId157" Type="http://schemas.openxmlformats.org/officeDocument/2006/relationships/hyperlink" Target="https://www.sec.gov/Archives/edgar/data/1680062/000119312517312780/d311227dex1010.htm" TargetMode="External"/><Relationship Id="rId158" Type="http://schemas.openxmlformats.org/officeDocument/2006/relationships/hyperlink" Target="https://www.sec.gov/Archives/edgar/data/1680062/000119312517312780/d311227dex1012.htm" TargetMode="External"/><Relationship Id="rId159" Type="http://schemas.openxmlformats.org/officeDocument/2006/relationships/hyperlink" Target="https://www.sec.gov/Archives/edgar/data/0001680062/000114036121018410/brhc10025009_ex10-01.htm" TargetMode="External"/><Relationship Id="rId160" Type="http://schemas.openxmlformats.org/officeDocument/2006/relationships/hyperlink" Target="https://www.sec.gov/Archives/edgar/data/1680062/000119312517312780/d311227dex1013.htm" TargetMode="External"/><Relationship Id="rId161" Type="http://schemas.openxmlformats.org/officeDocument/2006/relationships/hyperlink" Target="https://www.sec.gov/Archives/edgar/data/1680062/000165495419009210/acm_ex10-01.htm" TargetMode="External"/><Relationship Id="rId162" Type="http://schemas.openxmlformats.org/officeDocument/2006/relationships/hyperlink" Target="https://www.sec.gov/Archives/edgar/data/1680062/000165495419009210/acm_ex10-01a.htm" TargetMode="External"/><Relationship Id="rId163" Type="http://schemas.openxmlformats.org/officeDocument/2006/relationships/hyperlink" Target="https://www.sec.gov/Archives/edgar/data/1680062/000165495419009210/acm_ex10-02.htm" TargetMode="External"/><Relationship Id="rId164" Type="http://schemas.openxmlformats.org/officeDocument/2006/relationships/hyperlink" Target="https://www.sec.gov/Archives/edgar/data/1680062/000165495419009210/acm_ex10-02a.htm" TargetMode="External"/><Relationship Id="rId165" Type="http://schemas.openxmlformats.org/officeDocument/2006/relationships/hyperlink" Target="https://www.sec.gov/Archives/edgar/data/1680062/000114036119020461/ex10_03.htm" TargetMode="External"/><Relationship Id="rId166" Type="http://schemas.openxmlformats.org/officeDocument/2006/relationships/hyperlink" Target="https://www.sec.gov/Archives/edgar/data/1680062/000119312517364926/d481028dex1001.htm" TargetMode="External"/><Relationship Id="rId167" Type="http://schemas.openxmlformats.org/officeDocument/2006/relationships/hyperlink" Target="https://www.sec.gov/Archives/edgar/data/1680062/000119312517283955/d311227dex1010a.htm" TargetMode="External"/><Relationship Id="rId168" Type="http://schemas.openxmlformats.org/officeDocument/2006/relationships/hyperlink" Target="https://www.sec.gov/Archives/edgar/data/1680062/000119312517283955/d311227dex1010b.htm" TargetMode="External"/><Relationship Id="rId169" Type="http://schemas.openxmlformats.org/officeDocument/2006/relationships/hyperlink" Target="https://www.sec.gov/Archives/edgar/data/1680062/000119312517283955/d311227dex1010c.htm" TargetMode="External"/><Relationship Id="rId170" Type="http://schemas.openxmlformats.org/officeDocument/2006/relationships/hyperlink" Target="https://www.sec.gov/Archives/edgar/data/1680062/000119312517283955/d311227dex1011.htm" TargetMode="External"/><Relationship Id="rId171" Type="http://schemas.openxmlformats.org/officeDocument/2006/relationships/hyperlink" Target="https://www.sec.gov/Archives/edgar/data/1680062/000119312517283955/d311227dex1012.htm" TargetMode="External"/><Relationship Id="rId172" Type="http://schemas.openxmlformats.org/officeDocument/2006/relationships/hyperlink" Target="https://www.sec.gov/Archives/edgar/data/1680062/000119312517283955/d311227dex1012a.htm" TargetMode="External"/><Relationship Id="rId173" Type="http://schemas.openxmlformats.org/officeDocument/2006/relationships/hyperlink" Target="https://www.sec.gov/Archives/edgar/data/1680062/000119312517283955/d311227dex1012b.htm" TargetMode="External"/><Relationship Id="rId174" Type="http://schemas.openxmlformats.org/officeDocument/2006/relationships/hyperlink" Target="https://www.sec.gov/Archives/edgar/data/1680062/000119312517283955/d311227dex1013.htm" TargetMode="External"/><Relationship Id="rId175" Type="http://schemas.openxmlformats.org/officeDocument/2006/relationships/hyperlink" Target="https://www.sec.gov/Archives/edgar/data/1680062/000114036119014943/nc10003786x1_ex10-02.htm" TargetMode="External"/><Relationship Id="rId176" Type="http://schemas.openxmlformats.org/officeDocument/2006/relationships/hyperlink" Target="https://www.sec.gov/Archives/edgar/data/1680062/000114036120011117/ex10_02.htm" TargetMode="External"/><Relationship Id="rId177" Type="http://schemas.openxmlformats.org/officeDocument/2006/relationships/hyperlink" Target="https://www.sec.gov/Archives/edgar/data/1680062/000114036120011117/ex10_03.htm" TargetMode="External"/><Relationship Id="rId178" Type="http://schemas.openxmlformats.org/officeDocument/2006/relationships/hyperlink" Target="https://www.sec.gov/Archives/edgar/data/1680062/000114036120025035/brhc10016473_ex10-01.htm" TargetMode="External"/><Relationship Id="rId179" Type="http://schemas.openxmlformats.org/officeDocument/2006/relationships/hyperlink" Target="https://www.sec.gov/Archives/edgar/data/1680062/000114036120011506/ex10_01.htm" TargetMode="External"/><Relationship Id="rId180" Type="http://schemas.openxmlformats.org/officeDocument/2006/relationships/hyperlink" Target="https://www.sec.gov/Archives/edgar/data/1680062/000114036120012790/ex10_01.htm" TargetMode="External"/><Relationship Id="rId181" Type="http://schemas.openxmlformats.org/officeDocument/2006/relationships/hyperlink" Target="https://www.sec.gov/Archives/edgar/data/1680062/000114036120012790/ex10_02.htm" TargetMode="External"/><Relationship Id="rId182" Type="http://schemas.openxmlformats.org/officeDocument/2006/relationships/hyperlink" Target="https://www.sec.gov/Archives/edgar/data/1680062/000114036120012790/ex10_03.htm" TargetMode="External"/><Relationship Id="rId183" Type="http://schemas.openxmlformats.org/officeDocument/2006/relationships/hyperlink" Target="https://www.sec.gov/Archives/edgar/data/1680062/000114036120012790/ex10_04.htm" TargetMode="External"/><Relationship Id="rId184" Type="http://schemas.openxmlformats.org/officeDocument/2006/relationships/hyperlink" Target="https://www.sec.gov/Archives/edgar/data/1680062/000114036120012790/ex10_05.htm" TargetMode="External"/><Relationship Id="rId185" Type="http://schemas.openxmlformats.org/officeDocument/2006/relationships/hyperlink" Target="https://www.sec.gov/Archives/edgar/data/1680062/000114036120012790/ex10_06.htm" TargetMode="External"/><Relationship Id="rId186" Type="http://schemas.openxmlformats.org/officeDocument/2006/relationships/hyperlink" Target="https://www.sec.gov/Archives/edgar/data/1680062/000114036120012790/ex10_07.htm" TargetMode="External"/><Relationship Id="rId187" Type="http://schemas.openxmlformats.org/officeDocument/2006/relationships/hyperlink" Target="https://www.sec.gov/Archives/edgar/data/1680062/000114036120012790/ex10_08.htm" TargetMode="External"/><Relationship Id="rId188" Type="http://schemas.openxmlformats.org/officeDocument/2006/relationships/hyperlink" Target="https://www.sec.gov/Archives/edgar/data/1680062/000114036120012790/ex10_09.htm" TargetMode="External"/><Relationship Id="rId189" Type="http://schemas.openxmlformats.org/officeDocument/2006/relationships/hyperlink" Target="https://www.sec.gov/Archives/edgar/data/1680062/000114036120012790/ex10_10.htm" TargetMode="External"/><Relationship Id="rId190" Type="http://schemas.openxmlformats.org/officeDocument/2006/relationships/hyperlink" Target="https://www.sec.gov/Archives/edgar/data/1680062/000114036120012790/ex10_11.htm" TargetMode="External"/><Relationship Id="rId191" Type="http://schemas.openxmlformats.org/officeDocument/2006/relationships/hyperlink" Target="https://www.sec.gov/Archives/edgar/data/1680062/000114036120012790/ex10_12.htm" TargetMode="External"/><Relationship Id="rId192" Type="http://schemas.openxmlformats.org/officeDocument/2006/relationships/hyperlink" Target="https://www.sec.gov/Archives/edgar/data/1680062/000114036120012790/ex10_13.htm" TargetMode="External"/><Relationship Id="rId193" Type="http://schemas.openxmlformats.org/officeDocument/2006/relationships/hyperlink" Target="https://www.sec.gov/Archives/edgar/data/1680062/000114036120012790/ex10_14.htm" TargetMode="External"/><Relationship Id="rId194" Type="http://schemas.openxmlformats.org/officeDocument/2006/relationships/hyperlink" Target="https://www.sec.gov/Archives/edgar/data/1680062/000114036120012790/ex10_15.htm" TargetMode="External"/><Relationship Id="rId195" Type="http://schemas.openxmlformats.org/officeDocument/2006/relationships/hyperlink" Target="https://www.sec.gov/Archives/edgar/data/1680062/000114036120012790/ex10_16.htm" TargetMode="External"/><Relationship Id="rId196" Type="http://schemas.openxmlformats.org/officeDocument/2006/relationships/hyperlink" Target="https://www.sec.gov/Archives/edgar/data/1680062/000114036120015474/ex10_01.htm" TargetMode="External"/><Relationship Id="rId197" Type="http://schemas.openxmlformats.org/officeDocument/2006/relationships/hyperlink" Target="https://www.sec.gov/Archives/edgar/data/1680062/000114036120015474/ex10_02.htm" TargetMode="External"/><Relationship Id="rId198" Type="http://schemas.openxmlformats.org/officeDocument/2006/relationships/hyperlink" Target="https://www.sec.gov/Archives/edgar/data/1680062/000114036120025035/brhc10016473_ex10-02.htm" TargetMode="External"/><Relationship Id="rId199" Type="http://schemas.openxmlformats.org/officeDocument/2006/relationships/hyperlink" Target="https://www.sec.gov/Archives/edgar/data/1680062/000114036121006213/brhc10020536_ex10-01.htm" TargetMode="External"/><Relationship Id="rId200" Type="http://schemas.openxmlformats.org/officeDocument/2006/relationships/hyperlink" Target="https://www.sec.gov/Archives/edgar/data/1680062/000114036121006213/brhc10020536_ex10-01a.htm" TargetMode="External"/><Relationship Id="rId201" Type="http://schemas.openxmlformats.org/officeDocument/2006/relationships/hyperlink" Target="https://www.sec.gov/Archives/edgar/data/1680062/000114036121006213/brhc10020536_ex10-02.htm" TargetMode="External"/><Relationship Id="rId202" Type="http://schemas.openxmlformats.org/officeDocument/2006/relationships/hyperlink" Target="https://www.sec.gov/Archives/edgar/data/1680062/000114036121006213/brhc10020536_ex10-03.htm" TargetMode="External"/><Relationship Id="rId203" Type="http://schemas.openxmlformats.org/officeDocument/2006/relationships/hyperlink" Target="https://www.sec.gov/Archives/edgar/data/0001680062/000114036121016476/brhc10023839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2022-03-01T20:47:01Z</dcterms:created>
  <dcterms:modified xsi:type="dcterms:W3CDTF">2022-03-01T20:47:01Z</dcterms:modified>
</cp:coreProperties>
</file>