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203" w:lineRule="exact"/>
        <w:rPr>
          <w:sz w:val="24"/>
          <w:szCs w:val="24"/>
          <w:color w:val="auto"/>
        </w:rPr>
      </w:pPr>
    </w:p>
    <w:p>
      <w:pPr>
        <w:ind w:right="2020" w:firstLine="8"/>
        <w:spacing w:after="0" w:line="502"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001-38273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5500" w:type="dxa"/>
            <w:vAlign w:val="bottom"/>
          </w:tcPr>
          <w:p>
            <w:pPr>
              <w:jc w:val="center"/>
              <w:ind w:right="103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64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30"/>
        </w:trPr>
        <w:tc>
          <w:tcPr>
            <w:tcW w:w="5500" w:type="dxa"/>
            <w:vAlign w:val="bottom"/>
          </w:tcPr>
          <w:p>
            <w:pPr>
              <w:jc w:val="center"/>
              <w:ind w:right="1032"/>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 of Incorporation or Organization)</w:t>
            </w:r>
          </w:p>
        </w:tc>
        <w:tc>
          <w:tcPr>
            <w:tcW w:w="3640" w:type="dxa"/>
            <w:vAlign w:val="bottom"/>
          </w:tcPr>
          <w:p>
            <w:pPr>
              <w:jc w:val="center"/>
              <w:ind w:left="1052"/>
              <w:spacing w:after="0"/>
              <w:rPr>
                <w:sz w:val="20"/>
                <w:szCs w:val="20"/>
                <w:color w:val="auto"/>
              </w:rPr>
            </w:pPr>
            <w:r>
              <w:rPr>
                <w:rFonts w:ascii="Times New Roman" w:cs="Times New Roman" w:eastAsia="Times New Roman" w:hAnsi="Times New Roman"/>
                <w:sz w:val="18"/>
                <w:szCs w:val="18"/>
                <w:i w:val="1"/>
                <w:iCs w:val="1"/>
                <w:color w:val="auto"/>
                <w:w w:val="97"/>
              </w:rPr>
              <w:t>(I.R.S. Employer Identification No.)</w:t>
            </w:r>
          </w:p>
        </w:tc>
      </w:tr>
      <w:tr>
        <w:trPr>
          <w:trHeight w:val="418"/>
        </w:trPr>
        <w:tc>
          <w:tcPr>
            <w:tcW w:w="5500" w:type="dxa"/>
            <w:vAlign w:val="bottom"/>
          </w:tcPr>
          <w:p>
            <w:pPr>
              <w:jc w:val="center"/>
              <w:ind w:right="1052"/>
              <w:spacing w:after="0"/>
              <w:rPr>
                <w:sz w:val="20"/>
                <w:szCs w:val="20"/>
                <w:color w:val="auto"/>
              </w:rPr>
            </w:pPr>
            <w:r>
              <w:rPr>
                <w:rFonts w:ascii="Times New Roman" w:cs="Times New Roman" w:eastAsia="Times New Roman" w:hAnsi="Times New Roman"/>
                <w:sz w:val="18"/>
                <w:szCs w:val="18"/>
                <w:b w:val="1"/>
                <w:bCs w:val="1"/>
                <w:color w:val="auto"/>
                <w:w w:val="97"/>
              </w:rPr>
              <w:t>42307 Osgood Road, Suite I</w:t>
            </w:r>
          </w:p>
        </w:tc>
        <w:tc>
          <w:tcPr>
            <w:tcW w:w="3640" w:type="dxa"/>
            <w:vAlign w:val="bottom"/>
          </w:tcPr>
          <w:p>
            <w:pPr>
              <w:spacing w:after="0"/>
              <w:rPr>
                <w:sz w:val="24"/>
                <w:szCs w:val="24"/>
                <w:color w:val="auto"/>
              </w:rPr>
            </w:pPr>
          </w:p>
        </w:tc>
      </w:tr>
      <w:tr>
        <w:trPr>
          <w:trHeight w:val="216"/>
        </w:trPr>
        <w:tc>
          <w:tcPr>
            <w:tcW w:w="5500" w:type="dxa"/>
            <w:vAlign w:val="bottom"/>
          </w:tcPr>
          <w:p>
            <w:pPr>
              <w:jc w:val="center"/>
              <w:ind w:right="1032"/>
              <w:spacing w:after="0"/>
              <w:rPr>
                <w:sz w:val="20"/>
                <w:szCs w:val="20"/>
                <w:color w:val="auto"/>
              </w:rPr>
            </w:pPr>
            <w:r>
              <w:rPr>
                <w:rFonts w:ascii="Times New Roman" w:cs="Times New Roman" w:eastAsia="Times New Roman" w:hAnsi="Times New Roman"/>
                <w:sz w:val="18"/>
                <w:szCs w:val="18"/>
                <w:b w:val="1"/>
                <w:bCs w:val="1"/>
                <w:color w:val="auto"/>
                <w:w w:val="96"/>
              </w:rPr>
              <w:t>Fremont, California</w:t>
            </w:r>
          </w:p>
        </w:tc>
        <w:tc>
          <w:tcPr>
            <w:tcW w:w="364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30"/>
        </w:trPr>
        <w:tc>
          <w:tcPr>
            <w:tcW w:w="5500" w:type="dxa"/>
            <w:vAlign w:val="bottom"/>
          </w:tcPr>
          <w:p>
            <w:pPr>
              <w:jc w:val="center"/>
              <w:ind w:right="1052"/>
              <w:spacing w:after="0"/>
              <w:rPr>
                <w:sz w:val="20"/>
                <w:szCs w:val="20"/>
                <w:color w:val="auto"/>
              </w:rPr>
            </w:pPr>
            <w:r>
              <w:rPr>
                <w:rFonts w:ascii="Times New Roman" w:cs="Times New Roman" w:eastAsia="Times New Roman" w:hAnsi="Times New Roman"/>
                <w:sz w:val="18"/>
                <w:szCs w:val="18"/>
                <w:i w:val="1"/>
                <w:iCs w:val="1"/>
                <w:color w:val="auto"/>
                <w:w w:val="97"/>
              </w:rPr>
              <w:t>(Address of Principal Executive Offices)</w:t>
            </w:r>
          </w:p>
        </w:tc>
        <w:tc>
          <w:tcPr>
            <w:tcW w:w="3640" w:type="dxa"/>
            <w:vAlign w:val="bottom"/>
          </w:tcPr>
          <w:p>
            <w:pPr>
              <w:jc w:val="center"/>
              <w:ind w:left="1052"/>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13"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9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52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5"/>
              </w:rPr>
              <w:t>Trading Symbol(s)</w:t>
            </w:r>
          </w:p>
        </w:tc>
        <w:tc>
          <w:tcPr>
            <w:tcW w:w="46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A Common Stock, $0.0001 par value per share</w:t>
            </w:r>
          </w:p>
        </w:tc>
        <w:tc>
          <w:tcPr>
            <w:tcW w:w="840" w:type="dxa"/>
            <w:vAlign w:val="bottom"/>
          </w:tcPr>
          <w:p>
            <w:pPr>
              <w:spacing w:after="0"/>
              <w:rPr>
                <w:sz w:val="19"/>
                <w:szCs w:val="19"/>
                <w:color w:val="auto"/>
              </w:rPr>
            </w:pPr>
          </w:p>
        </w:tc>
        <w:tc>
          <w:tcPr>
            <w:tcW w:w="11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4"/>
              </w:rPr>
              <w:t>ACMR</w:t>
            </w:r>
          </w:p>
        </w:tc>
        <w:tc>
          <w:tcPr>
            <w:tcW w:w="4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Nasdaq Global Market</w:t>
            </w:r>
          </w:p>
        </w:tc>
      </w:tr>
      <w:tr>
        <w:trPr>
          <w:trHeight w:val="459"/>
        </w:trPr>
        <w:tc>
          <w:tcPr>
            <w:tcW w:w="1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tc>
      </w:tr>
      <w:tr>
        <w:trPr>
          <w:trHeight w:val="441"/>
        </w:trPr>
        <w:tc>
          <w:tcPr>
            <w:tcW w:w="4740" w:type="dxa"/>
            <w:vAlign w:val="bottom"/>
            <w:tcBorders>
              <w:bottom w:val="single" w:sz="8" w:color="auto"/>
            </w:tcBorders>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8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jc w:val="center"/>
              <w:ind w:right="812"/>
              <w:spacing w:after="0"/>
              <w:rPr>
                <w:sz w:val="20"/>
                <w:szCs w:val="20"/>
                <w:color w:val="auto"/>
              </w:rPr>
            </w:pPr>
            <w:r>
              <w:rPr>
                <w:rFonts w:ascii="Times New Roman" w:cs="Times New Roman" w:eastAsia="Times New Roman" w:hAnsi="Times New Roman"/>
                <w:sz w:val="18"/>
                <w:szCs w:val="18"/>
                <w:b w:val="1"/>
                <w:bCs w:val="1"/>
                <w:color w:val="auto"/>
                <w:w w:val="97"/>
              </w:rPr>
              <w:t>Number of Shares Outstanding</w:t>
            </w:r>
          </w:p>
        </w:tc>
      </w:tr>
      <w:tr>
        <w:trPr>
          <w:trHeight w:val="202"/>
        </w:trPr>
        <w:tc>
          <w:tcPr>
            <w:tcW w:w="4740" w:type="dxa"/>
            <w:vAlign w:val="bottom"/>
          </w:tcPr>
          <w:p>
            <w:pPr>
              <w:jc w:val="center"/>
              <w:ind w:left="732"/>
              <w:spacing w:after="0" w:line="201" w:lineRule="exact"/>
              <w:rPr>
                <w:sz w:val="20"/>
                <w:szCs w:val="20"/>
                <w:color w:val="auto"/>
              </w:rPr>
            </w:pPr>
            <w:r>
              <w:rPr>
                <w:rFonts w:ascii="Times New Roman" w:cs="Times New Roman" w:eastAsia="Times New Roman" w:hAnsi="Times New Roman"/>
                <w:sz w:val="18"/>
                <w:szCs w:val="18"/>
                <w:color w:val="auto"/>
                <w:w w:val="97"/>
              </w:rPr>
              <w:t>Class A Common Stock, $0.0001 par value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80" w:type="dxa"/>
            <w:vAlign w:val="bottom"/>
          </w:tcPr>
          <w:p>
            <w:pPr>
              <w:jc w:val="center"/>
              <w:ind w:right="812"/>
              <w:spacing w:after="0" w:line="201" w:lineRule="exact"/>
              <w:rPr>
                <w:sz w:val="20"/>
                <w:szCs w:val="20"/>
                <w:color w:val="auto"/>
              </w:rPr>
            </w:pPr>
            <w:r>
              <w:rPr>
                <w:rFonts w:ascii="Times New Roman" w:cs="Times New Roman" w:eastAsia="Times New Roman" w:hAnsi="Times New Roman"/>
                <w:sz w:val="18"/>
                <w:szCs w:val="18"/>
                <w:color w:val="auto"/>
                <w:w w:val="97"/>
              </w:rPr>
              <w:t>14,196,966 shares outstanding as of May 9, 2019</w:t>
            </w:r>
          </w:p>
        </w:tc>
      </w:tr>
      <w:tr>
        <w:trPr>
          <w:trHeight w:val="228"/>
        </w:trPr>
        <w:tc>
          <w:tcPr>
            <w:tcW w:w="474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7"/>
              </w:rPr>
              <w:t>Class B Common Stock, $0.0001 par value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8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7"/>
              </w:rPr>
              <w:t>1,895,090 shares outstanding as of May 9, 2019</w:t>
            </w:r>
          </w:p>
        </w:tc>
      </w:tr>
      <w:tr>
        <w:trPr>
          <w:trHeight w:val="218"/>
        </w:trPr>
        <w:tc>
          <w:tcPr>
            <w:tcW w:w="4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r>
      <w:tr>
        <w:trPr>
          <w:trHeight w:val="136"/>
        </w:trPr>
        <w:tc>
          <w:tcPr>
            <w:tcW w:w="47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704"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80" w:type="dxa"/>
            <w:vAlign w:val="bottom"/>
            <w:gridSpan w:val="7"/>
          </w:tcPr>
          <w:p>
            <w:pPr>
              <w:ind w:left="600"/>
              <w:spacing w:after="0"/>
              <w:rPr>
                <w:sz w:val="20"/>
                <w:szCs w:val="20"/>
                <w:color w:val="auto"/>
              </w:rPr>
            </w:pPr>
            <w:r>
              <w:rPr>
                <w:rFonts w:ascii="Times New Roman" w:cs="Times New Roman" w:eastAsia="Times New Roman" w:hAnsi="Times New Roman"/>
                <w:sz w:val="18"/>
                <w:szCs w:val="18"/>
                <w:color w:val="auto"/>
              </w:rPr>
              <w:t>TABLE OF CONTENTS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070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7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 (unaudited)</w:t>
              </w:r>
            </w:hyperlink>
          </w:p>
        </w:tc>
        <w:tc>
          <w:tcPr>
            <w:tcW w:w="720" w:type="dxa"/>
            <w:vAlign w:val="bottom"/>
            <w:shd w:val="clear" w:color="auto" w:fill="CCEEFF"/>
          </w:tcPr>
          <w:p>
            <w:pPr>
              <w:jc w:val="center"/>
              <w:ind w:left="192"/>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March 31, 2019 and December 31, 2018</w:t>
              </w:r>
            </w:hyperlink>
          </w:p>
        </w:tc>
        <w:tc>
          <w:tcPr>
            <w:tcW w:w="720" w:type="dxa"/>
            <w:vAlign w:val="bottom"/>
            <w:shd w:val="clear" w:color="auto" w:fill="CCEEFF"/>
          </w:tcPr>
          <w:p>
            <w:pPr>
              <w:jc w:val="center"/>
              <w:ind w:left="192"/>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and Comprehensive Income (Loss) for the Three Months Ended March 31, 2019 and 2018</w:t>
              </w:r>
            </w:hyperlink>
          </w:p>
        </w:tc>
        <w:tc>
          <w:tcPr>
            <w:tcW w:w="720" w:type="dxa"/>
            <w:vAlign w:val="bottom"/>
            <w:shd w:val="clear" w:color="auto" w:fill="CCEEFF"/>
          </w:tcPr>
          <w:p>
            <w:pPr>
              <w:jc w:val="center"/>
              <w:ind w:left="192"/>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720" w:type="dxa"/>
            <w:vAlign w:val="bottom"/>
            <w:shd w:val="clear" w:color="auto" w:fill="CCEEFF"/>
          </w:tcPr>
          <w:p>
            <w:pPr>
              <w:jc w:val="center"/>
              <w:ind w:left="192"/>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6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720" w:type="dxa"/>
            <w:vAlign w:val="bottom"/>
            <w:shd w:val="clear" w:color="auto" w:fill="CCEEFF"/>
          </w:tcPr>
          <w:p>
            <w:pPr>
              <w:jc w:val="center"/>
              <w:ind w:left="192"/>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20" w:type="dxa"/>
            <w:vAlign w:val="bottom"/>
            <w:shd w:val="clear" w:color="auto" w:fill="CCEEFF"/>
          </w:tcPr>
          <w:p>
            <w:pPr>
              <w:jc w:val="center"/>
              <w:ind w:left="172"/>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w w:val="94"/>
              </w:rPr>
            </w:pPr>
            <w:hyperlink w:anchor="page32">
              <w:r>
                <w:rPr>
                  <w:rFonts w:ascii="Times New Roman" w:cs="Times New Roman" w:eastAsia="Times New Roman" w:hAnsi="Times New Roman"/>
                  <w:sz w:val="18"/>
                  <w:szCs w:val="18"/>
                  <w:color w:val="0000EE"/>
                  <w:w w:val="94"/>
                </w:rPr>
                <w:t>Item 3.</w:t>
              </w:r>
            </w:hyperlink>
          </w:p>
        </w:tc>
        <w:tc>
          <w:tcPr>
            <w:tcW w:w="10020" w:type="dxa"/>
            <w:vAlign w:val="bottom"/>
            <w:gridSpan w:val="15"/>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Quantitative and Qualitative Disclosures about Market Risks</w:t>
              </w:r>
            </w:hyperlink>
          </w:p>
        </w:tc>
        <w:tc>
          <w:tcPr>
            <w:tcW w:w="720" w:type="dxa"/>
            <w:vAlign w:val="bottom"/>
            <w:shd w:val="clear" w:color="auto" w:fill="CCEEFF"/>
          </w:tcPr>
          <w:p>
            <w:pPr>
              <w:jc w:val="center"/>
              <w:ind w:left="172"/>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4"/>
              </w:rPr>
            </w:pPr>
            <w:hyperlink w:anchor="page32">
              <w:r>
                <w:rPr>
                  <w:rFonts w:ascii="Times New Roman" w:cs="Times New Roman" w:eastAsia="Times New Roman" w:hAnsi="Times New Roman"/>
                  <w:sz w:val="18"/>
                  <w:szCs w:val="18"/>
                  <w:color w:val="0000EE"/>
                  <w:w w:val="94"/>
                </w:rPr>
                <w:t>Item 4.</w:t>
              </w:r>
            </w:hyperlink>
          </w:p>
        </w:tc>
        <w:tc>
          <w:tcPr>
            <w:tcW w:w="1760" w:type="dxa"/>
            <w:vAlign w:val="bottom"/>
            <w:tcBorders>
              <w:bottom w:val="single" w:sz="8" w:color="0000EE"/>
            </w:tcBorders>
            <w:gridSpan w:val="4"/>
            <w:shd w:val="clear" w:color="auto" w:fill="CCEEFF"/>
          </w:tcPr>
          <w:p>
            <w:pPr>
              <w:ind w:left="40"/>
              <w:spacing w:after="0" w:line="176" w:lineRule="exact"/>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Controls and Procedures</w:t>
              </w:r>
            </w:hyperlink>
          </w:p>
        </w:tc>
        <w:tc>
          <w:tcPr>
            <w:tcW w:w="8260" w:type="dxa"/>
            <w:vAlign w:val="bottom"/>
            <w:tcBorders>
              <w:bottom w:val="single" w:sz="8" w:color="CCEEFF"/>
            </w:tcBorders>
            <w:gridSpan w:val="11"/>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ind w:left="172"/>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392"/>
        </w:trPr>
        <w:tc>
          <w:tcPr>
            <w:tcW w:w="10700" w:type="dxa"/>
            <w:vAlign w:val="bottom"/>
            <w:gridSpan w:val="21"/>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PART II. OTHER INFORMATION</w:t>
              </w:r>
            </w:hyperlink>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1A. Risk Factors</w:t>
              </w:r>
            </w:hyperlink>
          </w:p>
        </w:tc>
        <w:tc>
          <w:tcPr>
            <w:tcW w:w="720" w:type="dxa"/>
            <w:vAlign w:val="bottom"/>
            <w:shd w:val="clear" w:color="auto" w:fill="CCEEFF"/>
          </w:tcPr>
          <w:p>
            <w:pPr>
              <w:jc w:val="center"/>
              <w:ind w:left="172"/>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Item 2.</w:t>
              </w:r>
            </w:hyperlink>
          </w:p>
        </w:tc>
        <w:tc>
          <w:tcPr>
            <w:tcW w:w="10020" w:type="dxa"/>
            <w:vAlign w:val="bottom"/>
            <w:gridSpan w:val="15"/>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Unregistered Sales of Equity Securities and Use of Proceeds</w:t>
              </w:r>
            </w:hyperlink>
          </w:p>
        </w:tc>
        <w:tc>
          <w:tcPr>
            <w:tcW w:w="720" w:type="dxa"/>
            <w:vAlign w:val="bottom"/>
            <w:shd w:val="clear" w:color="auto" w:fill="CCEEFF"/>
          </w:tcPr>
          <w:p>
            <w:pPr>
              <w:jc w:val="center"/>
              <w:ind w:left="172"/>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Item 6.</w:t>
              </w:r>
            </w:hyperlink>
          </w:p>
        </w:tc>
        <w:tc>
          <w:tcPr>
            <w:tcW w:w="10020" w:type="dxa"/>
            <w:vAlign w:val="bottom"/>
            <w:gridSpan w:val="15"/>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Exhibits</w:t>
              </w:r>
            </w:hyperlink>
          </w:p>
        </w:tc>
        <w:tc>
          <w:tcPr>
            <w:tcW w:w="720" w:type="dxa"/>
            <w:vAlign w:val="bottom"/>
            <w:shd w:val="clear" w:color="auto" w:fill="CCEEFF"/>
          </w:tcPr>
          <w:p>
            <w:pPr>
              <w:jc w:val="center"/>
              <w:ind w:left="172"/>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SIGNATURE</w:t>
              </w:r>
            </w:hyperlink>
          </w:p>
        </w:tc>
        <w:tc>
          <w:tcPr>
            <w:tcW w:w="720" w:type="dxa"/>
            <w:vAlign w:val="bottom"/>
            <w:shd w:val="clear" w:color="auto" w:fill="CCEEFF"/>
          </w:tcPr>
          <w:p>
            <w:pPr>
              <w:jc w:val="center"/>
              <w:ind w:left="172"/>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9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20" w:type="dxa"/>
            <w:vAlign w:val="bottom"/>
          </w:tcPr>
          <w:p>
            <w:pPr>
              <w:spacing w:after="0"/>
              <w:rPr>
                <w:sz w:val="15"/>
                <w:szCs w:val="15"/>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5"/>
                <w:szCs w:val="15"/>
                <w:b w:val="1"/>
                <w:bCs w:val="1"/>
                <w:color w:val="auto"/>
              </w:rPr>
              <w:t>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00"/>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3"/>
          </w:tcPr>
          <w:p>
            <w:pPr>
              <w:jc w:val="center"/>
              <w:ind w:right="173"/>
              <w:spacing w:after="0" w:line="200" w:lineRule="exact"/>
              <w:rPr>
                <w:sz w:val="20"/>
                <w:szCs w:val="20"/>
                <w:color w:val="auto"/>
              </w:rPr>
            </w:pPr>
            <w:r>
              <w:rPr>
                <w:rFonts w:ascii="Times New Roman" w:cs="Times New Roman" w:eastAsia="Times New Roman" w:hAnsi="Times New Roman"/>
                <w:sz w:val="18"/>
                <w:szCs w:val="18"/>
                <w:i w:val="1"/>
                <w:iCs w:val="1"/>
                <w:color w:val="auto"/>
                <w:w w:val="97"/>
              </w:rPr>
              <w:t>(unaudited)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3"/>
          </w:tcPr>
          <w:p>
            <w:pPr>
              <w:jc w:val="center"/>
              <w:ind w:right="173"/>
              <w:spacing w:after="0"/>
              <w:rPr>
                <w:sz w:val="20"/>
                <w:szCs w:val="20"/>
                <w:color w:val="auto"/>
              </w:rPr>
            </w:pPr>
            <w:r>
              <w:rPr>
                <w:rFonts w:ascii="Times New Roman" w:cs="Times New Roman" w:eastAsia="Times New Roman" w:hAnsi="Times New Roman"/>
                <w:sz w:val="18"/>
                <w:szCs w:val="18"/>
                <w:i w:val="1"/>
                <w:iCs w:val="1"/>
                <w:color w:val="auto"/>
                <w:w w:val="97"/>
              </w:rPr>
              <w:t>(in thousands, except share and</w:t>
            </w:r>
          </w:p>
        </w:tc>
      </w:tr>
      <w:tr>
        <w:trPr>
          <w:trHeight w:val="23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center"/>
              <w:ind w:right="153"/>
              <w:spacing w:after="0"/>
              <w:rPr>
                <w:sz w:val="20"/>
                <w:szCs w:val="20"/>
                <w:color w:val="auto"/>
              </w:rPr>
            </w:pPr>
            <w:r>
              <w:rPr>
                <w:rFonts w:ascii="Times New Roman" w:cs="Times New Roman" w:eastAsia="Times New Roman" w:hAnsi="Times New Roman"/>
                <w:sz w:val="18"/>
                <w:szCs w:val="18"/>
                <w:i w:val="1"/>
                <w:iCs w:val="1"/>
                <w:color w:val="auto"/>
                <w:w w:val="97"/>
              </w:rPr>
              <w:t>per share data)</w:t>
            </w:r>
          </w:p>
        </w:tc>
      </w:tr>
      <w:tr>
        <w:trPr>
          <w:trHeight w:val="217"/>
        </w:trPr>
        <w:tc>
          <w:tcPr>
            <w:tcW w:w="20" w:type="dxa"/>
            <w:vAlign w:val="bottom"/>
          </w:tcPr>
          <w:p>
            <w:pPr>
              <w:spacing w:after="0"/>
              <w:rPr>
                <w:sz w:val="18"/>
                <w:szCs w:val="18"/>
                <w:color w:val="auto"/>
              </w:rPr>
            </w:pPr>
          </w:p>
        </w:tc>
        <w:tc>
          <w:tcPr>
            <w:tcW w:w="8740" w:type="dxa"/>
            <w:vAlign w:val="bottom"/>
            <w:gridSpan w:val="2"/>
            <w:shd w:val="clear" w:color="auto" w:fill="CCEEFF"/>
          </w:tcPr>
          <w:p>
            <w:pPr>
              <w:ind w:left="4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27,367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27,124</w:t>
            </w:r>
          </w:p>
        </w:tc>
      </w:tr>
      <w:tr>
        <w:trPr>
          <w:trHeight w:val="202"/>
        </w:trPr>
        <w:tc>
          <w:tcPr>
            <w:tcW w:w="20" w:type="dxa"/>
            <w:vAlign w:val="bottom"/>
          </w:tcPr>
          <w:p>
            <w:pPr>
              <w:spacing w:after="0"/>
              <w:rPr>
                <w:sz w:val="17"/>
                <w:szCs w:val="17"/>
                <w:color w:val="auto"/>
              </w:rPr>
            </w:pPr>
          </w:p>
        </w:tc>
        <w:tc>
          <w:tcPr>
            <w:tcW w:w="8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$0 as of March 31, 2019 and $0 as of December 31, 2018</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3)</w:t>
            </w:r>
          </w:p>
        </w:tc>
        <w:tc>
          <w:tcPr>
            <w:tcW w:w="1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25,070</w:t>
            </w:r>
          </w:p>
        </w:tc>
        <w:tc>
          <w:tcPr>
            <w:tcW w:w="2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24,608</w:t>
            </w:r>
          </w:p>
        </w:tc>
      </w:tr>
      <w:tr>
        <w:trPr>
          <w:trHeight w:val="218"/>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(note 4)</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42,253</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38,764</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1,985</w:t>
            </w:r>
          </w:p>
        </w:tc>
      </w:tr>
      <w:tr>
        <w:trPr>
          <w:trHeight w:val="216"/>
        </w:trPr>
        <w:tc>
          <w:tcPr>
            <w:tcW w:w="20" w:type="dxa"/>
            <w:vAlign w:val="bottom"/>
          </w:tcPr>
          <w:p>
            <w:pPr>
              <w:spacing w:after="0"/>
              <w:rPr>
                <w:sz w:val="18"/>
                <w:szCs w:val="18"/>
                <w:color w:val="auto"/>
              </w:rPr>
            </w:pPr>
          </w:p>
        </w:tc>
        <w:tc>
          <w:tcPr>
            <w:tcW w:w="8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99,505</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96,028</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(note 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3,708</w:t>
            </w: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 net (note 8)</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4,787</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(note 15)</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1,669</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affiliates, equity method (note 10)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1,360</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111,419</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103,047</w:t>
            </w:r>
          </w:p>
        </w:tc>
      </w:tr>
      <w:tr>
        <w:trPr>
          <w:trHeight w:val="210"/>
        </w:trPr>
        <w:tc>
          <w:tcPr>
            <w:tcW w:w="20" w:type="dxa"/>
            <w:vAlign w:val="bottom"/>
          </w:tcPr>
          <w:p>
            <w:pPr>
              <w:spacing w:after="0"/>
              <w:rPr>
                <w:sz w:val="18"/>
                <w:szCs w:val="18"/>
                <w:color w:val="auto"/>
              </w:rPr>
            </w:pPr>
          </w:p>
        </w:tc>
        <w:tc>
          <w:tcPr>
            <w:tcW w:w="874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borrowings (note 6)</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12,829</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9,447</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13,333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16,673</w:t>
            </w:r>
          </w:p>
        </w:tc>
      </w:tr>
      <w:tr>
        <w:trPr>
          <w:trHeight w:val="216"/>
        </w:trPr>
        <w:tc>
          <w:tcPr>
            <w:tcW w:w="20" w:type="dxa"/>
            <w:vAlign w:val="bottom"/>
          </w:tcPr>
          <w:p>
            <w:pPr>
              <w:spacing w:after="0"/>
              <w:rPr>
                <w:sz w:val="18"/>
                <w:szCs w:val="18"/>
                <w:color w:val="auto"/>
              </w:rPr>
            </w:pPr>
          </w:p>
        </w:tc>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Advances from customers</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8,469</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8,417</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20" w:type="dxa"/>
            <w:vAlign w:val="bottom"/>
          </w:tcPr>
          <w:p>
            <w:pPr>
              <w:spacing w:after="0"/>
              <w:rPr>
                <w:sz w:val="18"/>
                <w:szCs w:val="18"/>
                <w:color w:val="auto"/>
              </w:rPr>
            </w:pPr>
          </w:p>
        </w:tc>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payables and accrued expenses (note 7)</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11,834</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10,410</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 (note 8)</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49,019</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46,140</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liability (note 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3,462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(note 9)</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3,296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4,583</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55,777</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50,723</w:t>
            </w: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Common stock – Class A, par value $0.0001: 100,000,000 shares authorized as of March 31, 2019 and December 31,</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2018. 14,176,690 shares issued and outstanding as of March 31, 2019 and 14,110,315 shares issued and outstanding as of</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2018 (note 13)</w:t>
            </w:r>
          </w:p>
        </w:tc>
        <w:tc>
          <w:tcPr>
            <w:tcW w:w="1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r>
      <w:tr>
        <w:trPr>
          <w:trHeight w:val="204"/>
        </w:trPr>
        <w:tc>
          <w:tcPr>
            <w:tcW w:w="20" w:type="dxa"/>
            <w:vAlign w:val="bottom"/>
          </w:tcPr>
          <w:p>
            <w:pPr>
              <w:spacing w:after="0"/>
              <w:rPr>
                <w:sz w:val="17"/>
                <w:szCs w:val="17"/>
                <w:color w:val="auto"/>
              </w:rPr>
            </w:pPr>
          </w:p>
        </w:tc>
        <w:tc>
          <w:tcPr>
            <w:tcW w:w="87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stock–Class B, par value $0.0001: 7,303,533 shares authorized as of March 31, 2019 and December 31, 2018.</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1,898,423 shares issued and outstanding as of March 31, 2019 and 1,898,423 shares issued and outstanding as of December</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2018 (note 13)</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57,371</w:t>
            </w:r>
          </w:p>
        </w:tc>
        <w:tc>
          <w:tcPr>
            <w:tcW w:w="2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56,567</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55,642</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52,324</w:t>
            </w:r>
          </w:p>
        </w:tc>
      </w:tr>
      <w:tr>
        <w:trPr>
          <w:trHeight w:val="216"/>
        </w:trPr>
        <w:tc>
          <w:tcPr>
            <w:tcW w:w="20" w:type="dxa"/>
            <w:vAlign w:val="bottom"/>
          </w:tcPr>
          <w:p>
            <w:pPr>
              <w:spacing w:after="0"/>
              <w:rPr>
                <w:sz w:val="18"/>
                <w:szCs w:val="18"/>
                <w:color w:val="auto"/>
              </w:rPr>
            </w:pPr>
          </w:p>
        </w:tc>
        <w:tc>
          <w:tcPr>
            <w:tcW w:w="87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111,419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103,047</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5"/>
                <w:szCs w:val="15"/>
                <w:b w:val="1"/>
                <w:bCs w:val="1"/>
                <w:color w:val="auto"/>
                <w:w w:val="98"/>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5"/>
                <w:szCs w:val="15"/>
                <w:b w:val="1"/>
                <w:bCs w:val="1"/>
                <w:color w:val="auto"/>
              </w:rPr>
              <w:t>2019</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5"/>
                <w:szCs w:val="15"/>
                <w:b w:val="1"/>
                <w:bCs w:val="1"/>
                <w:color w:val="auto"/>
              </w:rPr>
              <w:t>2018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left="553"/>
              <w:spacing w:after="0" w:line="200" w:lineRule="exact"/>
              <w:rPr>
                <w:sz w:val="20"/>
                <w:szCs w:val="20"/>
                <w:color w:val="auto"/>
              </w:rPr>
            </w:pPr>
            <w:r>
              <w:rPr>
                <w:rFonts w:ascii="Times New Roman" w:cs="Times New Roman" w:eastAsia="Times New Roman" w:hAnsi="Times New Roman"/>
                <w:sz w:val="18"/>
                <w:szCs w:val="18"/>
                <w:i w:val="1"/>
                <w:iCs w:val="1"/>
                <w:color w:val="auto"/>
                <w:w w:val="97"/>
              </w:rPr>
              <w:t>(Unaudited)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3"/>
          </w:tcPr>
          <w:p>
            <w:pPr>
              <w:jc w:val="center"/>
              <w:ind w:right="133"/>
              <w:spacing w:after="0"/>
              <w:rPr>
                <w:sz w:val="20"/>
                <w:szCs w:val="20"/>
                <w:color w:val="auto"/>
              </w:rPr>
            </w:pPr>
            <w:r>
              <w:rPr>
                <w:rFonts w:ascii="Times New Roman" w:cs="Times New Roman" w:eastAsia="Times New Roman" w:hAnsi="Times New Roman"/>
                <w:sz w:val="18"/>
                <w:szCs w:val="18"/>
                <w:i w:val="1"/>
                <w:iCs w:val="1"/>
                <w:color w:val="auto"/>
                <w:w w:val="97"/>
              </w:rPr>
              <w:t>( In thousands, except share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center"/>
              <w:ind w:right="133"/>
              <w:spacing w:after="0"/>
              <w:rPr>
                <w:sz w:val="20"/>
                <w:szCs w:val="20"/>
                <w:color w:val="auto"/>
              </w:rPr>
            </w:pPr>
            <w:r>
              <w:rPr>
                <w:rFonts w:ascii="Times New Roman" w:cs="Times New Roman" w:eastAsia="Times New Roman" w:hAnsi="Times New Roman"/>
                <w:sz w:val="18"/>
                <w:szCs w:val="18"/>
                <w:i w:val="1"/>
                <w:iCs w:val="1"/>
                <w:color w:val="auto"/>
                <w:w w:val="97"/>
              </w:rPr>
              <w:t>per share data)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20,479</w:t>
            </w:r>
          </w:p>
        </w:tc>
        <w:tc>
          <w:tcPr>
            <w:tcW w:w="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11,653</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8,826</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1,869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2,765</w:t>
            </w:r>
          </w:p>
        </w:tc>
        <w:tc>
          <w:tcPr>
            <w:tcW w:w="46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1,941</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6,575</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2,251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116</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1,976</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(note 15)</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1,857</w:t>
            </w:r>
          </w:p>
        </w:tc>
        <w:tc>
          <w:tcPr>
            <w:tcW w:w="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1,857</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657</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comprehensive Income (loss) (note 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2,514</w:t>
            </w:r>
          </w:p>
        </w:tc>
        <w:tc>
          <w:tcPr>
            <w:tcW w:w="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(note 2):</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0.12</w:t>
            </w:r>
          </w:p>
        </w:tc>
        <w:tc>
          <w:tcPr>
            <w:tcW w:w="4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0.10</w:t>
            </w:r>
          </w:p>
        </w:tc>
        <w:tc>
          <w:tcPr>
            <w:tcW w:w="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 (note2):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16,044,655</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15,383,086</w:t>
            </w:r>
          </w:p>
        </w:tc>
      </w:tr>
      <w:tr>
        <w:trPr>
          <w:trHeight w:val="21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18,225,317</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15,383,086</w:t>
            </w:r>
          </w:p>
        </w:tc>
      </w:tr>
      <w:tr>
        <w:trPr>
          <w:trHeight w:val="21"/>
        </w:trPr>
        <w:tc>
          <w:tcPr>
            <w:tcW w:w="8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60" w:type="dxa"/>
            <w:vAlign w:val="bottom"/>
            <w:gridSpan w:val="2"/>
          </w:tcPr>
          <w:p>
            <w:pPr>
              <w:jc w:val="center"/>
              <w:ind w:left="756"/>
              <w:spacing w:after="0"/>
              <w:rPr>
                <w:sz w:val="20"/>
                <w:szCs w:val="20"/>
                <w:color w:val="auto"/>
              </w:rPr>
            </w:pPr>
            <w:r>
              <w:rPr>
                <w:rFonts w:ascii="Times New Roman" w:cs="Times New Roman" w:eastAsia="Times New Roman" w:hAnsi="Times New Roman"/>
                <w:sz w:val="15"/>
                <w:szCs w:val="15"/>
                <w:b w:val="1"/>
                <w:bCs w:val="1"/>
                <w:color w:val="auto"/>
                <w:w w:val="97"/>
              </w:rPr>
              <w:t>Common</w:t>
            </w:r>
          </w:p>
        </w:tc>
        <w:tc>
          <w:tcPr>
            <w:tcW w:w="940" w:type="dxa"/>
            <w:vAlign w:val="bottom"/>
          </w:tcPr>
          <w:p>
            <w:pPr>
              <w:spacing w:after="0"/>
              <w:rPr>
                <w:sz w:val="15"/>
                <w:szCs w:val="15"/>
                <w:color w:val="auto"/>
              </w:rPr>
            </w:pPr>
          </w:p>
        </w:tc>
        <w:tc>
          <w:tcPr>
            <w:tcW w:w="1940" w:type="dxa"/>
            <w:vAlign w:val="bottom"/>
            <w:gridSpan w:val="2"/>
          </w:tcPr>
          <w:p>
            <w:pPr>
              <w:jc w:val="center"/>
              <w:ind w:left="56"/>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w w:val="97"/>
              </w:rPr>
              <w:t>Stock Class A</w:t>
            </w:r>
          </w:p>
        </w:tc>
        <w:tc>
          <w:tcPr>
            <w:tcW w:w="1940" w:type="dxa"/>
            <w:vAlign w:val="bottom"/>
            <w:tcBorders>
              <w:bottom w:val="single" w:sz="8" w:color="auto"/>
            </w:tcBorders>
            <w:gridSpan w:val="2"/>
          </w:tcPr>
          <w:p>
            <w:pPr>
              <w:jc w:val="center"/>
              <w:ind w:left="56"/>
              <w:spacing w:after="0"/>
              <w:rPr>
                <w:sz w:val="20"/>
                <w:szCs w:val="20"/>
                <w:color w:val="auto"/>
              </w:rPr>
            </w:pPr>
            <w:r>
              <w:rPr>
                <w:rFonts w:ascii="Times New Roman" w:cs="Times New Roman" w:eastAsia="Times New Roman" w:hAnsi="Times New Roman"/>
                <w:sz w:val="15"/>
                <w:szCs w:val="15"/>
                <w:b w:val="1"/>
                <w:bCs w:val="1"/>
                <w:color w:val="auto"/>
              </w:rPr>
              <w:t>Stock Class B</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20" w:type="dxa"/>
            <w:vAlign w:val="bottom"/>
          </w:tcPr>
          <w:p>
            <w:pPr>
              <w:spacing w:after="0"/>
              <w:rPr>
                <w:sz w:val="16"/>
                <w:szCs w:val="16"/>
                <w:color w:val="auto"/>
              </w:rPr>
            </w:pPr>
          </w:p>
        </w:tc>
        <w:tc>
          <w:tcPr>
            <w:tcW w:w="8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36"/>
              <w:spacing w:after="0" w:line="162" w:lineRule="exact"/>
              <w:rPr>
                <w:sz w:val="20"/>
                <w:szCs w:val="20"/>
                <w:color w:val="auto"/>
              </w:rPr>
            </w:pPr>
            <w:r>
              <w:rPr>
                <w:rFonts w:ascii="Times New Roman" w:cs="Times New Roman" w:eastAsia="Times New Roman" w:hAnsi="Times New Roman"/>
                <w:sz w:val="15"/>
                <w:szCs w:val="15"/>
                <w:b w:val="1"/>
                <w:bCs w:val="1"/>
                <w:color w:val="auto"/>
                <w:w w:val="96"/>
              </w:rPr>
              <w:t>Additional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10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36"/>
              <w:spacing w:after="0" w:line="162" w:lineRule="exact"/>
              <w:rPr>
                <w:sz w:val="20"/>
                <w:szCs w:val="20"/>
                <w:color w:val="auto"/>
              </w:rPr>
            </w:pPr>
            <w:r>
              <w:rPr>
                <w:rFonts w:ascii="Times New Roman" w:cs="Times New Roman" w:eastAsia="Times New Roman" w:hAnsi="Times New Roman"/>
                <w:sz w:val="15"/>
                <w:szCs w:val="15"/>
                <w:b w:val="1"/>
                <w:bCs w:val="1"/>
                <w:color w:val="auto"/>
                <w:w w:val="98"/>
              </w:rPr>
              <w:t>Paid-in</w:t>
            </w:r>
          </w:p>
        </w:tc>
        <w:tc>
          <w:tcPr>
            <w:tcW w:w="11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Accumulated</w:t>
            </w:r>
          </w:p>
        </w:tc>
        <w:tc>
          <w:tcPr>
            <w:tcW w:w="11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20" w:type="dxa"/>
            <w:vAlign w:val="bottom"/>
          </w:tcPr>
          <w:p>
            <w:pPr>
              <w:spacing w:after="0"/>
              <w:rPr>
                <w:sz w:val="14"/>
                <w:szCs w:val="14"/>
                <w:color w:val="auto"/>
              </w:rPr>
            </w:pPr>
          </w:p>
        </w:tc>
        <w:tc>
          <w:tcPr>
            <w:tcW w:w="880" w:type="dxa"/>
            <w:vAlign w:val="bottom"/>
          </w:tcPr>
          <w:p>
            <w:pPr>
              <w:jc w:val="center"/>
              <w:ind w:right="176"/>
              <w:spacing w:after="0" w:line="162" w:lineRule="exact"/>
              <w:rPr>
                <w:sz w:val="20"/>
                <w:szCs w:val="20"/>
                <w:color w:val="auto"/>
              </w:rPr>
            </w:pPr>
            <w:r>
              <w:rPr>
                <w:rFonts w:ascii="Times New Roman" w:cs="Times New Roman" w:eastAsia="Times New Roman" w:hAnsi="Times New Roman"/>
                <w:sz w:val="15"/>
                <w:szCs w:val="15"/>
                <w:b w:val="1"/>
                <w:bCs w:val="1"/>
                <w:color w:val="auto"/>
                <w:w w:val="96"/>
              </w:rPr>
              <w:t>Equity</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5"/>
                <w:szCs w:val="15"/>
                <w:b w:val="1"/>
                <w:bCs w:val="1"/>
                <w:color w:val="auto"/>
                <w:w w:val="96"/>
              </w:rPr>
              <w:t>Capital</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14,110,315</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1,898,423</w:t>
            </w:r>
          </w:p>
        </w:tc>
        <w:tc>
          <w:tcPr>
            <w:tcW w:w="9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56,567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66,375</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14,176,690</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1,898,423</w:t>
            </w:r>
          </w:p>
        </w:tc>
        <w:tc>
          <w:tcPr>
            <w:tcW w:w="9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57,371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55,642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0" w:type="dxa"/>
            <w:vAlign w:val="bottom"/>
            <w:tcBorders>
              <w:bottom w:val="single" w:sz="8" w:color="auto"/>
            </w:tcBorders>
            <w:gridSpan w:val="3"/>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0" w:type="dxa"/>
            <w:vAlign w:val="bottom"/>
            <w:tcBorders>
              <w:bottom w:val="single" w:sz="8" w:color="auto"/>
            </w:tcBorders>
            <w:gridSpan w:val="3"/>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w w:val="99"/>
              </w:rPr>
              <w:t>Common Stock Class A</w:t>
            </w:r>
          </w:p>
        </w:tc>
        <w:tc>
          <w:tcPr>
            <w:tcW w:w="1940" w:type="dxa"/>
            <w:vAlign w:val="bottom"/>
            <w:tcBorders>
              <w:bottom w:val="single" w:sz="8" w:color="auto"/>
            </w:tcBorders>
            <w:gridSpan w:val="2"/>
          </w:tcPr>
          <w:p>
            <w:pPr>
              <w:jc w:val="center"/>
              <w:ind w:left="56"/>
              <w:spacing w:after="0"/>
              <w:rPr>
                <w:sz w:val="20"/>
                <w:szCs w:val="20"/>
                <w:color w:val="auto"/>
              </w:rPr>
            </w:pPr>
            <w:r>
              <w:rPr>
                <w:rFonts w:ascii="Times New Roman" w:cs="Times New Roman" w:eastAsia="Times New Roman" w:hAnsi="Times New Roman"/>
                <w:sz w:val="15"/>
                <w:szCs w:val="15"/>
                <w:b w:val="1"/>
                <w:bCs w:val="1"/>
                <w:color w:val="auto"/>
                <w:w w:val="98"/>
              </w:rPr>
              <w:t>Common Stock Class B</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20" w:type="dxa"/>
            <w:vAlign w:val="bottom"/>
          </w:tcPr>
          <w:p>
            <w:pPr>
              <w:spacing w:after="0"/>
              <w:rPr>
                <w:sz w:val="24"/>
                <w:szCs w:val="24"/>
                <w:color w:val="auto"/>
              </w:rPr>
            </w:pPr>
          </w:p>
        </w:tc>
        <w:tc>
          <w:tcPr>
            <w:tcW w:w="8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36"/>
              <w:spacing w:after="0" w:line="162" w:lineRule="exact"/>
              <w:rPr>
                <w:sz w:val="20"/>
                <w:szCs w:val="20"/>
                <w:color w:val="auto"/>
              </w:rPr>
            </w:pPr>
            <w:r>
              <w:rPr>
                <w:rFonts w:ascii="Times New Roman" w:cs="Times New Roman" w:eastAsia="Times New Roman" w:hAnsi="Times New Roman"/>
                <w:sz w:val="15"/>
                <w:szCs w:val="15"/>
                <w:b w:val="1"/>
                <w:bCs w:val="1"/>
                <w:color w:val="auto"/>
                <w:w w:val="96"/>
              </w:rPr>
              <w:t>Additional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10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36"/>
              <w:spacing w:after="0" w:line="162" w:lineRule="exact"/>
              <w:rPr>
                <w:sz w:val="20"/>
                <w:szCs w:val="20"/>
                <w:color w:val="auto"/>
              </w:rPr>
            </w:pPr>
            <w:r>
              <w:rPr>
                <w:rFonts w:ascii="Times New Roman" w:cs="Times New Roman" w:eastAsia="Times New Roman" w:hAnsi="Times New Roman"/>
                <w:sz w:val="15"/>
                <w:szCs w:val="15"/>
                <w:b w:val="1"/>
                <w:bCs w:val="1"/>
                <w:color w:val="auto"/>
                <w:w w:val="98"/>
              </w:rPr>
              <w:t>Paid-in</w:t>
            </w:r>
          </w:p>
        </w:tc>
        <w:tc>
          <w:tcPr>
            <w:tcW w:w="11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Accumulated</w:t>
            </w:r>
          </w:p>
        </w:tc>
        <w:tc>
          <w:tcPr>
            <w:tcW w:w="11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20" w:type="dxa"/>
            <w:vAlign w:val="bottom"/>
          </w:tcPr>
          <w:p>
            <w:pPr>
              <w:spacing w:after="0"/>
              <w:rPr>
                <w:sz w:val="14"/>
                <w:szCs w:val="14"/>
                <w:color w:val="auto"/>
              </w:rPr>
            </w:pPr>
          </w:p>
        </w:tc>
        <w:tc>
          <w:tcPr>
            <w:tcW w:w="880" w:type="dxa"/>
            <w:vAlign w:val="bottom"/>
          </w:tcPr>
          <w:p>
            <w:pPr>
              <w:jc w:val="center"/>
              <w:ind w:right="176"/>
              <w:spacing w:after="0" w:line="162" w:lineRule="exact"/>
              <w:rPr>
                <w:sz w:val="20"/>
                <w:szCs w:val="20"/>
                <w:color w:val="auto"/>
              </w:rPr>
            </w:pPr>
            <w:r>
              <w:rPr>
                <w:rFonts w:ascii="Times New Roman" w:cs="Times New Roman" w:eastAsia="Times New Roman" w:hAnsi="Times New Roman"/>
                <w:sz w:val="15"/>
                <w:szCs w:val="15"/>
                <w:b w:val="1"/>
                <w:bCs w:val="1"/>
                <w:color w:val="auto"/>
                <w:w w:val="96"/>
              </w:rPr>
              <w:t>Equity</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5"/>
                <w:szCs w:val="15"/>
                <w:b w:val="1"/>
                <w:bCs w:val="1"/>
                <w:color w:val="auto"/>
                <w:w w:val="96"/>
              </w:rPr>
              <w:t>Capital</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2018</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12,935,546</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2,409,738</w:t>
            </w:r>
          </w:p>
        </w:tc>
        <w:tc>
          <w:tcPr>
            <w:tcW w:w="9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49,695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(9,961)</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122</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57,222</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2,175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Exercise of common stock</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issued to SMC</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397,502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2,981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13,390,270</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2,409,738</w:t>
            </w:r>
          </w:p>
        </w:tc>
        <w:tc>
          <w:tcPr>
            <w:tcW w:w="900" w:type="dxa"/>
            <w:vAlign w:val="bottom"/>
            <w:tcBorders>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54,915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(12,741)</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827</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43,002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8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11430</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62" w:lineRule="exact"/>
        <w:rPr>
          <w:sz w:val="20"/>
          <w:szCs w:val="20"/>
          <w:color w:val="auto"/>
        </w:rPr>
      </w:pPr>
    </w:p>
    <w:p>
      <w:pPr>
        <w:ind w:left="9220"/>
        <w:spacing w:after="0"/>
        <w:tabs>
          <w:tab w:leader="none" w:pos="10560" w:val="left"/>
        </w:tabs>
        <w:rPr>
          <w:sz w:val="20"/>
          <w:szCs w:val="20"/>
          <w:color w:val="auto"/>
        </w:rPr>
      </w:pPr>
      <w:r>
        <w:rPr>
          <w:rFonts w:ascii="Times New Roman" w:cs="Times New Roman" w:eastAsia="Times New Roman" w:hAnsi="Times New Roman"/>
          <w:sz w:val="15"/>
          <w:szCs w:val="15"/>
          <w:b w:val="1"/>
          <w:bCs w:val="1"/>
          <w:color w:val="auto"/>
        </w:rPr>
        <w:t>2019</w:t>
      </w:r>
      <w:r>
        <w:rPr>
          <w:sz w:val="20"/>
          <w:szCs w:val="20"/>
          <w:color w:val="auto"/>
        </w:rPr>
        <w:tab/>
      </w:r>
      <w:r>
        <w:rPr>
          <w:rFonts w:ascii="Times New Roman" w:cs="Times New Roman" w:eastAsia="Times New Roman" w:hAnsi="Times New Roman"/>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4445</wp:posOffset>
            </wp:positionV>
            <wp:extent cx="1732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right="2800" w:hanging="350"/>
        <w:spacing w:after="0" w:line="250" w:lineRule="auto"/>
        <w:rPr>
          <w:sz w:val="20"/>
          <w:szCs w:val="20"/>
          <w:color w:val="auto"/>
        </w:rPr>
      </w:pPr>
      <w:r>
        <w:rPr>
          <w:rFonts w:ascii="Times New Roman" w:cs="Times New Roman" w:eastAsia="Times New Roman" w:hAnsi="Times New Roman"/>
          <w:sz w:val="18"/>
          <w:szCs w:val="18"/>
          <w:color w:val="auto"/>
        </w:rPr>
        <w:t>Adjustments to reconcile net loss from operations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Equity income in net income of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Advances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payables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Repayments of short-term borrowings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4" w:lineRule="exact"/>
        <w:rPr>
          <w:sz w:val="20"/>
          <w:szCs w:val="20"/>
          <w:color w:val="auto"/>
        </w:rPr>
      </w:pPr>
    </w:p>
    <w:p>
      <w:pPr>
        <w:ind w:left="120"/>
        <w:spacing w:after="0"/>
        <w:tabs>
          <w:tab w:leader="none" w:pos="800" w:val="left"/>
          <w:tab w:leader="none" w:pos="1480" w:val="left"/>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1,857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(2,780)</w:t>
      </w:r>
    </w:p>
    <w:p>
      <w:pPr>
        <w:spacing w:after="0" w:line="200" w:lineRule="exact"/>
        <w:rPr>
          <w:sz w:val="20"/>
          <w:szCs w:val="20"/>
          <w:color w:val="auto"/>
        </w:rPr>
      </w:pPr>
    </w:p>
    <w:p>
      <w:pPr>
        <w:spacing w:after="0" w:line="241" w:lineRule="exact"/>
        <w:rPr>
          <w:sz w:val="20"/>
          <w:szCs w:val="20"/>
          <w:color w:val="auto"/>
        </w:rPr>
      </w:pPr>
    </w:p>
    <w:p>
      <w:pPr>
        <w:ind w:left="960"/>
        <w:spacing w:after="0"/>
        <w:tabs>
          <w:tab w:leader="none" w:pos="238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80</w:t>
      </w:r>
    </w:p>
    <w:p>
      <w:pPr>
        <w:spacing w:after="0" w:line="21" w:lineRule="exact"/>
        <w:rPr>
          <w:sz w:val="20"/>
          <w:szCs w:val="20"/>
          <w:color w:val="auto"/>
        </w:rPr>
      </w:pPr>
    </w:p>
    <w:p>
      <w:pPr>
        <w:ind w:left="2440" w:hanging="1536"/>
        <w:spacing w:after="0"/>
        <w:tabs>
          <w:tab w:leader="none" w:pos="2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1160"/>
        <w:spacing w:after="0"/>
        <w:tabs>
          <w:tab w:leader="none" w:pos="2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60"/>
        <w:spacing w:after="0"/>
        <w:tabs>
          <w:tab w:leader="none" w:pos="2160" w:val="left"/>
        </w:tabs>
        <w:rPr>
          <w:sz w:val="20"/>
          <w:szCs w:val="20"/>
          <w:color w:val="auto"/>
        </w:rPr>
      </w:pPr>
      <w:r>
        <w:rPr>
          <w:rFonts w:ascii="Times New Roman" w:cs="Times New Roman" w:eastAsia="Times New Roman" w:hAnsi="Times New Roman"/>
          <w:sz w:val="18"/>
          <w:szCs w:val="18"/>
          <w:color w:val="auto"/>
        </w:rPr>
        <w:t>744</w:t>
      </w:r>
      <w:r>
        <w:rPr>
          <w:sz w:val="20"/>
          <w:szCs w:val="20"/>
          <w:color w:val="auto"/>
        </w:rPr>
        <w:tab/>
      </w:r>
      <w:r>
        <w:rPr>
          <w:rFonts w:ascii="Times New Roman" w:cs="Times New Roman" w:eastAsia="Times New Roman" w:hAnsi="Times New Roman"/>
          <w:sz w:val="18"/>
          <w:szCs w:val="18"/>
          <w:color w:val="auto"/>
        </w:rPr>
        <w:t>2,175</w:t>
      </w:r>
    </w:p>
    <w:p>
      <w:pPr>
        <w:spacing w:after="0" w:line="213" w:lineRule="exact"/>
        <w:rPr>
          <w:sz w:val="20"/>
          <w:szCs w:val="20"/>
          <w:color w:val="auto"/>
        </w:rPr>
      </w:pPr>
    </w:p>
    <w:p>
      <w:pPr>
        <w:ind w:left="2400" w:hanging="1356"/>
        <w:spacing w:after="0"/>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1" w:lineRule="exact"/>
        <w:rPr>
          <w:rFonts w:ascii="Times New Roman" w:cs="Times New Roman" w:eastAsia="Times New Roman" w:hAnsi="Times New Roman"/>
          <w:sz w:val="18"/>
          <w:szCs w:val="18"/>
          <w:color w:val="auto"/>
        </w:rPr>
      </w:pPr>
    </w:p>
    <w:p>
      <w:pPr>
        <w:ind w:left="2180" w:hanging="1224"/>
        <w:spacing w:after="0"/>
        <w:tabs>
          <w:tab w:leader="none" w:pos="2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(2,759)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16"/>
        </w:trPr>
        <w:tc>
          <w:tcPr>
            <w:tcW w:w="1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190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1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7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(3,757)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16"/>
        </w:trPr>
        <w:tc>
          <w:tcPr>
            <w:tcW w:w="1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1,013</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1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(1,373)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1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(3,182)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r>
    </w:tbl>
    <w:p>
      <w:pPr>
        <w:spacing w:after="0" w:line="200" w:lineRule="exact"/>
        <w:rPr>
          <w:sz w:val="20"/>
          <w:szCs w:val="20"/>
          <w:color w:val="auto"/>
        </w:rPr>
      </w:pPr>
    </w:p>
    <w:p>
      <w:pPr>
        <w:spacing w:after="0" w:line="218" w:lineRule="exact"/>
        <w:rPr>
          <w:sz w:val="20"/>
          <w:szCs w:val="20"/>
          <w:color w:val="auto"/>
        </w:rPr>
      </w:pPr>
    </w:p>
    <w:p>
      <w:pPr>
        <w:ind w:left="2260" w:hanging="1356"/>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w:t>
      </w:r>
    </w:p>
    <w:p>
      <w:pPr>
        <w:spacing w:after="0" w:line="21" w:lineRule="exact"/>
        <w:rPr>
          <w:sz w:val="20"/>
          <w:szCs w:val="20"/>
          <w:color w:val="auto"/>
        </w:rPr>
      </w:pPr>
    </w:p>
    <w:p>
      <w:pPr>
        <w:ind w:left="2520" w:hanging="1447"/>
        <w:spacing w:after="0"/>
        <w:tabs>
          <w:tab w:leader="none" w:pos="2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2260" w:hanging="1356"/>
        <w:spacing w:after="0"/>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732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
        <w:spacing w:after="0"/>
        <w:tabs>
          <w:tab w:leader="none" w:pos="2160" w:val="left"/>
        </w:tabs>
        <w:rPr>
          <w:sz w:val="20"/>
          <w:szCs w:val="20"/>
          <w:color w:val="auto"/>
        </w:rPr>
      </w:pPr>
      <w:r>
        <w:rPr>
          <w:rFonts w:ascii="Times New Roman" w:cs="Times New Roman" w:eastAsia="Times New Roman" w:hAnsi="Times New Roman"/>
          <w:sz w:val="18"/>
          <w:szCs w:val="18"/>
          <w:color w:val="auto"/>
        </w:rPr>
        <w:t>8,285</w:t>
      </w:r>
      <w:r>
        <w:rPr>
          <w:sz w:val="20"/>
          <w:szCs w:val="20"/>
          <w:color w:val="auto"/>
        </w:rPr>
        <w:tab/>
      </w:r>
      <w:r>
        <w:rPr>
          <w:rFonts w:ascii="Times New Roman" w:cs="Times New Roman" w:eastAsia="Times New Roman" w:hAnsi="Times New Roman"/>
          <w:sz w:val="18"/>
          <w:szCs w:val="18"/>
          <w:color w:val="auto"/>
        </w:rPr>
        <w:t>7,387</w:t>
      </w:r>
    </w:p>
    <w:p>
      <w:pPr>
        <w:spacing w:after="0" w:line="21" w:lineRule="exact"/>
        <w:rPr>
          <w:sz w:val="20"/>
          <w:szCs w:val="20"/>
          <w:color w:val="auto"/>
        </w:rPr>
      </w:pPr>
    </w:p>
    <w:p>
      <w:pPr>
        <w:ind w:left="760"/>
        <w:spacing w:after="0"/>
        <w:tabs>
          <w:tab w:leader="none" w:pos="2120" w:val="left"/>
        </w:tabs>
        <w:rPr>
          <w:sz w:val="20"/>
          <w:szCs w:val="20"/>
          <w:color w:val="auto"/>
        </w:rPr>
      </w:pPr>
      <w:r>
        <w:rPr>
          <w:rFonts w:ascii="Times New Roman" w:cs="Times New Roman" w:eastAsia="Times New Roman" w:hAnsi="Times New Roman"/>
          <w:sz w:val="18"/>
          <w:szCs w:val="18"/>
          <w:color w:val="auto"/>
        </w:rPr>
        <w:t>(5,084)</w:t>
      </w:r>
      <w:r>
        <w:rPr>
          <w:sz w:val="20"/>
          <w:szCs w:val="20"/>
          <w:color w:val="auto"/>
        </w:rPr>
        <w:tab/>
      </w:r>
      <w:r>
        <w:rPr>
          <w:rFonts w:ascii="Times New Roman" w:cs="Times New Roman" w:eastAsia="Times New Roman" w:hAnsi="Times New Roman"/>
          <w:sz w:val="18"/>
          <w:szCs w:val="18"/>
          <w:color w:val="auto"/>
        </w:rPr>
        <w:t>(2,306)</w:t>
      </w:r>
    </w:p>
    <w:p>
      <w:pPr>
        <w:spacing w:after="0" w:line="20" w:lineRule="exact"/>
        <w:rPr>
          <w:sz w:val="20"/>
          <w:szCs w:val="20"/>
          <w:color w:val="auto"/>
        </w:rPr>
      </w:pPr>
    </w:p>
    <w:p>
      <w:pPr>
        <w:sectPr>
          <w:pgSz w:w="11900" w:h="16838" w:orient="portrait"/>
          <w:cols w:equalWidth="0" w:num="2">
            <w:col w:w="7980" w:space="720"/>
            <w:col w:w="2720"/>
          </w:cols>
          <w:pgMar w:left="240" w:top="555"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option exercise to common stock</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3,261</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280</w:t>
            </w:r>
          </w:p>
        </w:tc>
        <w:tc>
          <w:tcPr>
            <w:tcW w:w="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243</w:t>
            </w:r>
          </w:p>
        </w:tc>
        <w:tc>
          <w:tcPr>
            <w:tcW w:w="4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27,124</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27,367</w:t>
            </w:r>
          </w:p>
        </w:tc>
        <w:tc>
          <w:tcPr>
            <w:tcW w:w="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15,186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9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86" w:lineRule="exact"/>
        <w:rPr>
          <w:sz w:val="20"/>
          <w:szCs w:val="20"/>
          <w:color w:val="auto"/>
        </w:rPr>
      </w:pPr>
    </w:p>
    <w:p>
      <w:pPr>
        <w:jc w:val="both"/>
        <w:ind w:firstLine="324"/>
        <w:spacing w:after="0" w:line="310" w:lineRule="auto"/>
        <w:rPr>
          <w:sz w:val="20"/>
          <w:szCs w:val="20"/>
          <w:color w:val="auto"/>
        </w:rPr>
      </w:pPr>
      <w:r>
        <w:rPr>
          <w:rFonts w:ascii="Times New Roman" w:cs="Times New Roman" w:eastAsia="Times New Roman" w:hAnsi="Times New Roman"/>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51" w:lineRule="exact"/>
        <w:rPr>
          <w:sz w:val="20"/>
          <w:szCs w:val="20"/>
          <w:color w:val="auto"/>
        </w:rPr>
      </w:pPr>
    </w:p>
    <w:p>
      <w:pPr>
        <w:jc w:val="both"/>
        <w:ind w:firstLine="324"/>
        <w:spacing w:after="0" w:line="290" w:lineRule="auto"/>
        <w:rPr>
          <w:sz w:val="20"/>
          <w:szCs w:val="20"/>
          <w:color w:val="auto"/>
        </w:rPr>
      </w:pPr>
      <w:r>
        <w:rPr>
          <w:rFonts w:ascii="Times New Roman" w:cs="Times New Roman" w:eastAsia="Times New Roman" w:hAnsi="Times New Roman"/>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2011 ACM Shanghai formed a wholly owned subsidiary in the PRC, ACM Research (Wuxi), Inc. (“ACM Wuxi”), to manage sales and service operations.</w:t>
      </w:r>
    </w:p>
    <w:p>
      <w:pPr>
        <w:spacing w:after="0" w:line="24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7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18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Principles of Consolidation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 for reporting on Form 10-Q. Accordingly, they do not include all the information and footnotes required by GAAP for complete financial statements herein. The unaudited condensed consolidated financial statements herein should be read in conjunction with the historical consolidated financial statements of the Company for the year ended December 31, 2018 included in the Company’s Annual Report on Form 10-K for the year ended December 31, 2018.</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2019, the condensed consolidated statements of operations and comprehensive income (loss) for the three months ended March 31, 2019 and 2018, and the condensed consolidated statements of cash flows for the three months ended March 31, 2019 and 2018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2019 and the results of operations for the three months ended March 31, 2019 are not necessarily indicative of the results to be expected for any future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Net Income (Loss) per Common Share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income (loss) per common share is calculated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2019</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4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1,857</w:t>
            </w: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16"/>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16,044,655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15,383,086</w:t>
            </w:r>
          </w:p>
        </w:tc>
      </w:tr>
      <w:tr>
        <w:trPr>
          <w:trHeight w:val="223"/>
        </w:trPr>
        <w:tc>
          <w:tcPr>
            <w:tcW w:w="20" w:type="dxa"/>
            <w:vAlign w:val="bottom"/>
          </w:tcPr>
          <w:p>
            <w:pPr>
              <w:spacing w:after="0"/>
              <w:rPr>
                <w:sz w:val="19"/>
                <w:szCs w:val="19"/>
                <w:color w:val="auto"/>
              </w:rPr>
            </w:pPr>
          </w:p>
        </w:tc>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2,180,662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18,225,317</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15,383,086</w:t>
            </w: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0"/>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0.10</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months ended March 31, 2019 and 2018, the net income (loss) per common share attributable to each class is the same under the “two-class” method. As such, the two classes of common stock have been presented on a combined basis in the condensed consolidated statements of operations and comprehensive income (loss) and in the above computation of net income (loss) per common share.</w:t>
      </w:r>
    </w:p>
    <w:p>
      <w:pPr>
        <w:spacing w:after="0" w:line="19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Diluted net income (loss) per common share reflects the potential dilution from securities that could share in ACM’s earnings. ACM’s potential dilutive securities consist of convertible preferred stocks, warrants and stock options for the three months ended March 31, 2019 and 2018. Certain potential dilutive securities were excluded from the net income (loss) per share calculation because the impact would be anti-dilutive.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The amendments in ASU 2016-02 create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supersede the leases requirements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Effective January 1, 2019, we adopted the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requires the recognition of lease assets and these liabilities by leases for those leases classified as an operating lease under previous guidance. The original guidance required application on a modified retrospective basis with the earliest period presented. In August, 2018, the FASB issues ASU 2018-11, </w:t>
      </w:r>
      <w:r>
        <w:rPr>
          <w:rFonts w:ascii="Times New Roman" w:cs="Times New Roman" w:eastAsia="Times New Roman" w:hAnsi="Times New Roman"/>
          <w:sz w:val="18"/>
          <w:szCs w:val="18"/>
          <w:i w:val="1"/>
          <w:iCs w:val="1"/>
          <w:color w:val="auto"/>
        </w:rPr>
        <w:t>Targeted Improvements to ASC 842</w:t>
      </w:r>
      <w:r>
        <w:rPr>
          <w:rFonts w:ascii="Times New Roman" w:cs="Times New Roman" w:eastAsia="Times New Roman" w:hAnsi="Times New Roman"/>
          <w:sz w:val="18"/>
          <w:szCs w:val="18"/>
          <w:color w:val="auto"/>
        </w:rPr>
        <w:t xml:space="preserve">, which included an option to not restate comparative periods in transition and elect to use the effective date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the date of initial application of transition which we elected. As a result of the adoption of ASC 842 on January 1, 2019, we recorded both operating lease right-of-use (“ROU”) assets of $5,109 and lease liabilities of $5,109. The adoption of ASC 842 had no impact on our profit or loss and cash flows for the three-month period ended March 31, 2019. In addition, we elected the package of practical expedients permitted under the transition guidance within the new standard which allowed us to carry forward the historical lease classification. Additional information and disclosures required by this new standard are contained in Note 8, ‘Operating lease right-of-use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Accounting </w:t>
      </w:r>
      <w:r>
        <w:rPr>
          <w:rFonts w:ascii="Times New Roman" w:cs="Times New Roman" w:eastAsia="Times New Roman" w:hAnsi="Times New Roman"/>
          <w:sz w:val="18"/>
          <w:szCs w:val="18"/>
          <w:color w:val="auto"/>
        </w:rPr>
        <w:t>(“ASU 2018-07”), which simplifies several aspects of the accounting for nonemployee share-based payment transactions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the scope of Topic 718, Compensation-Stock Compensation, to include share-based payment transactions for acquiring goods and services from nonemployees. Some of the areas for simplification apply only to nonpublic entities. ASU 2018-07 specifies that Topic 718 applies to all share-based payment transactions in which a grantor acquires goods or services to be used or consumed in a grantor’s own operations by issuing share-based payment awards. ASU 2018-07 also clarify that Topic 718 does not apply to share-based payments used to effectively provide (1) financing to the issuer or (2) awards granted in conjunction with selling goods or services to customers as part of a contract accounted for under the New Revenue Standard.</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January 1, 2019, we adopted ASU 2018-07 and it did not have a material impact on our condensed consolidated financial statements.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(“ASU 2018-13”), which eliminates, adds and modifies certain disclosure requirements for fair value measurements. The modified standard eliminates the 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We are currently evaluating the impact of the adoption of ASU 2018-13 on our consolidated financial statements.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(“ASU 2017-04”),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is an SEC filer must adopt the amendments in ASU 2017-04 for its annual or any interim goodwill impairment test in fiscal years beginning after December 15, 2019. Early adoption is permitted for interim or annual goodwill impairment tests performed on testing dates after January 1, 2017. We are currently evaluating the impact of the adoption of ASU 2017-04 on our consolidated financial statements.</w:t>
      </w:r>
    </w:p>
    <w:p>
      <w:pPr>
        <w:spacing w:after="0" w:line="19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ASU 2016-13 replaced the incurred loss impairment methodology under current GAAP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Adoption of the standard requires using a modified retrospective approach through a cumulative-effect adjustment to retained earnings as of the effective date to align existing credit loss methodology with the new standard. We will adopt ASU 2016-13 effective January 1, 2020. We are currently evaluating the impact of this standard on our consolidated financial statements, including accounting policies, processes, and systems, but do not expect the standard will have a material impact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2019 and December 31, 2018, accounts receivable consisted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40" w:type="dxa"/>
            <w:vAlign w:val="bottom"/>
          </w:tcPr>
          <w:p>
            <w:pPr>
              <w:spacing w:after="0"/>
              <w:rPr>
                <w:sz w:val="17"/>
                <w:szCs w:val="17"/>
                <w:color w:val="auto"/>
              </w:rPr>
            </w:pPr>
          </w:p>
        </w:tc>
        <w:tc>
          <w:tcPr>
            <w:tcW w:w="112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w w:val="95"/>
              </w:rPr>
              <w:t>December 31,</w:t>
            </w: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5"/>
                <w:szCs w:val="15"/>
                <w:b w:val="1"/>
                <w:bCs w:val="1"/>
                <w:color w:val="auto"/>
              </w:rPr>
              <w:t>2019</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25,070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24,608</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25,070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24,608</w:t>
            </w:r>
          </w:p>
        </w:tc>
      </w:tr>
    </w:tbl>
    <w:p>
      <w:pPr>
        <w:spacing w:after="0" w:line="20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reviews accounts receivable on a periodic basis and makes general and specific allowances when there is doubt as to the collectability of individual balances. No allowance for doubtful accounts was considered necessary at March 31, 2019 or December 31, 2018. At March 31, 2019 and December 31, 2018, accounts receivable of $0 and $1,457, respectively, were pledged as collateral for borrowings from financial institutions.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2019 and December 31, 2018, inventory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4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2019</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13,285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12,646</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15,981</w:t>
            </w:r>
          </w:p>
        </w:tc>
        <w:tc>
          <w:tcPr>
            <w:tcW w:w="24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9,631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12,987</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16,487</w:t>
            </w: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 gross</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42,253</w:t>
            </w:r>
          </w:p>
        </w:tc>
        <w:tc>
          <w:tcPr>
            <w:tcW w:w="24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38,764</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42,253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38,764</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At March 31, 2019 and December 31, 2018, the Company did not have an inventory reserve and no inventory was pledged as collateral for borrowings from financial institutions. System shipments of first-tools to an existing or prospective customer, for which ownership does not transfer until customer acceptance, are classified as finished goods inventory and carried at cost until ownership is transferred.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2019 and December 31, 2018, property, plant and equipment consisted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20" w:type="dxa"/>
            <w:vAlign w:val="bottom"/>
          </w:tcPr>
          <w:p>
            <w:pPr>
              <w:spacing w:after="0"/>
              <w:rPr>
                <w:sz w:val="17"/>
                <w:szCs w:val="17"/>
                <w:color w:val="auto"/>
              </w:rPr>
            </w:pP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w w:val="95"/>
              </w:rPr>
              <w:t>December 31,</w:t>
            </w:r>
          </w:p>
        </w:tc>
      </w:tr>
      <w:tr>
        <w:trPr>
          <w:trHeight w:val="206"/>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9,894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9,703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1,444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12,016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11,778</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Total accumulated depreciation</w:t>
            </w:r>
          </w:p>
        </w:tc>
        <w:tc>
          <w:tcPr>
            <w:tcW w:w="28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(8,377)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3,708</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$175 and $85 for the three months ended March 31, 2019 and 2018,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2" w:name="page13"/>
    <w:bookmarkEnd w:id="12"/>
    <w:p>
      <w:pPr>
        <w:jc w:val="center"/>
        <w:ind w:left="274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ind w:left="27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left="27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SHORT-TERM BORROWINGS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2019 and December 31, 2018, short-term borrowings consisted of the following:</w:t>
      </w:r>
    </w:p>
    <w:p>
      <w:pPr>
        <w:spacing w:after="0" w:line="200" w:lineRule="exact"/>
        <w:rPr>
          <w:sz w:val="20"/>
          <w:szCs w:val="20"/>
          <w:color w:val="auto"/>
        </w:rPr>
      </w:pPr>
    </w:p>
    <w:p>
      <w:pPr>
        <w:spacing w:after="0" w:line="3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Line of credit up to RMB 50,000 from Bank of Shanghai Pudong Branch, due on April 17,2019 with an annual interest rate of 4.99%, guaranteed by the Company’s CEO and fully repaid on March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Line of credit up to RMB 50,000 from Bank of Shanghai Pudong Branch, due on February 14,2019 with an annual interest rate of 5.15%, guaranteed by the Company’s CEO and fully repaid on February 14, 2019.</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Line of credit up to RMB 50,000 from Bank of Shanghai Pudong Branch, due on January 23, 2020 with an annual interest rate of 5.22%, guaranteed by the Company’s CEO and Cleanchip Technologies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Line of credit up to RMB 30,000 from Bank of China Pudong Branch, due on June 06, 2019 with annual interest rate of 5.22%, secured by certain of the Company’s intellectual property and the Company’s CEO.</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Line of credit up to RMB 30,000 from Bank of China Pudong Branch, due on June 13, 2019 with annual interest rate of 5.22%, secured by certain of the Company’s intellectual property and the Company’s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Line of credit up to RMB 10,000 from Shanghai Rural Commercial Bank, due on January 23, 2019 with an annual interest rate of 5.44%, guaranteed by the Company’s CEO and pledged by accounts receivable,and fully repaid on January 23, 2019.</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Line of credit up to RMB 20,000 from Shanghai Rural Commercial Bank, due on February 21, 2020 with an annual interest rate of 5.66%, guaranteed by the Company’s CEO and pledged by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Line of credit up to RMB 20,000 from Bank of Communications, due on January 18, 2020 with an annual interest rate of 5.66%.</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Line of credit up to RMB 20,000 from Bank of Communications, due on January 22, 2020 with an annual interest rate of 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Line of credit up to RMB 20,000 from Bank of Communications, due on February 14, 2020 with an annual interest rate of 5.66%.</w:t>
      </w:r>
    </w:p>
    <w:p>
      <w:pPr>
        <w:spacing w:after="0" w:line="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Line of credit up to RMB 50,000 from China Everbright Bank, due on March 25, 2020 with an annual interest rate of 4.94%, guaranteed by the Company’s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5"/>
                <w:szCs w:val="15"/>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4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186"/>
        </w:trPr>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5"/>
                <w:szCs w:val="15"/>
                <w:b w:val="1"/>
                <w:bCs w:val="1"/>
                <w:color w:val="auto"/>
              </w:rPr>
              <w:t>2019</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430"/>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3,133</w:t>
            </w: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485</w:t>
            </w: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2,228</w:t>
            </w:r>
          </w:p>
        </w:tc>
        <w:tc>
          <w:tcPr>
            <w:tcW w:w="240" w:type="dxa"/>
            <w:vAlign w:val="bottom"/>
          </w:tcPr>
          <w:p>
            <w:pPr>
              <w:spacing w:after="0"/>
              <w:rPr>
                <w:sz w:val="24"/>
                <w:szCs w:val="24"/>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2,186</w:t>
            </w: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2,228</w:t>
            </w:r>
          </w:p>
        </w:tc>
        <w:tc>
          <w:tcPr>
            <w:tcW w:w="240" w:type="dxa"/>
            <w:vAlign w:val="bottom"/>
          </w:tcPr>
          <w:p>
            <w:pPr>
              <w:spacing w:after="0"/>
              <w:rPr>
                <w:sz w:val="24"/>
                <w:szCs w:val="24"/>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2,186</w:t>
            </w:r>
          </w:p>
        </w:tc>
      </w:tr>
      <w:tr>
        <w:trPr>
          <w:trHeight w:val="648"/>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1,457</w:t>
            </w: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1,485</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1,485</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1"/>
        </w:trPr>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6"/>
        </w:trPr>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12,829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9,447</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00" w:space="0"/>
            <w:col w:w="2720"/>
          </w:cols>
          <w:pgMar w:left="240" w:top="555" w:right="239" w:bottom="1440" w:gutter="0" w:footer="0" w:header="0"/>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Interest expense related to short-term borrowings amounted to $139 and $103 for the three months ended March 31, 2019 and 2018,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OTHER PAYABLE AND ACCRUED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2019 and December 31, 2018, other payable and accrued expenses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40" w:type="dxa"/>
            <w:vAlign w:val="bottom"/>
          </w:tcPr>
          <w:p>
            <w:pPr>
              <w:spacing w:after="0"/>
              <w:rPr>
                <w:sz w:val="15"/>
                <w:szCs w:val="15"/>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expenses and payable for leasehold improvement due to a related party (note 11)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8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2,663</w:t>
            </w: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2,931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8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machine testing fees</w:t>
            </w:r>
          </w:p>
        </w:tc>
        <w:tc>
          <w:tcPr>
            <w:tcW w:w="28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2,978</w:t>
            </w: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3,076</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2,797</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11,834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10,410</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We lease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74" w:lineRule="exact"/>
        <w:rPr>
          <w:sz w:val="20"/>
          <w:szCs w:val="20"/>
          <w:color w:val="auto"/>
        </w:rPr>
      </w:pPr>
    </w:p>
    <w:p>
      <w:pPr>
        <w:jc w:val="both"/>
        <w:ind w:right="360" w:firstLine="648"/>
        <w:spacing w:after="0" w:line="262" w:lineRule="auto"/>
        <w:rPr>
          <w:sz w:val="20"/>
          <w:szCs w:val="20"/>
          <w:color w:val="auto"/>
        </w:rPr>
      </w:pPr>
      <w:r>
        <w:rPr>
          <w:rFonts w:ascii="Times New Roman" w:cs="Times New Roman" w:eastAsia="Times New Roman" w:hAnsi="Times New Roman"/>
          <w:sz w:val="18"/>
          <w:szCs w:val="18"/>
          <w:color w:val="auto"/>
        </w:rPr>
        <w:t>Most leases include one or more options to renew. The exercise of lease renewal options is typically at our sole discretion; therefore, the majority of renewals to extend the lease terms are not included in our right-of–use assets and lease liabilities as they are not reasonably certain of exercise. We regularly evaluate the renewal options and when they are reasonably certain of exercise, we include the renewal period in our lease term.</w:t>
      </w:r>
    </w:p>
    <w:p>
      <w:pPr>
        <w:spacing w:after="0" w:line="186"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 We have a centrally managed treasury function; therefore, based on the applicable lease terms and the current economic environment, we apply a portfolio approach for determining the incremental borrowing rate.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our lease expense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6"/>
        </w:trPr>
        <w:tc>
          <w:tcPr>
            <w:tcW w:w="2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5"/>
                <w:szCs w:val="15"/>
                <w:b w:val="1"/>
                <w:bCs w:val="1"/>
                <w:color w:val="auto"/>
              </w:rPr>
              <w:t>2019</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437</w:t>
            </w: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20" w:type="dxa"/>
            <w:vAlign w:val="bottom"/>
          </w:tcPr>
          <w:p>
            <w:pPr>
              <w:spacing w:after="0"/>
              <w:rPr>
                <w:sz w:val="22"/>
                <w:szCs w:val="22"/>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455</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Supplemental cash flow information related to our operating leases was as follows for the period ended March 31,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Three months</w:t>
            </w:r>
          </w:p>
        </w:tc>
      </w:tr>
      <w:tr>
        <w:trPr>
          <w:trHeight w:val="162"/>
        </w:trPr>
        <w:tc>
          <w:tcPr>
            <w:tcW w:w="53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ended</w:t>
            </w:r>
          </w:p>
        </w:tc>
      </w:tr>
      <w:tr>
        <w:trPr>
          <w:trHeight w:val="162"/>
        </w:trPr>
        <w:tc>
          <w:tcPr>
            <w:tcW w:w="53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March 31,</w:t>
            </w:r>
          </w:p>
        </w:tc>
      </w:tr>
      <w:tr>
        <w:trPr>
          <w:trHeight w:val="186"/>
        </w:trPr>
        <w:tc>
          <w:tcPr>
            <w:tcW w:w="5300" w:type="dxa"/>
            <w:vAlign w:val="bottom"/>
          </w:tcPr>
          <w:p>
            <w:pPr>
              <w:spacing w:after="0"/>
              <w:rPr>
                <w:sz w:val="16"/>
                <w:szCs w:val="16"/>
                <w:color w:val="auto"/>
              </w:rPr>
            </w:pPr>
          </w:p>
        </w:tc>
        <w:tc>
          <w:tcPr>
            <w:tcW w:w="6120" w:type="dxa"/>
            <w:vAlign w:val="bottom"/>
            <w:gridSpan w:val="2"/>
          </w:tcPr>
          <w:p>
            <w:pPr>
              <w:jc w:val="center"/>
              <w:ind w:left="4657"/>
              <w:spacing w:after="0"/>
              <w:rPr>
                <w:sz w:val="20"/>
                <w:szCs w:val="20"/>
                <w:color w:val="auto"/>
              </w:rPr>
            </w:pPr>
            <w:r>
              <w:rPr>
                <w:rFonts w:ascii="Times New Roman" w:cs="Times New Roman" w:eastAsia="Times New Roman" w:hAnsi="Times New Roman"/>
                <w:sz w:val="15"/>
                <w:szCs w:val="15"/>
                <w:b w:val="1"/>
                <w:bCs w:val="1"/>
                <w:color w:val="auto"/>
                <w:w w:val="99"/>
              </w:rPr>
              <w:t>2019</w:t>
            </w:r>
          </w:p>
        </w:tc>
      </w:tr>
      <w:tr>
        <w:trPr>
          <w:trHeight w:val="24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7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1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61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455</w:t>
            </w:r>
          </w:p>
        </w:tc>
      </w:tr>
      <w:tr>
        <w:trPr>
          <w:trHeight w:val="674"/>
        </w:trPr>
        <w:tc>
          <w:tcPr>
            <w:tcW w:w="53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jc w:val="right"/>
              <w:ind w:right="4177"/>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5"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Maturities of our lease liabilities for all operating leases are as follows as of March 31, 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63"/>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6"/>
        </w:trPr>
        <w:tc>
          <w:tcPr>
            <w:tcW w:w="2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2019</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1,424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1,456</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5,497</w:t>
            </w: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57"/>
        </w:trPr>
        <w:tc>
          <w:tcPr>
            <w:tcW w:w="20" w:type="dxa"/>
            <w:vAlign w:val="bottom"/>
          </w:tcPr>
          <w:p>
            <w:pPr>
              <w:spacing w:after="0"/>
              <w:rPr>
                <w:sz w:val="22"/>
                <w:szCs w:val="22"/>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4,787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all of our operating leases were as follows as of March 31, 2019:</w:t>
      </w:r>
    </w:p>
    <w:p>
      <w:pPr>
        <w:sectPr>
          <w:pgSz w:w="11900" w:h="16838" w:orient="portrait"/>
          <w:cols w:equalWidth="0" w:num="1">
            <w:col w:w="11420"/>
          </w:cols>
          <w:pgMar w:left="240" w:top="557" w:right="239" w:bottom="1440" w:gutter="0" w:footer="0" w:header="0"/>
        </w:sect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OTHER LONG-TERM LIABILITIES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-7620</wp:posOffset>
            </wp:positionV>
            <wp:extent cx="866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3.80</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6985</wp:posOffset>
            </wp:positionV>
            <wp:extent cx="866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621" w:lineRule="exact"/>
        <w:rPr>
          <w:sz w:val="20"/>
          <w:szCs w:val="20"/>
          <w:color w:val="auto"/>
        </w:rPr>
      </w:pPr>
    </w:p>
    <w:p>
      <w:pPr>
        <w:sectPr>
          <w:pgSz w:w="11900" w:h="16838" w:orient="portrait"/>
          <w:cols w:equalWidth="0" w:num="2">
            <w:col w:w="9700" w:space="720"/>
            <w:col w:w="1000"/>
          </w:cols>
          <w:pgMar w:left="240" w:top="557" w:right="239" w:bottom="1440" w:gutter="0" w:footer="0" w:header="0"/>
          <w:type w:val="continuous"/>
        </w:sectPr>
      </w:pPr>
    </w:p>
    <w:p>
      <w:pPr>
        <w:spacing w:after="0" w:line="5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Other long-term liabilities represent government subsidies received from PRC governmental authorities for development and commercialization of certain technology but not yet recognized. As of March 31, 2019, and December 31, 2018, other long-term liabilities consisted of the following unearned government subsidies: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4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2019</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to Stress Free Polishing project, commenced in 2008 and 2017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1,483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Subsidies to Electro Copper Plating project, commenced in 2014</w:t>
            </w:r>
          </w:p>
        </w:tc>
        <w:tc>
          <w:tcPr>
            <w:tcW w:w="28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1,598</w:t>
            </w:r>
          </w:p>
        </w:tc>
        <w:tc>
          <w:tcPr>
            <w:tcW w:w="24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2,860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to Polytetrafluoroethylene, commenced in 2018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62</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3,296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4,583</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EQUITY METHOD INVESTMENT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BALANCES AND TRANSACTIONS</w:t>
      </w:r>
    </w:p>
    <w:p>
      <w:pPr>
        <w:spacing w:after="0" w:line="227" w:lineRule="exact"/>
        <w:rPr>
          <w:sz w:val="20"/>
          <w:szCs w:val="20"/>
          <w:color w:val="auto"/>
        </w:rPr>
      </w:pPr>
    </w:p>
    <w:p>
      <w:pPr>
        <w:jc w:val="both"/>
        <w:ind w:firstLine="324"/>
        <w:spacing w:after="0" w:line="296" w:lineRule="auto"/>
        <w:rPr>
          <w:sz w:val="20"/>
          <w:szCs w:val="20"/>
          <w:color w:val="auto"/>
        </w:rPr>
      </w:pPr>
      <w:r>
        <w:rPr>
          <w:rFonts w:ascii="Times New Roman" w:cs="Times New Roman" w:eastAsia="Times New Roman" w:hAnsi="Times New Roman"/>
          <w:sz w:val="16"/>
          <w:szCs w:val="16"/>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ACM purchased materials from Ninebell amounting to $2,320 and $970 during the three months ended March 31, 2019 and 2018. As of March 31, 2019 and December 31, 2018, accounts payable due to Ninebell were $1,476 and $1,477, respectively, and prepaid to Ninebell for material purchases were $871 and $572,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would pay a monthly rental fee of approximately RMB 366 (equivalent to $55). The required security deposit is RMB 1,077 (equivalent to $163). The Company incurred leasing expenses under the lease agreement of $150 and $172 during the three months ended March 31, 2019 and 2018, respectively. As of March 31, 2019 and December 31, 2018, payables to Zhangjiang Group for lease expenses and leasehold improvements recorded as other payables and accrued expenses amounted to $0 and $53, respectively (note 7).</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9, 2016, ACM Shanghai received the SMC Investment from SMC for potential investment pursuant to terms to be subsequently negotiated (note 8).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 for a total exercise price of $2,981. On March 30, 2018, SMC exercised the warrant and purchased 397,502 shares of Class A common stock (note 12).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WARRANT LIABILITY</w:t>
      </w:r>
    </w:p>
    <w:p>
      <w:pPr>
        <w:spacing w:after="0" w:line="22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warrant issued to SMC, while outstanding as of December 31, 2017, was classified as a liability as it was conditionally puttable in accordance with FASB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fair value of the warrant was adjusted for changes in fair value at each reporting period but could not be lower than the proceeds of the SMC Investment. The corresponding non-cash gain or loss of the changes in fair value was recorded in earnings. The methodology used to value the warrant was the Black-Scholes valuation model.</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30, 2018, ACM entered into a warrant exercise agreement with ACM Shanghai and SMC pursuant to which SMC exercised its warrant in full by issuing to ACM a senior secured promissory note in the principal amount of approximately $3,000. ACM then transferred the SMC note to ACM Shanghai in exchange for an intercompany promissory note of ACM Shanghai in the principal amount of approximately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 Upon the issuance of 397,502 shares of Class A common stock to SMC, the senior secured promissory note issued to AMC by SMC was offset against the SMC investment.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COMMON STOCK</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ACM is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 holders.</w:t>
      </w:r>
    </w:p>
    <w:p>
      <w:pPr>
        <w:spacing w:after="0" w:line="193"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At December 31, 2017, the number of shares of Class A common stock issued and outstanding was 12,935,546. At December 31, 2017, the number of shares of Class B common stock issued and outstanding was 2,409,738,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30, 2018, SMC exercised its warrant (note 12) and purchased 397,502 shares of Class A common stock.</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At March 31, 2018, the number of shares of Class A common stock issued and outstanding was 13,390,270. At March 31, 2018, the number of shares of Class B common stock issued and outstanding was 2,409,738. During the three months ended March 31, 2018, no share of Class B common stock was converted into Class A common stock.</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2018, the number of shares of Class A common stock issued and outstanding was 14,110,315. At December 31, 2018, the number of shares of Class B common stock issued and outstanding was 1,898,423. During the three months ended March 31, 2019, the Company issued 66,375 shares of Class A common stock, respectively, upon options exercises by certain employees and non-employees. During the three months ended March 31, 2019, no shares of Class B common stock were converted into Class A common stock.</w:t>
      </w:r>
    </w:p>
    <w:p>
      <w:pPr>
        <w:spacing w:after="0" w:line="190" w:lineRule="exact"/>
        <w:rPr>
          <w:sz w:val="20"/>
          <w:szCs w:val="20"/>
          <w:color w:val="auto"/>
        </w:rPr>
      </w:pPr>
    </w:p>
    <w:p>
      <w:pPr>
        <w:jc w:val="both"/>
        <w:ind w:right="20" w:firstLine="324"/>
        <w:spacing w:after="0" w:line="275" w:lineRule="auto"/>
        <w:rPr>
          <w:sz w:val="20"/>
          <w:szCs w:val="20"/>
          <w:color w:val="auto"/>
        </w:rPr>
      </w:pPr>
      <w:r>
        <w:rPr>
          <w:rFonts w:ascii="Times New Roman" w:cs="Times New Roman" w:eastAsia="Times New Roman" w:hAnsi="Times New Roman"/>
          <w:sz w:val="18"/>
          <w:szCs w:val="18"/>
          <w:color w:val="auto"/>
        </w:rPr>
        <w:t>At March 31, 2019, the number of shares of Class A common stock issued and outstanding was 14,176,790. At March 31, 2019, the number of shares of Class B common stock issued and outstanding was 1,898,423.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22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ACM’s stock-based compensation awards consisting of employee and non-employee awards were issued under the 1998 Stock Option Plan and 2016 Omnibus Incentive Plan and as standalone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employee share option activities during the three months ended March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4"/>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30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Weighed Average</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0" w:type="dxa"/>
            <w:vAlign w:val="bottom"/>
          </w:tcPr>
          <w:p>
            <w:pPr>
              <w:jc w:val="right"/>
              <w:ind w:right="295"/>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Average Grant</w:t>
            </w:r>
          </w:p>
        </w:tc>
        <w:tc>
          <w:tcPr>
            <w:tcW w:w="13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b w:val="1"/>
                <w:bCs w:val="1"/>
                <w:color w:val="auto"/>
              </w:rPr>
              <w:t>Average Exercise</w:t>
            </w: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Remaining Contractual</w:t>
            </w:r>
          </w:p>
        </w:tc>
      </w:tr>
      <w:tr>
        <w:trPr>
          <w:trHeight w:val="186"/>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Option Share</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Date Fair Value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Term</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2,503,405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0.91</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4.09</w:t>
            </w:r>
          </w:p>
        </w:tc>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7.30 years</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(11,375)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0.65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1.68</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3.00</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2,491,402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7.06 years</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31, 2019</w:t>
            </w:r>
          </w:p>
        </w:tc>
        <w:tc>
          <w:tcPr>
            <w:tcW w:w="14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1,544,974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recognized employee stock-based compensation expense of $221 and $93, respectively. As of March 31, 2019 and December 31, 2018, $2,203 and $2,424, respectively, of total unrecognized employee stock-based compensation expense, net of estimated forfeitures, related to stock-based awards were expected to be recognized over a weighted-average period of 1.41 years and 1.62 years, respectively. Total recognized compensation cost may be adjusted for future changes in estimated forfeitures.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options were granted to employees during the three months ended March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non-employee share option activities during the three months ended March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4"/>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30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Weighted Average</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0" w:type="dxa"/>
            <w:vAlign w:val="bottom"/>
          </w:tcPr>
          <w:p>
            <w:pPr>
              <w:jc w:val="right"/>
              <w:ind w:right="295"/>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Average Grant</w:t>
            </w:r>
          </w:p>
        </w:tc>
        <w:tc>
          <w:tcPr>
            <w:tcW w:w="13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b w:val="1"/>
                <w:bCs w:val="1"/>
                <w:color w:val="auto"/>
              </w:rPr>
              <w:t>Average Exercise</w:t>
            </w: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Remaining Contractual</w:t>
            </w:r>
          </w:p>
        </w:tc>
      </w:tr>
      <w:tr>
        <w:trPr>
          <w:trHeight w:val="186"/>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Option Shares</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Date Fair Value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Term</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1,212,374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0.78</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2.57</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6.66 years</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0.75</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1,157,374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0.78</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6.66 years</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31, 2019</w:t>
            </w:r>
          </w:p>
        </w:tc>
        <w:tc>
          <w:tcPr>
            <w:tcW w:w="14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950,237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adopted ASU 2018-07 on January 1, 2019 and the stock-based compensation expense for grants before the adoption of ASU 2018-07 is based on the grant date fair value as of December 31, 2018, which was the last business day before we adopted ASU 2018-07, for all nonemployee awards that have not vested as of December 31, 2018. Furthermore, for future awards, compensation expense is based on the market value of the shares at the grant date. Refer to "Note 2 - Summary of Significant Accounting Policies" for further discussion on our adoption of ASU 2018-07.</w:t>
      </w:r>
    </w:p>
    <w:p>
      <w:pPr>
        <w:sectPr>
          <w:pgSz w:w="11900" w:h="16838" w:orient="portrait"/>
          <w:cols w:equalWidth="0" w:num="1">
            <w:col w:w="11420"/>
          </w:cols>
          <w:pgMar w:left="240" w:top="555" w:right="239" w:bottom="0" w:gutter="0" w:footer="0" w:header="0"/>
        </w:sectPr>
      </w:pPr>
    </w:p>
    <w:bookmarkStart w:id="17" w:name="page18"/>
    <w:bookmarkEnd w:id="1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recognized stock-based compensation expense of $523 and $2,083 for the three months ended March 31, 2019 and 2018, respectively, related to share option vesting. As of March 31, 2019 and December 31, 2018, $1,190 and $1,713, respectively, of total unrecognized non-employee stock-based compensation expense, net of estimated forfeitures, related to stock-based awards were expected to be recognized over a weighted-average period of 1.37 years and 1.31 years, respectively. Total recognized compensation cost may be adjusted for future changes in estimated forfeitures.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9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in particular the Company’s three-year historical cumulative losses, recent operating results and U.S. pre-tax loss for the three months ended March 31, 2019, the Company recorded a valuation allowance against its U.S. net deferred tax assets. In order to fully realize the U.S. deferred tax assets, the Company will need to generate sufficient taxable income in future periods before the expiration of the deferred tax assets governed by the tax code.</w:t>
      </w:r>
    </w:p>
    <w:p>
      <w:pPr>
        <w:spacing w:after="0" w:line="19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each period since inception, the Company has recorded a valuation allowance for the full amount of net deferred tax assets in the United States, as the realization of deferred tax assets is uncertain. ACM Shanghai has shown a three-year historical cumulative profit and has projections of future income. As a result, the Company maintained a partial consolidated valuation allowance for the three and nine months ended March 31, 2019 and December 31, 2018.</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expense of $119 and $22 during the three months ended March 31, 2019 and 2018, respectively.</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As of March 31, 2019, the Company's total unrecognized tax benefits were approximately $44, which would not affect the effective tax rate if recognized. The Company will recognize interest and penalties, when they occur, related to uncertain tax provisions as a component of tax expense. No interest or penalties were recognized for the three months ended March 31,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1999 through December 31, 2017. This is due to the Company’s tax attribute carry-forwards, the tax years in which the attribute was generated may still be adjusted upon examination by the U.S. Internal Revenue Service, state or foreign tax authorities to the extent utilized in a future period.</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Cuts and Jobs Act (the "Tax Act"), enacted on December 22, 2017, introduced significant changes to U.S. income tax law. Effective January 1, 2018, the Tax Act reduced the U.S. statutory tax rate from 35% to 21% and created new taxes on certain foreign-sourced earnings and certain intercompany payments. Due to the timing of the enactment and the complexity involved in applying the provisions of the Tax Act, the Company made reasonable estimates of the effects and recorded provisional amounts in its financial statements as of December 31, 2017. There were no adjustments made in the three months ended March 31, 2019. The accounting for the tax effects of the Tax Act was completed in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7" w:lineRule="exact"/>
        <w:rPr>
          <w:sz w:val="20"/>
          <w:szCs w:val="20"/>
          <w:color w:val="auto"/>
        </w:rPr>
      </w:pPr>
    </w:p>
    <w:p>
      <w:pPr>
        <w:jc w:val="both"/>
        <w:ind w:right="20" w:firstLine="324"/>
        <w:spacing w:after="0" w:line="275" w:lineRule="auto"/>
        <w:rPr>
          <w:sz w:val="20"/>
          <w:szCs w:val="20"/>
          <w:color w:val="auto"/>
        </w:rPr>
      </w:pPr>
      <w:r>
        <w:rPr>
          <w:rFonts w:ascii="Times New Roman" w:cs="Times New Roman" w:eastAsia="Times New Roman" w:hAnsi="Times New Roman"/>
          <w:sz w:val="18"/>
          <w:szCs w:val="18"/>
          <w:color w:val="auto"/>
        </w:rPr>
        <w:t>The Company leases offices under non-cancelable operating lease agreements. See note 12 for future minimum lease payments under non-cancelable operating lease agreements with initial terms of one year or more.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2019, the Company did not have any capital commitments.</w:t>
      </w:r>
    </w:p>
    <w:p>
      <w:pPr>
        <w:spacing w:after="0" w:line="225"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including claims in the ordinary course of business and claims with respect to patent infringements. As of March 31, 2019, the Company did not have any legal proceedings.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2018, or our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the section titled “Item 1A. Risk Factors” in Part II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prices for our single-wafer wet-cleaning tools range from $2 million to more than $5 million. Our customers for single-wafer wet-cleaning tools have included Semiconductor Manufacturing International Corporation, Shanghai Huali Microelectronics Corporation, SK Hynix Inc. and Yangtze Memory Technologies Co., Ltd. We recognized revenue from sales of single-wafer wet cleaning equipment totaling $13.0 million, or 63% of total revenue, for the first three months of 2019 and $9.5 million, or 98% of total revenue, for the first three months of 2018.</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60 single-wafer wet cleaning tools, more than 50 of which have been accepted by customers and thereby generated revenue to us and the balance of which are awaiting customer acceptance should contractual conditions be met.</w:t>
      </w:r>
    </w:p>
    <w:p>
      <w:pPr>
        <w:spacing w:after="0" w:line="193"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174" w:lineRule="exact"/>
        <w:rPr>
          <w:sz w:val="20"/>
          <w:szCs w:val="20"/>
          <w:color w:val="auto"/>
        </w:rPr>
      </w:pPr>
    </w:p>
    <w:p>
      <w:pPr>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Alternated Phase Shift, or SAPS, technology for flat and patterned wafer surfaces, which employs alternating phases of megasonic waves to deliver megasonic energy in a highly uniform manner on a microscopic level;</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Energized Bubble Oscillation, or TEBO, technology for patterned wafer surfaces at advanced process nodes, which provides effective, damage-free cleaning for 2D and 3D patterned wafers with fine feature sizes; and</w:t>
      </w: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Tahoe technology for cost and environmental savings, which delivers high cleaning performance using significantly less sulfuric acid and hydrogen peroxide than is typically consumed by conventional high-temperature single-wafer cleaning tools.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been issued more than 220 patents in the United States, the People’s Republic of China or PRC, Japan, Korea, Singapore and Taiwan.</w:t>
      </w:r>
    </w:p>
    <w:p>
      <w:pPr>
        <w:spacing w:after="0" w:line="158"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Background</w:t>
      </w:r>
    </w:p>
    <w:p>
      <w:pPr>
        <w:spacing w:after="0" w:line="22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ACM Research was incorporated in California in 1998 and redomesticated in Delaware in 2016. We perform strategic planning, marketing, and financial activities at our global corporate headquarters in Fremont, California.</w:t>
      </w:r>
    </w:p>
    <w:p>
      <w:pPr>
        <w:spacing w:after="0" w:line="174"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Initially we focused on developing tools for chip manufacturing process steps involving the integration of ultra-low-K materials and copper. In the early 2000s we sold tools based on stress-free copper polishing technology.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1" w:name="page22"/>
    <w:bookmarkEnd w:id="21"/>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To help us establish and build relationships with chip manufacturers in the PRC, in 2006 we moved our operational center to Shanghai and began to conduct our business through our subsidiary ACM Shanghai. In 2007 we began to focus our development efforts on single-wafer wet-cleaning solutions for the front-end chip fabrication process.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 In August 2018, we introduced the Ultra-C Tahoe wafer cleaning tool, which delivers high cleaning performance with significantly less sulfuric acid than typically consumed by conventional high temperature single-wafer cleaning tools.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90"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6"/>
          <w:szCs w:val="16"/>
          <w:color w:val="auto"/>
        </w:rPr>
        <w:t>In December 2017 we formed a wholly owned subsidiary in the Republic of Korea, ACM Research Korea CO., LTD., to serve our customers based in the Republic of Korea and perform sales, marketing, and research and development activities. We currently conduct the majority of our product development, support and services, and substantially all of our manufacturing at ACM Shanghai. Our Shanghai operations position us to be near many of our current and potential new customers in the PR (including Taiwan), Korea and throughout Asia, providing convenient access and reduced shipping and manufacturing costs.</w:t>
      </w:r>
    </w:p>
    <w:p>
      <w:pPr>
        <w:spacing w:after="0" w:line="15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September 2018, we announced the opening of a second factory in the Pudong region of Shanghai. The new facility has a total of 50,000 square feet of available floor space for production capacity. This is in addition to our first factory in the Pudong Region of Shanghai, which has a total of 36,000 square feet of available floor space.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Government Research and Development Funding</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PRC governmental authorities provide the majority of the funding, although ACM Shanghai is also required to invest certain amounts in the projects.</w:t>
      </w:r>
    </w:p>
    <w:p>
      <w:pPr>
        <w:spacing w:after="0" w:line="193"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86" w:lineRule="exact"/>
        <w:rPr>
          <w:sz w:val="20"/>
          <w:szCs w:val="20"/>
          <w:color w:val="auto"/>
        </w:rPr>
      </w:pPr>
    </w:p>
    <w:p>
      <w:pPr>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subsidies relating to current expenses are reflected as reductions of those expenses in the periods in which they are reported. Those reductions totaled $1.3 million in the first three months of 2019, as compared to $0.2 million in the first three months of 2018.</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less than $0.1 million in the first three months of 2019 and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 information below with respect to four measures of financial performance:</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“shipments” of tools to include (a)a “repeat” delivery to a customer of a type of tool that the customer has previously accepted, for which we recognize revenue upon delivery, and (b)a “first-time” delivery of a tool to a customer on an approval basis, for which we may recognize revenue in the future if contractual conditions are met and customer acceptance is received.</w:t>
      </w:r>
    </w:p>
    <w:p>
      <w:pPr>
        <w:spacing w:after="0" w:line="186"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“free cash flow” as net cash provided by operating activities less purchases of property and equipment (net of proceeds from disposals) and of intangible assets.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operating income (loss)” as our income (loss) from operations excluding stock-based compensation.</w:t>
      </w:r>
    </w:p>
    <w:p>
      <w:pPr>
        <w:spacing w:after="0" w:line="225"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74" w:lineRule="exact"/>
        <w:rPr>
          <w:sz w:val="20"/>
          <w:szCs w:val="20"/>
          <w:color w:val="auto"/>
        </w:rPr>
      </w:pPr>
    </w:p>
    <w:p>
      <w:pPr>
        <w:jc w:val="both"/>
        <w:ind w:firstLine="324"/>
        <w:spacing w:after="0" w:line="290" w:lineRule="auto"/>
        <w:rPr>
          <w:sz w:val="20"/>
          <w:szCs w:val="20"/>
          <w:color w:val="auto"/>
        </w:rPr>
      </w:pPr>
      <w:r>
        <w:rPr>
          <w:rFonts w:ascii="Times New Roman" w:cs="Times New Roman" w:eastAsia="Times New Roman" w:hAnsi="Times New Roman"/>
          <w:sz w:val="16"/>
          <w:szCs w:val="16"/>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6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Shipments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Shipments consist of two components:</w:t>
      </w:r>
    </w:p>
    <w:p>
      <w:pPr>
        <w:spacing w:after="0" w:line="15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shipment to a customer of a type of tool that the customer has previously-accepted, for which we recognize revenue when the tool is delivered; and</w:t>
      </w:r>
    </w:p>
    <w:p>
      <w:pPr>
        <w:spacing w:after="0" w:line="21" w:lineRule="exact"/>
        <w:rPr>
          <w:rFonts w:ascii="Times New Roman" w:cs="Times New Roman" w:eastAsia="Times New Roman" w:hAnsi="Times New Roman"/>
          <w:sz w:val="18"/>
          <w:szCs w:val="18"/>
          <w:color w:val="auto"/>
        </w:rPr>
      </w:pPr>
    </w:p>
    <w:p>
      <w:pPr>
        <w:ind w:left="660" w:hanging="328"/>
        <w:spacing w:after="0" w:line="323"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41"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8"/>
          <w:szCs w:val="18"/>
          <w:color w:val="auto"/>
        </w:rPr>
        <w:t>“First tool” shipments can be made to either an existing customer that not previously accepted that specific type of tool in the past ─ for example, a delivery of SAPS V tool to a customer that previously had received only SAPS II tools ─ or to a new customer that has never purchased any tool from us.</w:t>
      </w:r>
    </w:p>
    <w:p>
      <w:pPr>
        <w:spacing w:after="0" w:line="106" w:lineRule="exact"/>
        <w:rPr>
          <w:sz w:val="20"/>
          <w:szCs w:val="20"/>
          <w:color w:val="auto"/>
        </w:rPr>
      </w:pPr>
    </w:p>
    <w:p>
      <w:pPr>
        <w:ind w:right="320" w:firstLine="324"/>
        <w:spacing w:after="0" w:line="275" w:lineRule="auto"/>
        <w:rPr>
          <w:sz w:val="20"/>
          <w:szCs w:val="20"/>
          <w:color w:val="auto"/>
        </w:rPr>
      </w:pPr>
      <w:r>
        <w:rPr>
          <w:rFonts w:ascii="Times New Roman" w:cs="Times New Roman" w:eastAsia="Times New Roman" w:hAnsi="Times New Roman"/>
          <w:sz w:val="18"/>
          <w:szCs w:val="18"/>
          <w:color w:val="auto"/>
        </w:rPr>
        <w:t>Shipments in the three months ended March 31, 2019 totaled $14 million, as compared to $10 million in the three months ended March 31, 2018 and $32 million in the three months ended December 31, 2018.</w:t>
      </w:r>
    </w:p>
    <w:p>
      <w:pPr>
        <w:spacing w:after="0" w:line="10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There are a number of limitations related to the use of adjusted EBITDA rather than net income (loss), which is the nearest GAAP equivalent. Some of these limitations are:</w:t>
      </w:r>
    </w:p>
    <w:p>
      <w:pPr>
        <w:spacing w:after="0" w:line="174" w:lineRule="exact"/>
        <w:rPr>
          <w:sz w:val="20"/>
          <w:szCs w:val="20"/>
          <w:color w:val="auto"/>
        </w:rPr>
      </w:pPr>
    </w:p>
    <w:p>
      <w:pPr>
        <w:ind w:left="660" w:right="20" w:hanging="328"/>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and, although these are non-cash expenses, the assets being depreciated or amortized may have to be replaced in the future;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90"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working capital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requirements necessary to service interest or principal payments on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expense (benefit) or the cash requirements to pay taxes;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historical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(loss), the most directly comparable GAAP financial measure, to adjusted EBITDA: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5"/>
                <w:szCs w:val="15"/>
                <w:b w:val="1"/>
                <w:bCs w:val="1"/>
                <w:color w:val="auto"/>
                <w:w w:val="93"/>
              </w:rPr>
              <w:t>2018</w:t>
            </w: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Pr>
          <w:p>
            <w:pPr>
              <w:spacing w:after="0"/>
              <w:rPr>
                <w:sz w:val="20"/>
                <w:szCs w:val="20"/>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Data:</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3"/>
              </w:rPr>
              <w:t>1,857</w:t>
            </w:r>
          </w:p>
        </w:tc>
        <w:tc>
          <w:tcPr>
            <w:tcW w:w="5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130</w:t>
            </w:r>
          </w:p>
        </w:tc>
        <w:tc>
          <w:tcPr>
            <w:tcW w:w="5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191</w:t>
            </w:r>
          </w:p>
        </w:tc>
        <w:tc>
          <w:tcPr>
            <w:tcW w:w="5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744</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3"/>
              </w:rPr>
              <w:t>3,041</w:t>
            </w:r>
          </w:p>
        </w:tc>
        <w:tc>
          <w:tcPr>
            <w:tcW w:w="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Adjusted EBITDA in the three months ended March 31 2019, increased by $3.4 million as compared to the same period in 2018, due to an increase of $4.6 million in net income, an increase of $30,000 in interest expense, an increase of $97,000 in income tax expense, and an increase of $111,000 in depreciation and amortization, offset by a decrease of $1.4 million in stock-based compensation expense.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net cash provided by operating activities, the most directly comparable GAAP financial measure, to free cash flow: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2019</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w w:val="93"/>
              </w:rPr>
              <w:t>2018</w:t>
            </w: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Pr>
          <w:p>
            <w:pPr>
              <w:spacing w:after="0"/>
              <w:rPr>
                <w:sz w:val="20"/>
                <w:szCs w:val="20"/>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 Data:</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(3,182)</w:t>
            </w:r>
          </w:p>
        </w:tc>
        <w:tc>
          <w:tcPr>
            <w:tcW w:w="5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(3,298)</w:t>
            </w:r>
          </w:p>
        </w:tc>
        <w:tc>
          <w:tcPr>
            <w:tcW w:w="5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Free cash flow in the three months ended March 31, 2019, improved by $4.5 million as compared with the same period in 2018, due to a reduction of $4.2 million of cash used in operating activities and a decrease of $280,000 in purchase of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w:t>
      </w:r>
    </w:p>
    <w:p>
      <w:pPr>
        <w:spacing w:after="0" w:line="229"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6"/>
          <w:szCs w:val="16"/>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2018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45"/>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295"/>
              <w:spacing w:after="0" w:line="145" w:lineRule="exact"/>
              <w:rPr>
                <w:sz w:val="20"/>
                <w:szCs w:val="20"/>
                <w:color w:val="auto"/>
              </w:rPr>
            </w:pPr>
            <w:r>
              <w:rPr>
                <w:rFonts w:ascii="Times New Roman" w:cs="Times New Roman" w:eastAsia="Times New Roman" w:hAnsi="Times New Roman"/>
                <w:sz w:val="15"/>
                <w:szCs w:val="15"/>
                <w:b w:val="1"/>
                <w:bCs w:val="1"/>
                <w:color w:val="auto"/>
              </w:rPr>
              <w:t>Actual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14"/>
              <w:spacing w:after="0" w:line="145" w:lineRule="exact"/>
              <w:rPr>
                <w:sz w:val="20"/>
                <w:szCs w:val="20"/>
                <w:color w:val="auto"/>
              </w:rPr>
            </w:pPr>
            <w:r>
              <w:rPr>
                <w:rFonts w:ascii="Times New Roman" w:cs="Times New Roman" w:eastAsia="Times New Roman" w:hAnsi="Times New Roman"/>
                <w:sz w:val="15"/>
                <w:szCs w:val="15"/>
                <w:b w:val="1"/>
                <w:bCs w:val="1"/>
                <w:color w:val="auto"/>
              </w:rPr>
              <w:t>Adjusted</w:t>
            </w:r>
          </w:p>
        </w:tc>
        <w:tc>
          <w:tcPr>
            <w:tcW w:w="240" w:type="dxa"/>
            <w:vAlign w:val="bottom"/>
          </w:tcPr>
          <w:p>
            <w:pPr>
              <w:spacing w:after="0"/>
              <w:rPr>
                <w:sz w:val="12"/>
                <w:szCs w:val="12"/>
                <w:color w:val="auto"/>
              </w:rPr>
            </w:pPr>
          </w:p>
        </w:tc>
        <w:tc>
          <w:tcPr>
            <w:tcW w:w="900" w:type="dxa"/>
            <w:vAlign w:val="bottom"/>
          </w:tcPr>
          <w:p>
            <w:pPr>
              <w:jc w:val="right"/>
              <w:ind w:right="295"/>
              <w:spacing w:after="0" w:line="145" w:lineRule="exact"/>
              <w:rPr>
                <w:sz w:val="20"/>
                <w:szCs w:val="20"/>
                <w:color w:val="auto"/>
              </w:rPr>
            </w:pPr>
            <w:r>
              <w:rPr>
                <w:rFonts w:ascii="Times New Roman" w:cs="Times New Roman" w:eastAsia="Times New Roman" w:hAnsi="Times New Roman"/>
                <w:sz w:val="15"/>
                <w:szCs w:val="15"/>
                <w:b w:val="1"/>
                <w:bCs w:val="1"/>
                <w:color w:val="auto"/>
              </w:rPr>
              <w:t>Actual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right"/>
              <w:ind w:right="92"/>
              <w:spacing w:after="0" w:line="145" w:lineRule="exact"/>
              <w:rPr>
                <w:sz w:val="20"/>
                <w:szCs w:val="20"/>
                <w:color w:val="auto"/>
              </w:rPr>
            </w:pPr>
            <w:r>
              <w:rPr>
                <w:rFonts w:ascii="Times New Roman" w:cs="Times New Roman" w:eastAsia="Times New Roman" w:hAnsi="Times New Roman"/>
                <w:sz w:val="15"/>
                <w:szCs w:val="15"/>
                <w:b w:val="1"/>
                <w:bCs w:val="1"/>
                <w:color w:val="auto"/>
              </w:rPr>
              <w:t>ADJUSTED</w:t>
            </w: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(GAAP)</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SBC</w:t>
            </w:r>
          </w:p>
        </w:tc>
        <w:tc>
          <w:tcPr>
            <w:tcW w:w="114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(GAAP)</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SBC</w:t>
            </w:r>
          </w:p>
        </w:tc>
        <w:tc>
          <w:tcPr>
            <w:tcW w:w="110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5"/>
                <w:szCs w:val="15"/>
                <w:b w:val="1"/>
                <w:bCs w:val="1"/>
                <w:color w:val="auto"/>
              </w:rPr>
              <w:t>(Non-GAAP)</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3"/>
          </w:tcPr>
          <w:p>
            <w:pPr>
              <w:jc w:val="right"/>
              <w:ind w:right="595"/>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20,479</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20,479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9,743</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9,743</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8,826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8,856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5,122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5,130</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23"/>
        </w:trPr>
        <w:tc>
          <w:tcPr>
            <w:tcW w:w="20" w:type="dxa"/>
            <w:vAlign w:val="bottom"/>
          </w:tcPr>
          <w:p>
            <w:pPr>
              <w:spacing w:after="0"/>
              <w:rPr>
                <w:sz w:val="19"/>
                <w:szCs w:val="19"/>
                <w:color w:val="auto"/>
              </w:rPr>
            </w:pPr>
          </w:p>
        </w:tc>
        <w:tc>
          <w:tcPr>
            <w:tcW w:w="4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2,251</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2,995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2,601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bl>
    <w:p>
      <w:pPr>
        <w:spacing w:after="0" w:line="202"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8"/>
          <w:szCs w:val="18"/>
          <w:color w:val="auto"/>
        </w:rPr>
        <w:t>Adjusted operating income for the three months ended on March 31, 2019, as compared with the same period in 2018, reflected a $1.4 million decrease in stock-based compensation expense.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7" w:lineRule="exact"/>
        <w:rPr>
          <w:sz w:val="20"/>
          <w:szCs w:val="20"/>
          <w:color w:val="auto"/>
        </w:rPr>
      </w:pPr>
    </w:p>
    <w:p>
      <w:pPr>
        <w:jc w:val="both"/>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There were no significant changes in our critical accounting policies or significant judgments or estimates during the three months ended March 31, 2019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effective January 1, 2019. As a result of our adoption of the new lease standard, we re-assessed the estimates, assumptions, and judgments that are most critical in our recognition of lease and have revised our lease critical accounting policy. For information regarding the impact of recently adopted accounting standards, refer to note 2 to the condensed financial statements included in this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ind w:right="60" w:firstLine="324"/>
        <w:spacing w:after="0" w:line="275" w:lineRule="auto"/>
        <w:rPr>
          <w:sz w:val="20"/>
          <w:szCs w:val="20"/>
          <w:color w:val="auto"/>
        </w:rPr>
      </w:pPr>
      <w:r>
        <w:rPr>
          <w:rFonts w:ascii="Times New Roman" w:cs="Times New Roman" w:eastAsia="Times New Roman" w:hAnsi="Times New Roman"/>
          <w:sz w:val="18"/>
          <w:szCs w:val="18"/>
          <w:color w:val="auto"/>
        </w:rPr>
        <w:t>A discussion of recent accounting pronouncements is included in our Annual Report and is updated in note 2 to the condensed consolidated financial statements included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as percentages of revenue.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493"/>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4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0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5"/>
                <w:szCs w:val="15"/>
                <w:b w:val="1"/>
                <w:bCs w:val="1"/>
                <w:color w:val="auto"/>
              </w:rPr>
              <w:t>2018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900" w:type="dxa"/>
            <w:vAlign w:val="bottom"/>
          </w:tcPr>
          <w:p>
            <w:pPr>
              <w:spacing w:after="0"/>
              <w:rPr>
                <w:sz w:val="19"/>
                <w:szCs w:val="19"/>
                <w:color w:val="auto"/>
              </w:rPr>
            </w:pPr>
          </w:p>
        </w:tc>
        <w:tc>
          <w:tcPr>
            <w:tcW w:w="1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56.9</w:t>
            </w: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43.1</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52.6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900" w:type="dxa"/>
            <w:vAlign w:val="bottom"/>
            <w:tcBorders>
              <w:top w:val="single" w:sz="8" w:color="CCEEFF"/>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580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9.1</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9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9.5</w:t>
            </w: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 net</w:t>
            </w:r>
          </w:p>
        </w:tc>
        <w:tc>
          <w:tcPr>
            <w:tcW w:w="3900" w:type="dxa"/>
            <w:vAlign w:val="bottom"/>
          </w:tcPr>
          <w:p>
            <w:pPr>
              <w:spacing w:after="0"/>
              <w:rPr>
                <w:sz w:val="19"/>
                <w:szCs w:val="19"/>
                <w:color w:val="auto"/>
              </w:rPr>
            </w:pPr>
          </w:p>
        </w:tc>
        <w:tc>
          <w:tcPr>
            <w:tcW w:w="1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32.1</w:t>
            </w: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72.1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80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11.0</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8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80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3900" w:type="dxa"/>
            <w:vAlign w:val="bottom"/>
          </w:tcPr>
          <w:p>
            <w:pPr>
              <w:spacing w:after="0"/>
              <w:rPr>
                <w:sz w:val="19"/>
                <w:szCs w:val="19"/>
                <w:color w:val="auto"/>
              </w:rPr>
            </w:pPr>
          </w:p>
        </w:tc>
        <w:tc>
          <w:tcPr>
            <w:tcW w:w="1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9.7</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900" w:type="dxa"/>
            <w:vAlign w:val="bottom"/>
          </w:tcPr>
          <w:p>
            <w:pPr>
              <w:spacing w:after="0"/>
              <w:rPr>
                <w:sz w:val="19"/>
                <w:szCs w:val="19"/>
                <w:color w:val="auto"/>
              </w:rPr>
            </w:pPr>
          </w:p>
        </w:tc>
        <w:tc>
          <w:tcPr>
            <w:tcW w:w="1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income (loss)</w:t>
            </w:r>
          </w:p>
        </w:tc>
        <w:tc>
          <w:tcPr>
            <w:tcW w:w="58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9.1%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Pr>
          <w:p>
            <w:pPr>
              <w:spacing w:after="0"/>
              <w:rPr>
                <w:sz w:val="22"/>
                <w:szCs w:val="22"/>
                <w:color w:val="auto"/>
              </w:rPr>
            </w:pPr>
          </w:p>
        </w:tc>
      </w:tr>
      <w:tr>
        <w:trPr>
          <w:trHeight w:val="668"/>
        </w:trPr>
        <w:tc>
          <w:tcPr>
            <w:tcW w:w="20" w:type="dxa"/>
            <w:vAlign w:val="bottom"/>
          </w:tcPr>
          <w:p>
            <w:pPr>
              <w:spacing w:after="0"/>
              <w:rPr>
                <w:sz w:val="24"/>
                <w:szCs w:val="24"/>
                <w:color w:val="auto"/>
              </w:rPr>
            </w:pPr>
          </w:p>
        </w:tc>
        <w:tc>
          <w:tcPr>
            <w:tcW w:w="4320" w:type="dxa"/>
            <w:vAlign w:val="bottom"/>
            <w:tcBorders>
              <w:top w:val="single" w:sz="8" w:color="CCEEFF"/>
              <w:bottom w:val="single" w:sz="8" w:color="auto"/>
            </w:tcBorders>
          </w:tcPr>
          <w:p>
            <w:pPr>
              <w:spacing w:after="0"/>
              <w:rPr>
                <w:sz w:val="24"/>
                <w:szCs w:val="24"/>
                <w:color w:val="auto"/>
              </w:rPr>
            </w:pPr>
          </w:p>
        </w:tc>
        <w:tc>
          <w:tcPr>
            <w:tcW w:w="3900" w:type="dxa"/>
            <w:vAlign w:val="bottom"/>
            <w:tcBorders>
              <w:top w:val="single" w:sz="8" w:color="CCEEFF"/>
              <w:bottom w:val="single" w:sz="8" w:color="auto"/>
            </w:tcBorders>
          </w:tcPr>
          <w:p>
            <w:pPr>
              <w:jc w:val="right"/>
              <w:ind w:right="2352"/>
              <w:spacing w:after="0"/>
              <w:rPr>
                <w:sz w:val="20"/>
                <w:szCs w:val="20"/>
                <w:color w:val="auto"/>
              </w:rPr>
            </w:pPr>
            <w:r>
              <w:rPr>
                <w:rFonts w:ascii="Times New Roman" w:cs="Times New Roman" w:eastAsia="Times New Roman" w:hAnsi="Times New Roman"/>
                <w:sz w:val="18"/>
                <w:szCs w:val="18"/>
                <w:color w:val="auto"/>
              </w:rPr>
              <w:t>25</w:t>
            </w:r>
          </w:p>
        </w:tc>
        <w:tc>
          <w:tcPr>
            <w:tcW w:w="19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60"/>
          </w:cols>
          <w:pgMar w:left="240" w:top="555" w:right="19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2019 and 2018</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5"/>
                <w:szCs w:val="15"/>
                <w:b w:val="1"/>
                <w:bCs w:val="1"/>
                <w:color w:val="auto"/>
                <w:w w:val="98"/>
              </w:rPr>
              <w:t>Three Months Ended March 31,</w:t>
            </w:r>
          </w:p>
        </w:tc>
        <w:tc>
          <w:tcPr>
            <w:tcW w:w="1360" w:type="dxa"/>
            <w:vAlign w:val="bottom"/>
          </w:tcPr>
          <w:p>
            <w:pPr>
              <w:spacing w:after="0"/>
              <w:rPr>
                <w:sz w:val="16"/>
                <w:szCs w:val="16"/>
                <w:color w:val="auto"/>
              </w:rPr>
            </w:pPr>
          </w:p>
        </w:tc>
      </w:tr>
      <w:tr>
        <w:trPr>
          <w:trHeight w:val="223"/>
        </w:trPr>
        <w:tc>
          <w:tcPr>
            <w:tcW w:w="7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2019</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4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left="479"/>
              <w:spacing w:after="0"/>
              <w:rPr>
                <w:sz w:val="20"/>
                <w:szCs w:val="20"/>
                <w:color w:val="auto"/>
              </w:rPr>
            </w:pPr>
            <w:r>
              <w:rPr>
                <w:rFonts w:ascii="Times New Roman" w:cs="Times New Roman" w:eastAsia="Times New Roman" w:hAnsi="Times New Roman"/>
                <w:sz w:val="18"/>
                <w:szCs w:val="18"/>
                <w:i w:val="1"/>
                <w:iCs w:val="1"/>
                <w:color w:val="auto"/>
                <w:w w:val="96"/>
              </w:rPr>
              <w:t>(in thousands)</w:t>
            </w: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20,479</w:t>
            </w:r>
          </w:p>
        </w:tc>
        <w:tc>
          <w:tcPr>
            <w:tcW w:w="5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9,743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bl>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revenue of $10.7 million in the three months ended March 31, 2019 as compared to the same period in 2018 reflected increases in revenue of $3.3 million from single-wafer cleaning equipment, and a $7.4 million increase in revenue from back-end equipment and spares. The revenue increase reflected an increased number of tools shipped, coupled with higher selling prices associated with the equipment sold and customer acceptances from prior period shipments received and recognized as revenue during the three month ended March 31, 2019.</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260" w:type="dxa"/>
            <w:vAlign w:val="bottom"/>
            <w:vMerge w:val="restart"/>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 Change 2019</w:t>
            </w:r>
          </w:p>
        </w:tc>
        <w:tc>
          <w:tcPr>
            <w:tcW w:w="0" w:type="dxa"/>
            <w:vAlign w:val="bottom"/>
          </w:tcPr>
          <w:p>
            <w:pPr>
              <w:spacing w:after="0"/>
              <w:rPr>
                <w:sz w:val="1"/>
                <w:szCs w:val="1"/>
                <w:color w:val="auto"/>
              </w:rPr>
            </w:pPr>
          </w:p>
        </w:tc>
      </w:tr>
      <w:tr>
        <w:trPr>
          <w:trHeight w:val="145"/>
        </w:trPr>
        <w:tc>
          <w:tcPr>
            <w:tcW w:w="7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2019</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v 2018</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11,653</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8,826</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18"/>
                <w:szCs w:val="18"/>
                <w:color w:val="auto"/>
              </w:rPr>
            </w:pP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10" w:lineRule="auto"/>
        <w:rPr>
          <w:sz w:val="20"/>
          <w:szCs w:val="20"/>
          <w:color w:val="auto"/>
        </w:rPr>
      </w:pPr>
      <w:r>
        <w:rPr>
          <w:rFonts w:ascii="Times New Roman" w:cs="Times New Roman" w:eastAsia="Times New Roman" w:hAnsi="Times New Roman"/>
          <w:sz w:val="16"/>
          <w:szCs w:val="16"/>
          <w:color w:val="auto"/>
        </w:rPr>
        <w:t>Cost of revenue increased $7.0 million and gross profit increased $3.7 million in the three months ended March 31, 2019, as compared to the corresponding period in 2018, primarily due to increased sales volume. Gross margin declined by 9.5 percentage points during the three months ended March 31, 2019, from the comparable period in 2018. Gross margin in the 2018 period was elevated primarily due to contribution from three higher-margin SAPs tools.</w:t>
      </w:r>
    </w:p>
    <w:p>
      <w:pPr>
        <w:spacing w:after="0" w:line="15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360" w:type="dxa"/>
            <w:vAlign w:val="bottom"/>
            <w:vMerge w:val="restart"/>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 Change 2019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w w:val="93"/>
              </w:rPr>
              <w:t>2018</w:t>
            </w: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v 2018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8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3"/>
              </w:rPr>
              <w:t>1,869</w:t>
            </w:r>
          </w:p>
        </w:tc>
        <w:tc>
          <w:tcPr>
            <w:tcW w:w="5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1,855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3"/>
              </w:rPr>
              <w:t>2,765</w:t>
            </w:r>
          </w:p>
        </w:tc>
        <w:tc>
          <w:tcPr>
            <w:tcW w:w="52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1,541</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3"/>
              </w:rPr>
              <w:t>1,941</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3,630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3"/>
              </w:rPr>
              <w:t>6,575</w:t>
            </w:r>
          </w:p>
        </w:tc>
        <w:tc>
          <w:tcPr>
            <w:tcW w:w="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7,026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20" w:firstLine="32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increased by $14,000 in the three months ended March 31, 2019, as compared to the corresponding period in 2018.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 consists primarily of:</w:t>
      </w:r>
    </w:p>
    <w:p>
      <w:pPr>
        <w:spacing w:after="0" w:line="17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personnel associated with pre and aftersales support and other sales and marketing activities, including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paid to independent sales representatives;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sales consultants;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costs for transportation of products to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trade shows;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entertainment;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for rent and utilities.</w:t>
      </w:r>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increased by $1.2 million in the three months ended March 31, 2019 as compared to the corresponding period in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as a result of increases in testing fees and personnel costs. Research and development expense represented 13.5% and 15.8% of our revenue in the three months ended March 31, 2019 and 2018, respectively. Without reduction by grant amounts received from PRC governmental authorities (see “—Key Components of Results of Operations—PRC Government Research and Development Funding”), gross research and development expense totaled $$4.1 million, or 20.0% of revenue, in the three months ended March 31, 2019 and $1.8 million, or 18.1% of revenue, in the three months ended March 31, 2018. Research and development expense relates to the development of new products and processes and encompasses our research, development and customer support activities. Research and development expense consists primarily of:</w:t>
      </w:r>
    </w:p>
    <w:p>
      <w:pPr>
        <w:spacing w:after="0" w:line="19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personnel associated with our research and development activities, including stock 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components and other research and development supplies;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 associated with customer support;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costs of software used for research and development purposes;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for rent and utilities.</w:t>
      </w:r>
    </w:p>
    <w:p>
      <w:pPr>
        <w:spacing w:after="0" w:line="22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decreased by $1.7 million in the three months ended March 31, 2019 as compared to the corresponding period in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the first quarter of 2018 were elevated in part due to expenses related to our initial public offering of Class A common stock, or the IPO. General and administrative expense consists primarily of:</w:t>
      </w:r>
    </w:p>
    <w:p>
      <w:pPr>
        <w:spacing w:after="0" w:line="183" w:lineRule="exact"/>
        <w:rPr>
          <w:sz w:val="20"/>
          <w:szCs w:val="20"/>
          <w:color w:val="auto"/>
        </w:rPr>
      </w:pPr>
    </w:p>
    <w:p>
      <w:pPr>
        <w:ind w:left="660" w:hanging="328"/>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executive, accounting and finance, human resources, information technology, and other administrative personnel, including stock-based compensation;</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including accounting and legal fees;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expenses;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for rent and utilities.</w:t>
      </w:r>
    </w:p>
    <w:p>
      <w:pPr>
        <w:spacing w:after="0" w:line="225" w:lineRule="exact"/>
        <w:rPr>
          <w:sz w:val="20"/>
          <w:szCs w:val="20"/>
          <w:color w:val="auto"/>
        </w:rPr>
      </w:pPr>
    </w:p>
    <w:p>
      <w:pPr>
        <w:jc w:val="both"/>
        <w:ind w:right="20" w:firstLine="324"/>
        <w:spacing w:after="0" w:line="275" w:lineRule="auto"/>
        <w:rPr>
          <w:sz w:val="20"/>
          <w:szCs w:val="20"/>
          <w:color w:val="auto"/>
        </w:rPr>
      </w:pPr>
      <w:r>
        <w:rPr>
          <w:rFonts w:ascii="Times New Roman" w:cs="Times New Roman" w:eastAsia="Times New Roman" w:hAnsi="Times New Roman"/>
          <w:sz w:val="18"/>
          <w:szCs w:val="18"/>
          <w:color w:val="auto"/>
        </w:rPr>
        <w:t>We expect that, for the foreseeable future, general and administrative expenses will increase in absolute dollars, as we incur additional costs associated with growing our business and operating as a public company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Three Months Ended March 31,</w:t>
            </w:r>
          </w:p>
        </w:tc>
        <w:tc>
          <w:tcPr>
            <w:tcW w:w="1360" w:type="dxa"/>
            <w:vAlign w:val="bottom"/>
            <w:vMerge w:val="restart"/>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 Change 2019</w:t>
            </w:r>
          </w:p>
        </w:tc>
        <w:tc>
          <w:tcPr>
            <w:tcW w:w="0" w:type="dxa"/>
            <w:vAlign w:val="bottom"/>
          </w:tcPr>
          <w:p>
            <w:pPr>
              <w:spacing w:after="0"/>
              <w:rPr>
                <w:sz w:val="1"/>
                <w:szCs w:val="1"/>
                <w:color w:val="auto"/>
              </w:rPr>
            </w:pPr>
          </w:p>
        </w:tc>
      </w:tr>
      <w:tr>
        <w:trPr>
          <w:trHeight w:val="145"/>
        </w:trPr>
        <w:tc>
          <w:tcPr>
            <w:tcW w:w="7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3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v 2018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20" w:firstLine="324"/>
        <w:spacing w:after="0" w:line="262" w:lineRule="auto"/>
        <w:rPr>
          <w:sz w:val="20"/>
          <w:szCs w:val="20"/>
          <w:color w:val="auto"/>
        </w:rPr>
      </w:pPr>
      <w:r>
        <w:rPr>
          <w:rFonts w:ascii="Times New Roman" w:cs="Times New Roman" w:eastAsia="Times New Roman" w:hAnsi="Times New Roman"/>
          <w:sz w:val="18"/>
          <w:szCs w:val="18"/>
          <w:color w:val="auto"/>
        </w:rPr>
        <w:t>Interest expense consists of interest incurred from outstanding short-term borrowings. Interest expense increased by $30,000 in the three months ended March 31, 2019 as compared to the three months ended March 31, 2018, principally as a result of increased borrowings under short-term bank loans. We earn interest income from depositary accounts. Interest income was nominal in the three months ended March 31, 2019 and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Non-operating income (expense), net primarily reflects (a) gains or losses recognized from the impact of exchange rates on our foreign currency-denominated working-capital transactions and (b) depreciation of assets acquired with government subsidies, as described under “—Key Components of Results of Operations—PRC Government Research and Development Funding” above. Our non-operating expense was ($261,000) in the three months ended March 31, 2019 due to a the strengthening of the RMB to US dollar exchange rate during the quarter, compared to non-operating expense of ($755,000) loss in the three months ended March 30, 2018 due to an even greater strengthening of RMB to US dollar exchange rate during the quarter.</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presents components of income tax expense for the indicated periods: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7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23"/>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5"/>
                <w:szCs w:val="15"/>
                <w:b w:val="1"/>
                <w:bCs w:val="1"/>
                <w:color w:val="auto"/>
                <w:w w:val="93"/>
              </w:rPr>
              <w:t>2018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8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 state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tax expense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 federal</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(119)</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8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 There were no adjustments made in the three months ended March 31, 2019. The accounting for the tax effects of the Tax Act was completed in 2018.</w:t>
      </w:r>
    </w:p>
    <w:p>
      <w:pPr>
        <w:spacing w:after="0" w:line="193" w:lineRule="exact"/>
        <w:rPr>
          <w:sz w:val="20"/>
          <w:szCs w:val="20"/>
          <w:color w:val="auto"/>
        </w:rPr>
      </w:pPr>
    </w:p>
    <w:p>
      <w:pPr>
        <w:jc w:val="both"/>
        <w:ind w:firstLine="324"/>
        <w:spacing w:after="0" w:line="310" w:lineRule="auto"/>
        <w:rPr>
          <w:sz w:val="20"/>
          <w:szCs w:val="20"/>
          <w:color w:val="auto"/>
        </w:rPr>
      </w:pPr>
      <w:r>
        <w:rPr>
          <w:rFonts w:ascii="Times New Roman" w:cs="Times New Roman" w:eastAsia="Times New Roman" w:hAnsi="Times New Roman"/>
          <w:sz w:val="16"/>
          <w:szCs w:val="16"/>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the first nine months of 2018.</w:t>
      </w:r>
    </w:p>
    <w:p>
      <w:pPr>
        <w:spacing w:after="0" w:line="1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193" w:lineRule="exact"/>
        <w:rPr>
          <w:sz w:val="20"/>
          <w:szCs w:val="20"/>
          <w:color w:val="auto"/>
        </w:rPr>
      </w:pPr>
    </w:p>
    <w:p>
      <w:pPr>
        <w:jc w:val="both"/>
        <w:ind w:firstLine="324"/>
        <w:spacing w:after="0" w:line="310" w:lineRule="auto"/>
        <w:rPr>
          <w:sz w:val="20"/>
          <w:szCs w:val="20"/>
          <w:color w:val="auto"/>
        </w:rPr>
      </w:pPr>
      <w:r>
        <w:rPr>
          <w:rFonts w:ascii="Times New Roman" w:cs="Times New Roman" w:eastAsia="Times New Roman" w:hAnsi="Times New Roman"/>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2019 we funded our technology development and operations principally through application of proceeds from the IPO and concurrent private placements in November 2017 and, to a lesser extent, from short-term borrowings by ACM Shanghai from local financial institutions. During the three-month period ended March 31, 2019, our operations used cash flow of $3.2 million and we did not receive any research and development grants from local and central PRC governmental authorities.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Sources of Funds</w:t>
      </w:r>
    </w:p>
    <w:p>
      <w:pPr>
        <w:spacing w:after="0" w:line="22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Equity and Equity-Related Securities</w:t>
      </w:r>
      <w:r>
        <w:rPr>
          <w:rFonts w:ascii="Times New Roman" w:cs="Times New Roman" w:eastAsia="Times New Roman" w:hAnsi="Times New Roman"/>
          <w:sz w:val="18"/>
          <w:szCs w:val="18"/>
          <w:color w:val="auto"/>
        </w:rPr>
        <w:t>. During the three months of 2019 we received proceeds of $60,000 from sales of common stock pursuant to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Shanghai is a party to lines of credit with five banks,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Maximum Borrowing</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Amount Outstanding</w:t>
            </w:r>
          </w:p>
        </w:tc>
        <w:tc>
          <w:tcPr>
            <w:tcW w:w="0" w:type="dxa"/>
            <w:vAlign w:val="bottom"/>
          </w:tcPr>
          <w:p>
            <w:pPr>
              <w:spacing w:after="0"/>
              <w:rPr>
                <w:sz w:val="1"/>
                <w:szCs w:val="1"/>
                <w:color w:val="auto"/>
              </w:rPr>
            </w:pPr>
          </w:p>
        </w:tc>
      </w:tr>
      <w:tr>
        <w:trPr>
          <w:trHeight w:val="186"/>
        </w:trPr>
        <w:tc>
          <w:tcPr>
            <w:tcW w:w="34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5"/>
                <w:szCs w:val="15"/>
                <w:b w:val="1"/>
                <w:bCs w:val="1"/>
                <w:color w:val="auto"/>
              </w:rPr>
              <w:t>Lender</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Agreement Date</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Maturity Date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Annual Interest Rate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Amount (1)</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at March 31,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China Pudong Branch</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August 2018</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August 2019</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RMB30,000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Bank of Shanghai Pudong Branch</w:t>
            </w:r>
          </w:p>
        </w:tc>
        <w:tc>
          <w:tcPr>
            <w:tcW w:w="1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January 2019</w:t>
            </w:r>
          </w:p>
        </w:tc>
        <w:tc>
          <w:tcPr>
            <w:tcW w:w="12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January 2020</w:t>
            </w:r>
          </w:p>
        </w:tc>
        <w:tc>
          <w:tcPr>
            <w:tcW w:w="1700" w:type="dxa"/>
            <w:vAlign w:val="bottom"/>
            <w:gridSpan w:val="3"/>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5.22%</w:t>
            </w:r>
          </w:p>
        </w:tc>
        <w:tc>
          <w:tcPr>
            <w:tcW w:w="158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RMB50,000</w:t>
            </w:r>
          </w:p>
        </w:tc>
        <w:tc>
          <w:tcPr>
            <w:tcW w:w="14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RMB4,500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Rural Commercial Bank</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Feburary 2019</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January 2020</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RMB 20,000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 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Bank of Communications</w:t>
            </w:r>
          </w:p>
        </w:tc>
        <w:tc>
          <w:tcPr>
            <w:tcW w:w="1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January 2019</w:t>
            </w:r>
          </w:p>
        </w:tc>
        <w:tc>
          <w:tcPr>
            <w:tcW w:w="12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January 2020</w:t>
            </w:r>
          </w:p>
        </w:tc>
        <w:tc>
          <w:tcPr>
            <w:tcW w:w="1700" w:type="dxa"/>
            <w:vAlign w:val="bottom"/>
            <w:gridSpan w:val="3"/>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5.66%</w:t>
            </w:r>
          </w:p>
        </w:tc>
        <w:tc>
          <w:tcPr>
            <w:tcW w:w="158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RMB20,000</w:t>
            </w:r>
          </w:p>
        </w:tc>
        <w:tc>
          <w:tcPr>
            <w:tcW w:w="14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RMB20,000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1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Everbright Bank</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Feburary 2019</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Feburary 2020</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RMB50,000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RMB21,893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RMB170,000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RMB86,393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Converted from RMB to dollars as of March 31, 2019.</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All of the amounts owing under the line of credit with Bank of China Pudong Branch are secured by ACM Shanghai’s intellectual property and guaranteed by Dr. David Wang, our Chair of the Board, Chief Executive Officer and President. All of the amounts owing under the lines of credit with Bank of Shanghai Pudong Branch are guaranteed by Dr. Wang and Cleanchip Technologies Ltd. All of the amounts owing under the line of credit with Shanghai Rural Commercial Bank are secured by accounts receivable and guaranteed by Dr. Wang. All of the amounts owing under the lines of credit with China Everbright Bank are guaranteed by Dr. Wang.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Working Capital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table sets forth selected working capital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6"/>
        </w:trPr>
        <w:tc>
          <w:tcPr>
            <w:tcW w:w="2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2019</w:t>
            </w:r>
          </w:p>
        </w:tc>
      </w:tr>
      <w:tr>
        <w:trPr>
          <w:trHeight w:val="241"/>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3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8"/>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27,367</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amounts</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25,070</w:t>
            </w: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42,253</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94,690</w:t>
            </w: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at March 31, 2019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7"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 used cash flow of $3.2 million in the first three months of 2019. Our cash flow from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is influenced by (a) the amount of cash we invest in personnel and technology development to support anticipated future growth in our business, (b) the magnitude of our product sales and associated gross profits, and (c) the amount and timing of payments by customers.</w:t>
      </w:r>
    </w:p>
    <w:p>
      <w:pPr>
        <w:spacing w:after="0" w:line="181"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estimate that our capital expenditures in 2019 will total approximately $2.4 million. We have entered into certain capital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related to future capital expenditures. We incurred $117,000 of capital expenditures during the three months ended March 31, 2019 and had no unpaid capital commitment as of March 31, 2019.</w:t>
      </w:r>
    </w:p>
    <w:p>
      <w:pPr>
        <w:spacing w:after="0" w:line="18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Contractual Obligations and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contractual obligations and other commercial commitments are summarized in the section captioned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 7. Management’s Discussion and Analysis of Financial Condition and Results of Operations—Liquidity and Capital Resources—Contractual Obligations and Requirements” in our Annual Report. Other than changes that occurred in the ordinary course of business, we had no material changes to our contractual obligations reported in our Annual Report during the first three months of 2019. For additional discussion, see note 16 to our condensed consolidated financial statements included elsewhere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As of March 31, 2019, we did not have any significant off-balance sheet arrangements, as defined in Item303(a)(4)(ii) of Regulation S-K of the Securities and Exchange Commission or SEC, except the operating lease commitment disclosed in the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22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financial statements and product pricing are denominated in U.S. dollars, a sizable portion of our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September 2010, this appreciation subsided and the exchange rate between the Renminbi and the U.S. dollar remained within a narrow band. Since September 2010, the Renminbi has fluctuated against the U.S. dollar, at times significantly and unpredictably. It is difficult to predict how market forces or PRC or U.S. government policy may impact the exchange rate between the Renminbi and the U.S. dollar in the future. To date, we have not entered into any hedging transactions in an effort to reduce our exposure to foreign currency exchange risk.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At March 31, 2019, we had unrestricted cash and cash equivalents totaling $27.4 million. These amounts were held for working capital purposes and were held primarily in checking accounts of various banks. We believe we do not have any material exposure to changes in our cash balance as a result of changes in interest rates. Declines in interest rates, however, would reduce future interest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interim chief financial officer, evaluated the effectiveness of our disclosure controls and procedures as of March 31, 2019.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interim chief financial officer concluded that, as of such date, our disclosure controls and procedures over financial reporting were effective.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2019, no changes were identified to our internal control over financial reporting that materially affected, or were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Investing in Class A common stock involves a high degree of risk. You should consider and read carefully all of the information contained in this report, including the consolidated financial statements and related notes set forth in “Item 1. Financial Statements” of Part I above, before making an investment decision. You should also review carefully the risk factors set forth in “Item 1A. Risk Factors” of Part I of our Annual Report. There have been no material changes to those risk factors since the filing of our Annual Report with the SEC on March 14, 2019. The occurrence of any of the risks described in our Annual Report,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of 2019 we issued and sold to employees and consultants an aggregate of 65,000 unregistered shares of Class A common stock upon the exercise of stock options at per share exercise prices between $0.75 and $1.50. These transactions did not involve any underwriters, any underwriting discounts or commissions, or any public offering. We believe the offers, sales and issuances of these shares were exempt from registration under the Securities Act of 1933 by virtue of Section 4(a)(2) thereof (or Regulation D promulgated thereunder) because the issuance of securities to the recipients did not involve a public offering or in reliance on Rule 701 under said Act because the transactions were pursuant to a contract relating to compensation as provided under such rule. The recipients of the shares represented their intentions to acquire the securities for investment only and not with a view to or for sale in connection with any distribution thereof, and appropriate legends were placed upon the shares issued in these transactions. The recipients had adequate access, through a relationship with us, to information about us. The sales of these shares were made without any general solicitation or advertising.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IPO Proceeds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proceeds of the IPO, after deducting underwriting discounts and commissions and offering expenses, were $17.3 million. There has been no material change in the planned use of IPO proceeds from that described in the final prospectus filed with the SEC pursuant to Rule 424(b)(4) under the Securities Act of 1933 on November 3, 2017. To date we have applied $10.8 million of the IPO proceeds to purchase inventory and an additional $2.1 million in the ordinary course of business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top w:val="single" w:sz="8" w:color="auto"/>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01</w:t>
              </w:r>
            </w:hyperlink>
          </w:p>
        </w:tc>
        <w:tc>
          <w:tcPr>
            <w:tcW w:w="6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Line of Credit Agreement dated February 25, 2019 between ACM Research (Shanghai), Inc. and Bank of Shanghai Pudong Branch</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02</w:t>
              </w:r>
            </w:hyperlink>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3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Line of Credit Agreement dated February 19, 2019 between ACM Research (Shanghai), Inc. and Shanghai Rural Commercial Bank</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58">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03</w:t>
              </w:r>
            </w:hyperlink>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3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Line of Credit Agreement dated January 24, 2019 between ACM Research (Shanghai), Inc. and Bank of Communications Shanghai Zhangjiang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w:anchor="page82">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04</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Line of Credit Agreement dated January 24, 2019 between ACM Research (Shanghai), Inc. and Bank of Communications Shanghai</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Zhangjiang Branch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Times New Roman" w:cs="Times New Roman" w:eastAsia="Times New Roman" w:hAnsi="Times New Roman"/>
                <w:sz w:val="18"/>
                <w:szCs w:val="18"/>
                <w:color w:val="0000EE"/>
                <w:w w:val="88"/>
              </w:rPr>
            </w:pPr>
            <w:hyperlink w:anchor="page106">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05</w:t>
              </w:r>
            </w:hyperlink>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300" w:type="dxa"/>
            <w:vAlign w:val="bottom"/>
            <w:tcBorders>
              <w:bottom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Line of Credit Agreement dated February 19, 2019 between ACM Research (Shanghai), Inc. and Bank of Communications Shanghai</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Zhangjiang Branch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w:anchor="page130">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06</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Line of Credit Agreement dated January 30, 2019 between ACM Research (Shanghai), Inc. and China Everbright Branch</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r:id="rId64">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07</w:t>
              </w:r>
            </w:hyperlink>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3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Amendment dated February 4, 2019 between ACM Research, Inc. and D&amp;J Construction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Times New Roman" w:cs="Times New Roman" w:eastAsia="Times New Roman" w:hAnsi="Times New Roman"/>
                <w:sz w:val="18"/>
                <w:szCs w:val="18"/>
                <w:color w:val="0000EE"/>
                <w:w w:val="88"/>
              </w:rPr>
            </w:pPr>
            <w:hyperlink w:anchor="page142">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01</w:t>
              </w:r>
            </w:hyperlink>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3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143">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02</w:t>
              </w:r>
            </w:hyperlink>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3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Times New Roman" w:cs="Times New Roman" w:eastAsia="Times New Roman" w:hAnsi="Times New Roman"/>
                <w:sz w:val="18"/>
                <w:szCs w:val="18"/>
                <w:color w:val="0000EE"/>
                <w:w w:val="88"/>
              </w:rPr>
            </w:pPr>
            <w:hyperlink w:anchor="page144">
              <w:r>
                <w:rPr>
                  <w:rFonts w:ascii="Times New Roman" w:cs="Times New Roman" w:eastAsia="Times New Roman" w:hAnsi="Times New Roman"/>
                  <w:sz w:val="18"/>
                  <w:szCs w:val="18"/>
                  <w:color w:val="0000EE"/>
                  <w:w w:val="88"/>
                </w:rPr>
                <w:t>32.</w:t>
              </w:r>
              <w:r>
                <w:rPr>
                  <w:rFonts w:ascii="Times New Roman" w:cs="Times New Roman" w:eastAsia="Times New Roman" w:hAnsi="Times New Roman"/>
                  <w:sz w:val="18"/>
                  <w:szCs w:val="18"/>
                  <w:u w:val="single" w:color="auto"/>
                  <w:color w:val="0000EE"/>
                  <w:w w:val="88"/>
                </w:rPr>
                <w:t>01</w:t>
              </w:r>
            </w:hyperlink>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3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CEEFF"/>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shd w:val="clear" w:color="auto" w:fill="CCEEFF"/>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shd w:val="clear" w:color="auto" w:fill="CCEEFF"/>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gridSpan w:val="2"/>
          </w:tcPr>
          <w:p>
            <w:pPr>
              <w:jc w:val="right"/>
              <w:ind w:right="54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14, 2019</w:t>
      </w:r>
      <w:r>
        <w:rPr>
          <w:sz w:val="20"/>
          <w:szCs w:val="20"/>
          <w:color w:val="auto"/>
        </w:rPr>
        <w:tab/>
      </w:r>
      <w:r>
        <w:rPr>
          <w:rFonts w:ascii="Times New Roman" w:cs="Times New Roman" w:eastAsia="Times New Roman" w:hAnsi="Times New Roman"/>
          <w:sz w:val="18"/>
          <w:szCs w:val="18"/>
          <w:color w:val="auto"/>
        </w:rPr>
        <w:t>By: /s/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Lisa Feng</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Financial Officer, Chief Accounting</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 and Treasurer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4" w:name="page35"/>
    <w:bookmarkEnd w:id="34"/>
    <w:p>
      <w:pPr>
        <w:ind w:left="9220"/>
        <w:spacing w:after="0"/>
        <w:rPr>
          <w:sz w:val="20"/>
          <w:szCs w:val="20"/>
          <w:color w:val="auto"/>
        </w:rPr>
      </w:pPr>
      <w:r>
        <w:rPr>
          <w:rFonts w:ascii="Times New Roman" w:cs="Times New Roman" w:eastAsia="Times New Roman" w:hAnsi="Times New Roman"/>
          <w:sz w:val="16"/>
          <w:szCs w:val="16"/>
          <w:b w:val="1"/>
          <w:bCs w:val="1"/>
          <w:color w:val="auto"/>
        </w:rPr>
        <w:t>Exhibit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7829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ind w:left="9220"/>
        <w:spacing w:after="0"/>
        <w:rPr>
          <w:sz w:val="20"/>
          <w:szCs w:val="20"/>
          <w:color w:val="auto"/>
        </w:rPr>
      </w:pPr>
      <w:r>
        <w:rPr>
          <w:rFonts w:ascii="Times New Roman" w:cs="Times New Roman" w:eastAsia="Times New Roman" w:hAnsi="Times New Roman"/>
          <w:sz w:val="16"/>
          <w:szCs w:val="16"/>
          <w:b w:val="1"/>
          <w:bCs w:val="1"/>
          <w:color w:val="auto"/>
        </w:rPr>
        <w:t>Exhibit 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78295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ind w:left="9220"/>
        <w:spacing w:after="0"/>
        <w:rPr>
          <w:sz w:val="20"/>
          <w:szCs w:val="20"/>
          <w:color w:val="auto"/>
        </w:rPr>
      </w:pPr>
      <w:r>
        <w:rPr>
          <w:rFonts w:ascii="Times New Roman" w:cs="Times New Roman" w:eastAsia="Times New Roman" w:hAnsi="Times New Roman"/>
          <w:sz w:val="16"/>
          <w:szCs w:val="16"/>
          <w:b w:val="1"/>
          <w:bCs w:val="1"/>
          <w:color w:val="auto"/>
        </w:rPr>
        <w:t>Exhibit 10.03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78295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ind w:left="9220"/>
        <w:spacing w:after="0"/>
        <w:rPr>
          <w:sz w:val="20"/>
          <w:szCs w:val="20"/>
          <w:color w:val="auto"/>
        </w:rPr>
      </w:pPr>
      <w:r>
        <w:rPr>
          <w:rFonts w:ascii="Times New Roman" w:cs="Times New Roman" w:eastAsia="Times New Roman" w:hAnsi="Times New Roman"/>
          <w:sz w:val="16"/>
          <w:szCs w:val="16"/>
          <w:b w:val="1"/>
          <w:bCs w:val="1"/>
          <w:color w:val="auto"/>
        </w:rPr>
        <w:t>Exhibit 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31115</wp:posOffset>
            </wp:positionV>
            <wp:extent cx="7246620" cy="78295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ind w:left="93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31115</wp:posOffset>
            </wp:positionV>
            <wp:extent cx="7246620" cy="78295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ind w:left="9220"/>
        <w:spacing w:after="0"/>
        <w:rPr>
          <w:sz w:val="20"/>
          <w:szCs w:val="20"/>
          <w:color w:val="auto"/>
        </w:rPr>
      </w:pPr>
      <w:r>
        <w:rPr>
          <w:rFonts w:ascii="Times New Roman" w:cs="Times New Roman" w:eastAsia="Times New Roman" w:hAnsi="Times New Roman"/>
          <w:sz w:val="16"/>
          <w:szCs w:val="16"/>
          <w:b w:val="1"/>
          <w:bCs w:val="1"/>
          <w:color w:val="auto"/>
        </w:rPr>
        <w:t>Exhibit 10.06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7851775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Wang, certify that:</w:t>
      </w:r>
    </w:p>
    <w:p>
      <w:pPr>
        <w:spacing w:after="0" w:line="225"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Form 10-Q of ACM Research, Inc.</w:t>
      </w:r>
    </w:p>
    <w:p>
      <w:pPr>
        <w:spacing w:after="0" w:line="225" w:lineRule="exact"/>
        <w:rPr>
          <w:rFonts w:ascii="Times New Roman" w:cs="Times New Roman" w:eastAsia="Times New Roman" w:hAnsi="Times New Roman"/>
          <w:sz w:val="18"/>
          <w:szCs w:val="18"/>
          <w:color w:val="auto"/>
        </w:rPr>
      </w:pPr>
    </w:p>
    <w:p>
      <w:pPr>
        <w:ind w:right="200" w:firstLine="8"/>
        <w:spacing w:after="0" w:line="275"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280" w:firstLine="8"/>
        <w:spacing w:after="0" w:line="275"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right="140" w:firstLine="8"/>
        <w:spacing w:after="0" w:line="262"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660" w:right="60" w:hanging="4"/>
        <w:spacing w:after="0" w:line="262" w:lineRule="auto"/>
        <w:tabs>
          <w:tab w:leader="none" w:pos="94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660" w:right="80" w:hanging="4"/>
        <w:spacing w:after="0" w:line="262" w:lineRule="auto"/>
        <w:tabs>
          <w:tab w:leader="none" w:pos="90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660" w:right="140" w:hanging="4"/>
        <w:spacing w:after="0" w:line="275" w:lineRule="auto"/>
        <w:tabs>
          <w:tab w:leader="none" w:pos="8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sz w:val="20"/>
          <w:szCs w:val="20"/>
          <w:color w:val="auto"/>
        </w:rPr>
      </w:pPr>
    </w:p>
    <w:p>
      <w:pPr>
        <w:ind w:left="660" w:right="140" w:hanging="4"/>
        <w:spacing w:after="0" w:line="262" w:lineRule="auto"/>
        <w:tabs>
          <w:tab w:leader="none" w:pos="9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6" w:lineRule="exact"/>
        <w:rPr>
          <w:rFonts w:ascii="Times New Roman" w:cs="Times New Roman" w:eastAsia="Times New Roman" w:hAnsi="Times New Roman"/>
          <w:sz w:val="18"/>
          <w:szCs w:val="18"/>
          <w:color w:val="auto"/>
        </w:rPr>
      </w:pPr>
    </w:p>
    <w:p>
      <w:pPr>
        <w:ind w:right="40" w:firstLine="8"/>
        <w:spacing w:after="0" w:line="275"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660" w:right="20" w:hanging="4"/>
        <w:spacing w:after="0" w:line="275" w:lineRule="auto"/>
        <w:tabs>
          <w:tab w:leader="none" w:pos="94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14, 2019</w:t>
      </w:r>
      <w:r>
        <w:rPr>
          <w:sz w:val="20"/>
          <w:szCs w:val="20"/>
          <w:color w:val="auto"/>
        </w:rPr>
        <w:tab/>
      </w:r>
      <w:r>
        <w:rPr>
          <w:rFonts w:ascii="Times New Roman" w:cs="Times New Roman" w:eastAsia="Times New Roman" w:hAnsi="Times New Roman"/>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H. Wang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Feng, certify that:</w:t>
      </w:r>
    </w:p>
    <w:p>
      <w:pPr>
        <w:spacing w:after="0" w:line="225"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ACM Research, Inc.</w:t>
      </w:r>
    </w:p>
    <w:p>
      <w:pPr>
        <w:spacing w:after="0" w:line="225" w:lineRule="exact"/>
        <w:rPr>
          <w:rFonts w:ascii="Times New Roman" w:cs="Times New Roman" w:eastAsia="Times New Roman" w:hAnsi="Times New Roman"/>
          <w:sz w:val="18"/>
          <w:szCs w:val="18"/>
          <w:color w:val="auto"/>
        </w:rPr>
      </w:pPr>
    </w:p>
    <w:p>
      <w:pPr>
        <w:ind w:right="200" w:firstLine="8"/>
        <w:spacing w:after="0" w:line="275"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280" w:firstLine="8"/>
        <w:spacing w:after="0" w:line="275"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right="140" w:firstLine="8"/>
        <w:spacing w:after="0" w:line="262"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660" w:right="60" w:hanging="4"/>
        <w:spacing w:after="0" w:line="262" w:lineRule="auto"/>
        <w:tabs>
          <w:tab w:leader="none" w:pos="9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660" w:right="80" w:hanging="4"/>
        <w:spacing w:after="0" w:line="262" w:lineRule="auto"/>
        <w:tabs>
          <w:tab w:leader="none" w:pos="9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660" w:right="80" w:hanging="4"/>
        <w:spacing w:after="0" w:line="275" w:lineRule="auto"/>
        <w:tabs>
          <w:tab w:leader="none" w:pos="9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left="660" w:right="120" w:hanging="4"/>
        <w:spacing w:after="0" w:line="262" w:lineRule="auto"/>
        <w:tabs>
          <w:tab w:leader="none" w:pos="95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right="40" w:firstLine="8"/>
        <w:spacing w:after="0" w:line="275"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660" w:right="20" w:hanging="4"/>
        <w:spacing w:after="0" w:line="275" w:lineRule="auto"/>
        <w:tabs>
          <w:tab w:leader="none" w:pos="9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14, 2019</w:t>
      </w:r>
      <w:r>
        <w:rPr>
          <w:sz w:val="20"/>
          <w:szCs w:val="20"/>
          <w:color w:val="auto"/>
        </w:rPr>
        <w:tab/>
      </w:r>
      <w:r>
        <w:rPr>
          <w:rFonts w:ascii="Times New Roman" w:cs="Times New Roman" w:eastAsia="Times New Roman" w:hAnsi="Times New Roman"/>
          <w:sz w:val="16"/>
          <w:szCs w:val="16"/>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Lisa Feng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 Chief Accounting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1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ACM Research, Inc. for the quarterly period ended March 31, 2019, as filed with the Securities and Exchange Commission on the date hereof (the “Report”), each of the undersigned certifies, pursuant to 18 U.S.C. Section 1350, as adopted pursuant to Section 906 of the Sarbanes-Oxley Act of 2002, that, to his knowledge on the date hereof:</w:t>
      </w:r>
    </w:p>
    <w:p>
      <w:pPr>
        <w:spacing w:after="0" w:line="186"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80" w:firstLine="8"/>
        <w:spacing w:after="0" w:line="275"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ACM Research, Inc. for the period presented therein.</w:t>
      </w:r>
    </w:p>
    <w:p>
      <w:pPr>
        <w:spacing w:after="0" w:line="17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14, 2019</w:t>
      </w:r>
      <w:r>
        <w:rPr>
          <w:sz w:val="20"/>
          <w:szCs w:val="20"/>
          <w:color w:val="auto"/>
        </w:rPr>
        <w:tab/>
      </w:r>
      <w:r>
        <w:rPr>
          <w:rFonts w:ascii="Times New Roman" w:cs="Times New Roman" w:eastAsia="Times New Roman" w:hAnsi="Times New Roman"/>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H. Wang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14, 2019</w:t>
      </w:r>
      <w:r>
        <w:rPr>
          <w:sz w:val="20"/>
          <w:szCs w:val="20"/>
          <w:color w:val="auto"/>
        </w:rPr>
        <w:tab/>
      </w:r>
      <w:r>
        <w:rPr>
          <w:rFonts w:ascii="Times New Roman" w:cs="Times New Roman" w:eastAsia="Times New Roman" w:hAnsi="Times New Roman"/>
          <w:sz w:val="16"/>
          <w:szCs w:val="16"/>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Lisa Feng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 Chief Accounting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16"/>
    </w:lvl>
  </w:abstractNum>
  <w:abstractNum w:abstractNumId="3">
    <w:nsid w:val="3352255A"/>
    <w:multiLevelType w:val="hybridMultilevel"/>
    <w:lvl w:ilvl="0">
      <w:lvlJc w:val="left"/>
      <w:lvlText w:val="%1"/>
      <w:numFmt w:val="decimal"/>
      <w:start w:val="99"/>
    </w:lvl>
  </w:abstractNum>
  <w:abstractNum w:abstractNumId="4">
    <w:nsid w:val="109CF92E"/>
    <w:multiLevelType w:val="hybridMultilevel"/>
    <w:lvl w:ilvl="0">
      <w:lvlJc w:val="left"/>
      <w:lvlText w:val="%1"/>
      <w:numFmt w:val="decimal"/>
      <w:start w:val="669"/>
    </w:lvl>
  </w:abstractNum>
  <w:abstractNum w:abstractNumId="5">
    <w:nsid w:val="DED7263"/>
    <w:multiLevelType w:val="hybridMultilevel"/>
    <w:lvl w:ilvl="0">
      <w:lvlJc w:val="left"/>
      <w:lvlText w:val="(%1)"/>
      <w:numFmt w:val="decimal"/>
      <w:start w:val="115"/>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16"/>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5"/>
    </w:lvl>
  </w:abstractNum>
  <w:abstractNum w:abstractNumId="19">
    <w:nsid w:val="628C895D"/>
    <w:multiLevelType w:val="hybridMultilevel"/>
    <w:lvl w:ilvl="0">
      <w:lvlJc w:val="left"/>
      <w:lvlText w:val="%1."/>
      <w:numFmt w:val="decimal"/>
      <w:start w:val="5"/>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64" Type="http://schemas.openxmlformats.org/officeDocument/2006/relationships/hyperlink" Target="http://www.sec.gov/Archives/edgar/data/1680062/000165495419001232/acm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2019-12-28T11:48:08Z</dcterms:created>
  <dcterms:modified xsi:type="dcterms:W3CDTF">2019-12-28T11:48:08Z</dcterms:modified>
</cp:coreProperties>
</file>