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200025</wp:posOffset>
            </wp:positionH>
            <wp:positionV relativeFrom="page">
              <wp:posOffset>156845</wp:posOffset>
            </wp:positionV>
            <wp:extent cx="714883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830" cy="3048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262255</wp:posOffset>
            </wp:positionV>
            <wp:extent cx="71488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830" cy="7620"/>
                    </a:xfrm>
                    <a:prstGeom prst="rect">
                      <a:avLst/>
                    </a:prstGeom>
                    <a:noFill/>
                  </pic:spPr>
                </pic:pic>
              </a:graphicData>
            </a:graphic>
          </wp:anchor>
        </w:drawing>
        <w:t>UNITED STATES SECURITIES AND EXCHANGE COMMISSION</w:t>
      </w:r>
    </w:p>
    <w:p>
      <w:pPr>
        <w:spacing w:after="0" w:line="25"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152" w:lineRule="exact"/>
        <w:rPr>
          <w:sz w:val="24"/>
          <w:szCs w:val="24"/>
          <w:color w:val="auto"/>
        </w:rPr>
      </w:pPr>
    </w:p>
    <w:p>
      <w:pPr>
        <w:jc w:val="center"/>
        <w:ind w:right="-4"/>
        <w:spacing w:after="0"/>
        <w:rPr>
          <w:sz w:val="20"/>
          <w:szCs w:val="20"/>
          <w:color w:val="auto"/>
        </w:rPr>
      </w:pPr>
      <w:r>
        <w:rPr>
          <w:rFonts w:ascii="Arial" w:cs="Arial" w:eastAsia="Arial" w:hAnsi="Arial"/>
          <w:sz w:val="29"/>
          <w:szCs w:val="29"/>
          <w:b w:val="1"/>
          <w:bCs w:val="1"/>
          <w:color w:val="auto"/>
        </w:rPr>
        <w:t>FORM 10-K</w:t>
      </w:r>
    </w:p>
    <w:p>
      <w:pPr>
        <w:spacing w:after="0" w:line="201" w:lineRule="exact"/>
        <w:rPr>
          <w:sz w:val="24"/>
          <w:szCs w:val="24"/>
          <w:color w:val="auto"/>
        </w:rPr>
      </w:pPr>
    </w:p>
    <w:p>
      <w:pPr>
        <w:ind w:left="5"/>
        <w:spacing w:after="0"/>
        <w:rPr>
          <w:sz w:val="20"/>
          <w:szCs w:val="20"/>
          <w:color w:val="auto"/>
        </w:rPr>
      </w:pPr>
      <w:r>
        <w:rPr>
          <w:rFonts w:ascii="Arial" w:cs="Arial" w:eastAsia="Arial" w:hAnsi="Arial"/>
          <w:sz w:val="16"/>
          <w:szCs w:val="16"/>
          <w:i w:val="1"/>
          <w:iCs w:val="1"/>
          <w:color w:val="auto"/>
        </w:rPr>
        <w:t>(Mark One)</w:t>
      </w:r>
    </w:p>
    <w:p>
      <w:pPr>
        <w:spacing w:after="0" w:line="14" w:lineRule="exact"/>
        <w:rPr>
          <w:sz w:val="24"/>
          <w:szCs w:val="24"/>
          <w:color w:val="auto"/>
        </w:rPr>
      </w:pPr>
    </w:p>
    <w:p>
      <w:pPr>
        <w:ind w:left="285" w:right="3240" w:hanging="285"/>
        <w:spacing w:after="0" w:line="249" w:lineRule="auto"/>
        <w:tabs>
          <w:tab w:leader="none" w:pos="2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or</w:t>
      </w:r>
    </w:p>
    <w:p>
      <w:pPr>
        <w:spacing w:after="0" w:line="3" w:lineRule="exact"/>
        <w:rPr>
          <w:sz w:val="24"/>
          <w:szCs w:val="24"/>
          <w:color w:val="auto"/>
        </w:rPr>
      </w:pPr>
    </w:p>
    <w:p>
      <w:pPr>
        <w:ind w:left="285" w:right="2920" w:hanging="285"/>
        <w:spacing w:after="0" w:line="259" w:lineRule="auto"/>
        <w:tabs>
          <w:tab w:leader="none" w:pos="28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_____________</w:t>
      </w:r>
    </w:p>
    <w:p>
      <w:pPr>
        <w:spacing w:after="0" w:line="161"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 xml:space="preserve">Commission file number: </w:t>
      </w: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3333115</wp:posOffset>
            </wp:positionH>
            <wp:positionV relativeFrom="paragraph">
              <wp:posOffset>135255</wp:posOffset>
            </wp:positionV>
            <wp:extent cx="490220" cy="33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220" cy="332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ACM Research, Inc.</w:t>
      </w:r>
    </w:p>
    <w:p>
      <w:pPr>
        <w:spacing w:after="0" w:line="42"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78" w:lineRule="exact"/>
        <w:rPr>
          <w:sz w:val="24"/>
          <w:szCs w:val="24"/>
          <w:color w:val="auto"/>
        </w:rPr>
      </w:pPr>
    </w:p>
    <w:tbl>
      <w:tblPr>
        <w:tblLayout w:type="fixed"/>
        <w:tblInd w:w="5" w:type="dxa"/>
        <w:tblCellMar>
          <w:top w:w="0" w:type="dxa"/>
          <w:left w:w="0" w:type="dxa"/>
          <w:bottom w:w="0" w:type="dxa"/>
          <w:right w:w="0" w:type="dxa"/>
        </w:tblCellMar>
      </w:tblPr>
      <w:tr>
        <w:trPr>
          <w:trHeight w:val="194"/>
        </w:trPr>
        <w:tc>
          <w:tcPr>
            <w:tcW w:w="5220" w:type="dxa"/>
            <w:vAlign w:val="bottom"/>
            <w:gridSpan w:val="3"/>
          </w:tcPr>
          <w:p>
            <w:pPr>
              <w:jc w:val="center"/>
              <w:ind w:left="1821"/>
              <w:spacing w:after="0"/>
              <w:rPr>
                <w:sz w:val="20"/>
                <w:szCs w:val="20"/>
                <w:color w:val="auto"/>
              </w:rPr>
            </w:pPr>
            <w:r>
              <w:rPr>
                <w:rFonts w:ascii="Arial" w:cs="Arial" w:eastAsia="Arial" w:hAnsi="Arial"/>
                <w:sz w:val="16"/>
                <w:szCs w:val="16"/>
                <w:b w:val="1"/>
                <w:bCs w:val="1"/>
                <w:color w:val="auto"/>
                <w:w w:val="91"/>
              </w:rPr>
              <w:t>Delaware</w:t>
            </w: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40" w:type="dxa"/>
            <w:vAlign w:val="bottom"/>
          </w:tcPr>
          <w:p>
            <w:pPr>
              <w:jc w:val="right"/>
              <w:ind w:right="1581"/>
              <w:spacing w:after="0"/>
              <w:rPr>
                <w:sz w:val="20"/>
                <w:szCs w:val="20"/>
                <w:color w:val="auto"/>
              </w:rPr>
            </w:pPr>
            <w:r>
              <w:rPr>
                <w:rFonts w:ascii="Arial" w:cs="Arial" w:eastAsia="Arial" w:hAnsi="Arial"/>
                <w:sz w:val="16"/>
                <w:szCs w:val="16"/>
                <w:b w:val="1"/>
                <w:bCs w:val="1"/>
                <w:color w:val="auto"/>
              </w:rPr>
              <w:t>94-3290283</w:t>
            </w:r>
          </w:p>
        </w:tc>
      </w:tr>
      <w:tr>
        <w:trPr>
          <w:trHeight w:val="201"/>
        </w:trPr>
        <w:tc>
          <w:tcPr>
            <w:tcW w:w="7820" w:type="dxa"/>
            <w:vAlign w:val="bottom"/>
            <w:gridSpan w:val="6"/>
          </w:tcPr>
          <w:p>
            <w:pPr>
              <w:jc w:val="center"/>
              <w:ind w:right="700"/>
              <w:spacing w:after="0"/>
              <w:rPr>
                <w:sz w:val="20"/>
                <w:szCs w:val="20"/>
                <w:color w:val="auto"/>
              </w:rPr>
            </w:pPr>
            <w:r>
              <w:rPr>
                <w:rFonts w:ascii="Arial" w:cs="Arial" w:eastAsia="Arial" w:hAnsi="Arial"/>
                <w:sz w:val="16"/>
                <w:szCs w:val="16"/>
                <w:i w:val="1"/>
                <w:iCs w:val="1"/>
                <w:color w:val="auto"/>
                <w:w w:val="93"/>
              </w:rPr>
              <w:t>(State or Other Jurisdiction of Incorporation or Organization)</w:t>
            </w:r>
          </w:p>
        </w:tc>
        <w:tc>
          <w:tcPr>
            <w:tcW w:w="3440" w:type="dxa"/>
            <w:vAlign w:val="bottom"/>
          </w:tcPr>
          <w:p>
            <w:pPr>
              <w:jc w:val="center"/>
              <w:ind w:right="541"/>
              <w:spacing w:after="0"/>
              <w:rPr>
                <w:sz w:val="20"/>
                <w:szCs w:val="20"/>
                <w:color w:val="auto"/>
              </w:rPr>
            </w:pPr>
            <w:r>
              <w:rPr>
                <w:rFonts w:ascii="Arial" w:cs="Arial" w:eastAsia="Arial" w:hAnsi="Arial"/>
                <w:sz w:val="16"/>
                <w:szCs w:val="16"/>
                <w:i w:val="1"/>
                <w:iCs w:val="1"/>
                <w:color w:val="auto"/>
                <w:w w:val="91"/>
              </w:rPr>
              <w:t>(I.R.S. Employer Identification No.)</w:t>
            </w:r>
          </w:p>
        </w:tc>
      </w:tr>
      <w:tr>
        <w:trPr>
          <w:trHeight w:val="369"/>
        </w:trPr>
        <w:tc>
          <w:tcPr>
            <w:tcW w:w="5220" w:type="dxa"/>
            <w:vAlign w:val="bottom"/>
            <w:gridSpan w:val="3"/>
          </w:tcPr>
          <w:p>
            <w:pPr>
              <w:jc w:val="center"/>
              <w:ind w:left="1821"/>
              <w:spacing w:after="0"/>
              <w:rPr>
                <w:sz w:val="20"/>
                <w:szCs w:val="20"/>
                <w:color w:val="auto"/>
              </w:rPr>
            </w:pPr>
            <w:r>
              <w:rPr>
                <w:rFonts w:ascii="Arial" w:cs="Arial" w:eastAsia="Arial" w:hAnsi="Arial"/>
                <w:sz w:val="16"/>
                <w:szCs w:val="16"/>
                <w:b w:val="1"/>
                <w:bCs w:val="1"/>
                <w:color w:val="auto"/>
                <w:w w:val="90"/>
              </w:rPr>
              <w:t>42307 Osgood Road, Suite I, Fremont, California</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jc w:val="right"/>
              <w:ind w:right="1761"/>
              <w:spacing w:after="0"/>
              <w:rPr>
                <w:sz w:val="20"/>
                <w:szCs w:val="20"/>
                <w:color w:val="auto"/>
              </w:rPr>
            </w:pPr>
            <w:r>
              <w:rPr>
                <w:rFonts w:ascii="Arial" w:cs="Arial" w:eastAsia="Arial" w:hAnsi="Arial"/>
                <w:sz w:val="16"/>
                <w:szCs w:val="16"/>
                <w:b w:val="1"/>
                <w:bCs w:val="1"/>
                <w:color w:val="auto"/>
              </w:rPr>
              <w:t>94539</w:t>
            </w:r>
          </w:p>
        </w:tc>
      </w:tr>
      <w:tr>
        <w:trPr>
          <w:trHeight w:val="201"/>
        </w:trPr>
        <w:tc>
          <w:tcPr>
            <w:tcW w:w="5220" w:type="dxa"/>
            <w:vAlign w:val="bottom"/>
            <w:gridSpan w:val="3"/>
          </w:tcPr>
          <w:p>
            <w:pPr>
              <w:jc w:val="center"/>
              <w:ind w:left="1821"/>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40" w:type="dxa"/>
            <w:vAlign w:val="bottom"/>
          </w:tcPr>
          <w:p>
            <w:pPr>
              <w:jc w:val="center"/>
              <w:ind w:right="561"/>
              <w:spacing w:after="0"/>
              <w:rPr>
                <w:sz w:val="20"/>
                <w:szCs w:val="20"/>
                <w:color w:val="auto"/>
              </w:rPr>
            </w:pPr>
            <w:r>
              <w:rPr>
                <w:rFonts w:ascii="Arial" w:cs="Arial" w:eastAsia="Arial" w:hAnsi="Arial"/>
                <w:sz w:val="16"/>
                <w:szCs w:val="16"/>
                <w:i w:val="1"/>
                <w:iCs w:val="1"/>
                <w:color w:val="auto"/>
                <w:w w:val="89"/>
              </w:rPr>
              <w:t>(Zip Code)</w:t>
            </w:r>
          </w:p>
        </w:tc>
      </w:tr>
      <w:tr>
        <w:trPr>
          <w:trHeight w:val="380"/>
        </w:trPr>
        <w:tc>
          <w:tcPr>
            <w:tcW w:w="7820" w:type="dxa"/>
            <w:vAlign w:val="bottom"/>
            <w:gridSpan w:val="6"/>
          </w:tcPr>
          <w:p>
            <w:pPr>
              <w:jc w:val="center"/>
              <w:ind w:left="3361"/>
              <w:spacing w:after="0"/>
              <w:rPr>
                <w:sz w:val="20"/>
                <w:szCs w:val="20"/>
                <w:color w:val="auto"/>
              </w:rPr>
            </w:pPr>
            <w:r>
              <w:rPr>
                <w:rFonts w:ascii="Arial" w:cs="Arial" w:eastAsia="Arial" w:hAnsi="Arial"/>
                <w:sz w:val="16"/>
                <w:szCs w:val="16"/>
                <w:i w:val="1"/>
                <w:iCs w:val="1"/>
                <w:color w:val="auto"/>
                <w:w w:val="89"/>
              </w:rPr>
              <w:t xml:space="preserve">Registrant’s telephone number, including area code: </w:t>
            </w:r>
            <w:r>
              <w:rPr>
                <w:rFonts w:ascii="Arial" w:cs="Arial" w:eastAsia="Arial" w:hAnsi="Arial"/>
                <w:sz w:val="16"/>
                <w:szCs w:val="16"/>
                <w:b w:val="1"/>
                <w:bCs w:val="1"/>
                <w:color w:val="auto"/>
                <w:w w:val="89"/>
              </w:rPr>
              <w:t>(510) 445-3700</w:t>
            </w:r>
          </w:p>
        </w:tc>
        <w:tc>
          <w:tcPr>
            <w:tcW w:w="3440" w:type="dxa"/>
            <w:vAlign w:val="bottom"/>
          </w:tcPr>
          <w:p>
            <w:pPr>
              <w:spacing w:after="0"/>
              <w:rPr>
                <w:sz w:val="24"/>
                <w:szCs w:val="24"/>
                <w:color w:val="auto"/>
              </w:rPr>
            </w:pPr>
          </w:p>
        </w:tc>
      </w:tr>
      <w:tr>
        <w:trPr>
          <w:trHeight w:val="380"/>
        </w:trPr>
        <w:tc>
          <w:tcPr>
            <w:tcW w:w="7820" w:type="dxa"/>
            <w:vAlign w:val="bottom"/>
            <w:gridSpan w:val="6"/>
          </w:tcPr>
          <w:p>
            <w:pPr>
              <w:jc w:val="center"/>
              <w:ind w:left="3341"/>
              <w:spacing w:after="0"/>
              <w:rPr>
                <w:sz w:val="20"/>
                <w:szCs w:val="20"/>
                <w:color w:val="auto"/>
              </w:rPr>
            </w:pPr>
            <w:r>
              <w:rPr>
                <w:rFonts w:ascii="Arial" w:cs="Arial" w:eastAsia="Arial" w:hAnsi="Arial"/>
                <w:sz w:val="16"/>
                <w:szCs w:val="16"/>
                <w:i w:val="1"/>
                <w:iCs w:val="1"/>
                <w:color w:val="auto"/>
                <w:w w:val="89"/>
              </w:rPr>
              <w:t>Securities registered pursuant to Section 12(b) of the Act:</w:t>
            </w:r>
          </w:p>
        </w:tc>
        <w:tc>
          <w:tcPr>
            <w:tcW w:w="3440" w:type="dxa"/>
            <w:vAlign w:val="bottom"/>
          </w:tcPr>
          <w:p>
            <w:pPr>
              <w:spacing w:after="0"/>
              <w:rPr>
                <w:sz w:val="24"/>
                <w:szCs w:val="24"/>
                <w:color w:val="auto"/>
              </w:rPr>
            </w:pPr>
          </w:p>
        </w:tc>
      </w:tr>
      <w:tr>
        <w:trPr>
          <w:trHeight w:val="385"/>
        </w:trPr>
        <w:tc>
          <w:tcPr>
            <w:tcW w:w="5220" w:type="dxa"/>
            <w:vAlign w:val="bottom"/>
            <w:gridSpan w:val="3"/>
          </w:tcPr>
          <w:p>
            <w:pPr>
              <w:jc w:val="center"/>
              <w:ind w:right="1140"/>
              <w:spacing w:after="0"/>
              <w:rPr>
                <w:sz w:val="20"/>
                <w:szCs w:val="20"/>
                <w:color w:val="auto"/>
              </w:rPr>
            </w:pPr>
            <w:r>
              <w:rPr>
                <w:rFonts w:ascii="Arial" w:cs="Arial" w:eastAsia="Arial" w:hAnsi="Arial"/>
                <w:sz w:val="16"/>
                <w:szCs w:val="16"/>
                <w:color w:val="auto"/>
                <w:w w:val="89"/>
              </w:rPr>
              <w:t>Title of Each Class</w:t>
            </w:r>
          </w:p>
        </w:tc>
        <w:tc>
          <w:tcPr>
            <w:tcW w:w="2600" w:type="dxa"/>
            <w:vAlign w:val="bottom"/>
            <w:gridSpan w:val="3"/>
          </w:tcPr>
          <w:p>
            <w:pPr>
              <w:jc w:val="center"/>
              <w:ind w:right="1560"/>
              <w:spacing w:after="0"/>
              <w:rPr>
                <w:sz w:val="20"/>
                <w:szCs w:val="20"/>
                <w:color w:val="auto"/>
              </w:rPr>
            </w:pPr>
            <w:r>
              <w:rPr>
                <w:rFonts w:ascii="Arial" w:cs="Arial" w:eastAsia="Arial" w:hAnsi="Arial"/>
                <w:sz w:val="16"/>
                <w:szCs w:val="16"/>
                <w:color w:val="auto"/>
                <w:w w:val="92"/>
              </w:rPr>
              <w:t>Trading Symbol</w:t>
            </w:r>
          </w:p>
        </w:tc>
        <w:tc>
          <w:tcPr>
            <w:tcW w:w="3440" w:type="dxa"/>
            <w:vAlign w:val="bottom"/>
          </w:tcPr>
          <w:p>
            <w:pPr>
              <w:jc w:val="center"/>
              <w:ind w:right="361"/>
              <w:spacing w:after="0"/>
              <w:rPr>
                <w:sz w:val="20"/>
                <w:szCs w:val="20"/>
                <w:color w:val="auto"/>
              </w:rPr>
            </w:pPr>
            <w:r>
              <w:rPr>
                <w:rFonts w:ascii="Arial" w:cs="Arial" w:eastAsia="Arial" w:hAnsi="Arial"/>
                <w:sz w:val="16"/>
                <w:szCs w:val="16"/>
                <w:color w:val="auto"/>
                <w:w w:val="89"/>
              </w:rPr>
              <w:t>Name of Each Exchange on which Registered</w:t>
            </w:r>
          </w:p>
        </w:tc>
      </w:tr>
      <w:tr>
        <w:trPr>
          <w:trHeight w:val="205"/>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Class A Common Stock, $0.0001 par value</w:t>
            </w:r>
          </w:p>
        </w:tc>
        <w:tc>
          <w:tcPr>
            <w:tcW w:w="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center"/>
              <w:ind w:right="981"/>
              <w:spacing w:after="0"/>
              <w:rPr>
                <w:sz w:val="20"/>
                <w:szCs w:val="20"/>
                <w:color w:val="auto"/>
              </w:rPr>
            </w:pPr>
            <w:r>
              <w:rPr>
                <w:rFonts w:ascii="Arial" w:cs="Arial" w:eastAsia="Arial" w:hAnsi="Arial"/>
                <w:sz w:val="16"/>
                <w:szCs w:val="16"/>
                <w:b w:val="1"/>
                <w:bCs w:val="1"/>
                <w:color w:val="auto"/>
                <w:w w:val="99"/>
              </w:rPr>
              <w:t>ACMR</w:t>
            </w: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jc w:val="center"/>
              <w:ind w:right="341"/>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58"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 xml:space="preserve">Securities registered pursuant to Section 12(g) of the Act: </w:t>
      </w:r>
      <w:r>
        <w:rPr>
          <w:rFonts w:ascii="Arial" w:cs="Arial" w:eastAsia="Arial" w:hAnsi="Arial"/>
          <w:sz w:val="16"/>
          <w:szCs w:val="16"/>
          <w:b w:val="1"/>
          <w:bCs w:val="1"/>
          <w:color w:val="auto"/>
        </w:rPr>
        <w:t>None.</w:t>
      </w:r>
    </w:p>
    <w:p>
      <w:pPr>
        <w:spacing w:after="0" w:line="17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jc w:val="both"/>
        <w:ind w:left="5" w:right="20"/>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2" w:lineRule="exact"/>
        <w:rPr>
          <w:sz w:val="24"/>
          <w:szCs w:val="24"/>
          <w:color w:val="auto"/>
        </w:rPr>
      </w:pPr>
    </w:p>
    <w:p>
      <w:pPr>
        <w:jc w:val="both"/>
        <w:ind w:left="5" w:right="20"/>
        <w:spacing w:after="0" w:line="20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2" w:lineRule="exact"/>
        <w:rPr>
          <w:sz w:val="24"/>
          <w:szCs w:val="24"/>
          <w:color w:val="auto"/>
        </w:rPr>
      </w:pPr>
    </w:p>
    <w:p>
      <w:pPr>
        <w:jc w:val="both"/>
        <w:ind w:left="5" w:right="20"/>
        <w:spacing w:after="0" w:line="34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565"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Arial" w:cs="Arial" w:eastAsia="Arial" w:hAnsi="Arial"/>
                <w:sz w:val="16"/>
                <w:szCs w:val="16"/>
                <w:color w:val="auto"/>
                <w:w w:val="90"/>
              </w:rPr>
              <w:t>Large accelerated filer</w:t>
            </w:r>
          </w:p>
        </w:tc>
        <w:tc>
          <w:tcPr>
            <w:tcW w:w="30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0"/>
        </w:trPr>
        <w:tc>
          <w:tcPr>
            <w:tcW w:w="1460" w:type="dxa"/>
            <w:vAlign w:val="bottom"/>
          </w:tcPr>
          <w:p>
            <w:pPr>
              <w:spacing w:after="0"/>
              <w:rPr>
                <w:sz w:val="20"/>
                <w:szCs w:val="20"/>
                <w:color w:val="auto"/>
              </w:rPr>
            </w:pPr>
            <w:r>
              <w:rPr>
                <w:rFonts w:ascii="Arial" w:cs="Arial" w:eastAsia="Arial" w:hAnsi="Arial"/>
                <w:sz w:val="16"/>
                <w:szCs w:val="16"/>
                <w:color w:val="auto"/>
                <w:w w:val="97"/>
              </w:rPr>
              <w:t>Non-accelerated filer</w:t>
            </w:r>
          </w:p>
        </w:tc>
        <w:tc>
          <w:tcPr>
            <w:tcW w:w="30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7"/>
        </w:trPr>
        <w:tc>
          <w:tcPr>
            <w:tcW w:w="14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08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1" w:lineRule="exact"/>
        <w:rPr>
          <w:sz w:val="24"/>
          <w:szCs w:val="24"/>
          <w:color w:val="auto"/>
        </w:rPr>
      </w:pPr>
    </w:p>
    <w:p>
      <w:pPr>
        <w:jc w:val="both"/>
        <w:ind w:left="5"/>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left="5"/>
        <w:spacing w:after="0" w:line="205"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62" w:lineRule="exact"/>
        <w:rPr>
          <w:sz w:val="24"/>
          <w:szCs w:val="24"/>
          <w:color w:val="auto"/>
        </w:rPr>
      </w:pPr>
    </w:p>
    <w:p>
      <w:pPr>
        <w:ind w:left="5" w:right="600"/>
        <w:spacing w:after="0" w:line="20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2" w:lineRule="exact"/>
        <w:rPr>
          <w:sz w:val="24"/>
          <w:szCs w:val="24"/>
          <w:color w:val="auto"/>
        </w:rPr>
      </w:pPr>
    </w:p>
    <w:p>
      <w:pPr>
        <w:ind w:left="5" w:right="600"/>
        <w:spacing w:after="0" w:line="204"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4"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jc w:val="both"/>
        <w:ind w:left="5" w:right="20"/>
        <w:spacing w:after="0" w:line="258" w:lineRule="auto"/>
        <w:rPr>
          <w:sz w:val="20"/>
          <w:szCs w:val="20"/>
          <w:color w:val="auto"/>
        </w:rPr>
      </w:pPr>
      <w:r>
        <w:rPr>
          <w:rFonts w:ascii="Arial" w:cs="Arial" w:eastAsia="Arial" w:hAnsi="Arial"/>
          <w:sz w:val="16"/>
          <w:szCs w:val="16"/>
          <w:color w:val="auto"/>
        </w:rPr>
        <w:t>The aggregate market value on June 30, 2022 (the last business day of the registrant’s most recently completed second quarter) of the voting common equity held by non-affiliates of the registrant, computed by reference to the $16.83 closing price of the stock on that date, was $739.0 million. The registrant does not have non-voting common equity outstanding.</w:t>
      </w:r>
    </w:p>
    <w:p>
      <w:pPr>
        <w:spacing w:after="0" w:line="167" w:lineRule="exact"/>
        <w:rPr>
          <w:sz w:val="24"/>
          <w:szCs w:val="24"/>
          <w:color w:val="auto"/>
        </w:rPr>
      </w:pPr>
    </w:p>
    <w:p>
      <w:pPr>
        <w:ind w:left="5"/>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96" w:lineRule="exact"/>
        <w:rPr>
          <w:sz w:val="24"/>
          <w:szCs w:val="24"/>
          <w:color w:val="auto"/>
        </w:rPr>
      </w:pPr>
    </w:p>
    <w:tbl>
      <w:tblPr>
        <w:tblLayout w:type="fixed"/>
        <w:tblInd w:w="5"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360" w:type="dxa"/>
            <w:vAlign w:val="bottom"/>
            <w:tcBorders>
              <w:bottom w:val="single" w:sz="8" w:color="auto"/>
            </w:tcBorders>
          </w:tcPr>
          <w:p>
            <w:pPr>
              <w:jc w:val="right"/>
              <w:ind w:right="2441"/>
              <w:spacing w:after="0"/>
              <w:rPr>
                <w:sz w:val="20"/>
                <w:szCs w:val="20"/>
                <w:color w:val="auto"/>
              </w:rPr>
            </w:pPr>
            <w:r>
              <w:rPr>
                <w:rFonts w:ascii="Arial" w:cs="Arial" w:eastAsia="Arial" w:hAnsi="Arial"/>
                <w:sz w:val="16"/>
                <w:szCs w:val="16"/>
                <w:color w:val="auto"/>
              </w:rPr>
              <w:t>Class</w:t>
            </w:r>
          </w:p>
        </w:tc>
        <w:tc>
          <w:tcPr>
            <w:tcW w:w="500" w:type="dxa"/>
            <w:vAlign w:val="bottom"/>
          </w:tcPr>
          <w:p>
            <w:pPr>
              <w:spacing w:after="0"/>
              <w:rPr>
                <w:sz w:val="17"/>
                <w:szCs w:val="17"/>
                <w:color w:val="auto"/>
              </w:rPr>
            </w:pPr>
          </w:p>
        </w:tc>
        <w:tc>
          <w:tcPr>
            <w:tcW w:w="5380" w:type="dxa"/>
            <w:vAlign w:val="bottom"/>
            <w:tcBorders>
              <w:bottom w:val="single" w:sz="8" w:color="auto"/>
            </w:tcBorders>
          </w:tcPr>
          <w:p>
            <w:pPr>
              <w:ind w:left="1700"/>
              <w:spacing w:after="0"/>
              <w:rPr>
                <w:sz w:val="20"/>
                <w:szCs w:val="20"/>
                <w:color w:val="auto"/>
              </w:rPr>
            </w:pPr>
            <w:r>
              <w:rPr>
                <w:rFonts w:ascii="Arial" w:cs="Arial" w:eastAsia="Arial" w:hAnsi="Arial"/>
                <w:sz w:val="16"/>
                <w:szCs w:val="16"/>
                <w:color w:val="auto"/>
              </w:rPr>
              <w:t>Number of Shares Outstanding</w:t>
            </w:r>
          </w:p>
        </w:tc>
      </w:tr>
      <w:tr>
        <w:trPr>
          <w:trHeight w:val="173"/>
        </w:trPr>
        <w:tc>
          <w:tcPr>
            <w:tcW w:w="20" w:type="dxa"/>
            <w:vAlign w:val="bottom"/>
          </w:tcPr>
          <w:p>
            <w:pPr>
              <w:spacing w:after="0"/>
              <w:rPr>
                <w:sz w:val="15"/>
                <w:szCs w:val="15"/>
                <w:color w:val="auto"/>
              </w:rPr>
            </w:pPr>
          </w:p>
        </w:tc>
        <w:tc>
          <w:tcPr>
            <w:tcW w:w="5360" w:type="dxa"/>
            <w:vAlign w:val="bottom"/>
          </w:tcPr>
          <w:p>
            <w:pPr>
              <w:jc w:val="right"/>
              <w:ind w:right="2441"/>
              <w:spacing w:after="0" w:line="174" w:lineRule="exact"/>
              <w:rPr>
                <w:sz w:val="20"/>
                <w:szCs w:val="20"/>
                <w:color w:val="auto"/>
              </w:rPr>
            </w:pPr>
            <w:r>
              <w:rPr>
                <w:rFonts w:ascii="Arial" w:cs="Arial" w:eastAsia="Arial" w:hAnsi="Arial"/>
                <w:sz w:val="16"/>
                <w:szCs w:val="16"/>
                <w:b w:val="1"/>
                <w:bCs w:val="1"/>
                <w:color w:val="auto"/>
                <w:w w:val="87"/>
              </w:rPr>
              <w:t>Class A Common Stock, $0.0001 par value</w:t>
            </w:r>
          </w:p>
        </w:tc>
        <w:tc>
          <w:tcPr>
            <w:tcW w:w="500" w:type="dxa"/>
            <w:vAlign w:val="bottom"/>
          </w:tcPr>
          <w:p>
            <w:pPr>
              <w:spacing w:after="0"/>
              <w:rPr>
                <w:sz w:val="15"/>
                <w:szCs w:val="15"/>
                <w:color w:val="auto"/>
              </w:rPr>
            </w:pPr>
          </w:p>
        </w:tc>
        <w:tc>
          <w:tcPr>
            <w:tcW w:w="5380" w:type="dxa"/>
            <w:vAlign w:val="bottom"/>
          </w:tcPr>
          <w:p>
            <w:pPr>
              <w:spacing w:after="0" w:line="174" w:lineRule="exact"/>
              <w:rPr>
                <w:sz w:val="20"/>
                <w:szCs w:val="20"/>
                <w:color w:val="auto"/>
              </w:rPr>
            </w:pPr>
            <w:r>
              <w:rPr>
                <w:rFonts w:ascii="Arial" w:cs="Arial" w:eastAsia="Arial" w:hAnsi="Arial"/>
                <w:sz w:val="16"/>
                <w:szCs w:val="16"/>
                <w:b w:val="1"/>
                <w:bCs w:val="1"/>
                <w:color w:val="auto"/>
              </w:rPr>
              <w:t>54,681,261 shares outstanding as of February 22, 2023</w:t>
            </w:r>
          </w:p>
        </w:tc>
      </w:tr>
      <w:tr>
        <w:trPr>
          <w:trHeight w:val="205"/>
        </w:trPr>
        <w:tc>
          <w:tcPr>
            <w:tcW w:w="5380" w:type="dxa"/>
            <w:vAlign w:val="bottom"/>
            <w:gridSpan w:val="2"/>
          </w:tcPr>
          <w:p>
            <w:pPr>
              <w:jc w:val="right"/>
              <w:ind w:right="2441"/>
              <w:spacing w:after="0"/>
              <w:rPr>
                <w:sz w:val="20"/>
                <w:szCs w:val="20"/>
                <w:color w:val="auto"/>
              </w:rPr>
            </w:pPr>
            <w:r>
              <w:rPr>
                <w:rFonts w:ascii="Arial" w:cs="Arial" w:eastAsia="Arial" w:hAnsi="Arial"/>
                <w:sz w:val="16"/>
                <w:szCs w:val="16"/>
                <w:b w:val="1"/>
                <w:bCs w:val="1"/>
                <w:color w:val="auto"/>
                <w:w w:val="88"/>
              </w:rPr>
              <w:t>Class B Common Stock, $0.0001 par value</w:t>
            </w:r>
          </w:p>
        </w:tc>
        <w:tc>
          <w:tcPr>
            <w:tcW w:w="5880" w:type="dxa"/>
            <w:vAlign w:val="bottom"/>
            <w:gridSpan w:val="2"/>
          </w:tcPr>
          <w:p>
            <w:pPr>
              <w:ind w:left="500"/>
              <w:spacing w:after="0"/>
              <w:rPr>
                <w:sz w:val="20"/>
                <w:szCs w:val="20"/>
                <w:color w:val="auto"/>
              </w:rPr>
            </w:pPr>
            <w:r>
              <w:rPr>
                <w:rFonts w:ascii="Arial" w:cs="Arial" w:eastAsia="Arial" w:hAnsi="Arial"/>
                <w:sz w:val="16"/>
                <w:szCs w:val="16"/>
                <w:b w:val="1"/>
                <w:bCs w:val="1"/>
                <w:color w:val="auto"/>
              </w:rPr>
              <w:t>5,021,811 shares outstanding as of February 22, 2023</w:t>
            </w:r>
          </w:p>
        </w:tc>
      </w:tr>
    </w:tbl>
    <w:p>
      <w:pPr>
        <w:spacing w:after="0" w:line="175"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 w:lineRule="exact"/>
        <w:rPr>
          <w:sz w:val="24"/>
          <w:szCs w:val="24"/>
          <w:color w:val="auto"/>
        </w:rPr>
      </w:pPr>
    </w:p>
    <w:p>
      <w:pPr>
        <w:jc w:val="both"/>
        <w:ind w:left="5" w:right="20"/>
        <w:spacing w:after="0" w:line="255" w:lineRule="auto"/>
        <w:rPr>
          <w:sz w:val="20"/>
          <w:szCs w:val="20"/>
          <w:color w:val="auto"/>
        </w:rPr>
      </w:pPr>
      <w:r>
        <w:rPr>
          <w:rFonts w:ascii="Arial" w:cs="Arial" w:eastAsia="Arial" w:hAnsi="Arial"/>
          <w:sz w:val="16"/>
          <w:szCs w:val="16"/>
          <w:color w:val="auto"/>
        </w:rPr>
        <w:t>The registrant intends to file a proxy statement pursuant to Regulation 14A within 120 days of the end of the fiscal year ended December 31, 2022. Portions of such proxy statement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1488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242570</wp:posOffset>
            </wp:positionV>
            <wp:extent cx="7148830"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830"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378460</wp:posOffset>
            </wp:positionV>
            <wp:extent cx="71488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524" w:right="319" w:bottom="23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00" w:type="dxa"/>
            <w:vAlign w:val="bottom"/>
            <w:gridSpan w:val="8"/>
          </w:tcPr>
          <w:p>
            <w:pPr>
              <w:jc w:val="center"/>
              <w:ind w:right="3080"/>
              <w:spacing w:after="0"/>
              <w:rPr>
                <w:sz w:val="20"/>
                <w:szCs w:val="20"/>
                <w:color w:val="auto"/>
              </w:rPr>
            </w:pPr>
            <w:r>
              <w:rPr>
                <w:rFonts w:ascii="Arial" w:cs="Arial" w:eastAsia="Arial" w:hAnsi="Arial"/>
                <w:sz w:val="16"/>
                <w:szCs w:val="16"/>
                <w:b w:val="1"/>
                <w:bCs w:val="1"/>
                <w:color w:val="auto"/>
                <w:w w:val="98"/>
              </w:rPr>
              <w:t>TABLE OF CONTENTS</w:t>
            </w:r>
          </w:p>
        </w:tc>
        <w:tc>
          <w:tcPr>
            <w:tcW w:w="1640" w:type="dxa"/>
            <w:vAlign w:val="bottom"/>
          </w:tcPr>
          <w:p>
            <w:pPr>
              <w:spacing w:after="0"/>
              <w:rPr>
                <w:sz w:val="17"/>
                <w:szCs w:val="17"/>
                <w:color w:val="auto"/>
              </w:rPr>
            </w:pPr>
          </w:p>
        </w:tc>
      </w:tr>
      <w:tr>
        <w:trPr>
          <w:trHeight w:val="380"/>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7"/>
          </w:tcPr>
          <w:p>
            <w:pPr>
              <w:jc w:val="center"/>
              <w:ind w:right="3340"/>
              <w:spacing w:after="0"/>
              <w:rPr>
                <w:sz w:val="20"/>
                <w:szCs w:val="20"/>
                <w:color w:val="auto"/>
              </w:rPr>
            </w:pPr>
            <w:r>
              <w:rPr>
                <w:rFonts w:ascii="Arial" w:cs="Arial" w:eastAsia="Arial" w:hAnsi="Arial"/>
                <w:sz w:val="16"/>
                <w:szCs w:val="16"/>
                <w:b w:val="1"/>
                <w:bCs w:val="1"/>
                <w:color w:val="auto"/>
                <w:w w:val="99"/>
              </w:rPr>
              <w:t>PART I</w:t>
            </w:r>
          </w:p>
        </w:tc>
        <w:tc>
          <w:tcPr>
            <w:tcW w:w="1640" w:type="dxa"/>
            <w:vAlign w:val="bottom"/>
          </w:tcPr>
          <w:p>
            <w:pPr>
              <w:spacing w:after="0"/>
              <w:rPr>
                <w:sz w:val="24"/>
                <w:szCs w:val="24"/>
                <w:color w:val="auto"/>
              </w:rPr>
            </w:pPr>
          </w:p>
        </w:tc>
      </w:tr>
      <w:tr>
        <w:trPr>
          <w:trHeight w:val="156"/>
        </w:trPr>
        <w:tc>
          <w:tcPr>
            <w:tcW w:w="1120" w:type="dxa"/>
            <w:vAlign w:val="bottom"/>
            <w:gridSpan w:val="2"/>
            <w:shd w:val="clear" w:color="auto" w:fill="CCEEFF"/>
          </w:tcPr>
          <w:p>
            <w:pPr>
              <w:spacing w:after="0" w:line="156" w:lineRule="exact"/>
              <w:rPr>
                <w:sz w:val="20"/>
                <w:szCs w:val="20"/>
                <w:color w:val="auto"/>
              </w:rPr>
            </w:pPr>
            <w:r>
              <w:rPr>
                <w:rFonts w:ascii="Arial" w:cs="Arial" w:eastAsia="Arial" w:hAnsi="Arial"/>
                <w:sz w:val="16"/>
                <w:szCs w:val="16"/>
                <w:color w:val="auto"/>
              </w:rPr>
              <w:t>Item 1</w:t>
            </w:r>
          </w:p>
        </w:tc>
        <w:tc>
          <w:tcPr>
            <w:tcW w:w="8500" w:type="dxa"/>
            <w:vAlign w:val="bottom"/>
            <w:gridSpan w:val="21"/>
            <w:shd w:val="clear" w:color="auto" w:fill="CCEEFF"/>
          </w:tcPr>
          <w:p>
            <w:pPr>
              <w:spacing w:after="0" w:line="156" w:lineRule="exact"/>
              <w:rPr>
                <w:sz w:val="20"/>
                <w:szCs w:val="20"/>
                <w:color w:val="auto"/>
              </w:rPr>
            </w:pPr>
            <w:r>
              <w:rPr>
                <w:rFonts w:ascii="Arial" w:cs="Arial" w:eastAsia="Arial" w:hAnsi="Arial"/>
                <w:sz w:val="16"/>
                <w:szCs w:val="16"/>
                <w:color w:val="0000EE"/>
              </w:rPr>
              <w:t>Business</w:t>
            </w:r>
          </w:p>
        </w:tc>
        <w:tc>
          <w:tcPr>
            <w:tcW w:w="16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7</w:t>
            </w:r>
          </w:p>
        </w:tc>
      </w:tr>
      <w:tr>
        <w:trPr>
          <w:trHeight w:val="36"/>
        </w:trPr>
        <w:tc>
          <w:tcPr>
            <w:tcW w:w="6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154"/>
        </w:trPr>
        <w:tc>
          <w:tcPr>
            <w:tcW w:w="1120" w:type="dxa"/>
            <w:vAlign w:val="bottom"/>
            <w:gridSpan w:val="2"/>
          </w:tcPr>
          <w:p>
            <w:pPr>
              <w:spacing w:after="0" w:line="155" w:lineRule="exact"/>
              <w:rPr>
                <w:sz w:val="20"/>
                <w:szCs w:val="20"/>
                <w:color w:val="auto"/>
              </w:rPr>
            </w:pPr>
            <w:r>
              <w:rPr>
                <w:rFonts w:ascii="Arial" w:cs="Arial" w:eastAsia="Arial" w:hAnsi="Arial"/>
                <w:sz w:val="16"/>
                <w:szCs w:val="16"/>
                <w:color w:val="auto"/>
              </w:rPr>
              <w:t>Item 1A</w:t>
            </w:r>
          </w:p>
        </w:tc>
        <w:tc>
          <w:tcPr>
            <w:tcW w:w="800" w:type="dxa"/>
            <w:vAlign w:val="bottom"/>
            <w:tcBorders>
              <w:bottom w:val="single" w:sz="8" w:color="0000EE"/>
            </w:tcBorders>
            <w:gridSpan w:val="4"/>
          </w:tcPr>
          <w:p>
            <w:pPr>
              <w:spacing w:after="0" w:line="155" w:lineRule="exact"/>
              <w:rPr>
                <w:sz w:val="20"/>
                <w:szCs w:val="20"/>
                <w:color w:val="auto"/>
              </w:rPr>
            </w:pPr>
            <w:r>
              <w:rPr>
                <w:rFonts w:ascii="Arial" w:cs="Arial" w:eastAsia="Arial" w:hAnsi="Arial"/>
                <w:sz w:val="16"/>
                <w:szCs w:val="16"/>
                <w:color w:val="0000EE"/>
                <w:w w:val="87"/>
              </w:rPr>
              <w:t>Risk Factors</w:t>
            </w:r>
          </w:p>
        </w:tc>
        <w:tc>
          <w:tcPr>
            <w:tcW w:w="7700" w:type="dxa"/>
            <w:vAlign w:val="bottom"/>
            <w:gridSpan w:val="17"/>
          </w:tcPr>
          <w:p>
            <w:pPr>
              <w:spacing w:after="0"/>
              <w:rPr>
                <w:sz w:val="13"/>
                <w:szCs w:val="13"/>
                <w:color w:val="auto"/>
              </w:rPr>
            </w:pPr>
          </w:p>
        </w:tc>
        <w:tc>
          <w:tcPr>
            <w:tcW w:w="1640" w:type="dxa"/>
            <w:vAlign w:val="bottom"/>
          </w:tcPr>
          <w:p>
            <w:pPr>
              <w:jc w:val="right"/>
              <w:spacing w:after="0" w:line="155" w:lineRule="exact"/>
              <w:rPr>
                <w:sz w:val="20"/>
                <w:szCs w:val="20"/>
                <w:color w:val="auto"/>
              </w:rPr>
            </w:pPr>
            <w:r>
              <w:rPr>
                <w:rFonts w:ascii="Arial" w:cs="Arial" w:eastAsia="Arial" w:hAnsi="Arial"/>
                <w:sz w:val="16"/>
                <w:szCs w:val="16"/>
                <w:color w:val="auto"/>
              </w:rPr>
              <w:t>21</w:t>
            </w:r>
          </w:p>
        </w:tc>
      </w:tr>
      <w:tr>
        <w:trPr>
          <w:trHeight w:val="186"/>
        </w:trPr>
        <w:tc>
          <w:tcPr>
            <w:tcW w:w="1120" w:type="dxa"/>
            <w:vAlign w:val="bottom"/>
            <w:gridSpan w:val="2"/>
            <w:shd w:val="clear" w:color="auto" w:fill="CCEEFF"/>
          </w:tcPr>
          <w:p>
            <w:pPr>
              <w:spacing w:after="0" w:line="170" w:lineRule="exact"/>
              <w:rPr>
                <w:sz w:val="20"/>
                <w:szCs w:val="20"/>
                <w:color w:val="auto"/>
              </w:rPr>
            </w:pPr>
            <w:r>
              <w:rPr>
                <w:rFonts w:ascii="Arial" w:cs="Arial" w:eastAsia="Arial" w:hAnsi="Arial"/>
                <w:sz w:val="16"/>
                <w:szCs w:val="16"/>
                <w:color w:val="auto"/>
              </w:rPr>
              <w:t>Item 1B</w:t>
            </w:r>
          </w:p>
        </w:tc>
        <w:tc>
          <w:tcPr>
            <w:tcW w:w="8500" w:type="dxa"/>
            <w:vAlign w:val="bottom"/>
            <w:gridSpan w:val="21"/>
            <w:shd w:val="clear" w:color="auto" w:fill="CCEEFF"/>
          </w:tcPr>
          <w:p>
            <w:pPr>
              <w:spacing w:after="0" w:line="170" w:lineRule="exact"/>
              <w:rPr>
                <w:sz w:val="20"/>
                <w:szCs w:val="20"/>
                <w:color w:val="auto"/>
              </w:rPr>
            </w:pPr>
            <w:r>
              <w:rPr>
                <w:rFonts w:ascii="Arial" w:cs="Arial" w:eastAsia="Arial" w:hAnsi="Arial"/>
                <w:sz w:val="16"/>
                <w:szCs w:val="16"/>
                <w:color w:val="0000EE"/>
              </w:rPr>
              <w:t>Unresolved Staff Comments</w:t>
            </w:r>
          </w:p>
        </w:tc>
        <w:tc>
          <w:tcPr>
            <w:tcW w:w="16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56</w:t>
            </w:r>
          </w:p>
        </w:tc>
      </w:tr>
      <w:tr>
        <w:trPr>
          <w:trHeight w:val="154"/>
        </w:trPr>
        <w:tc>
          <w:tcPr>
            <w:tcW w:w="1120" w:type="dxa"/>
            <w:vAlign w:val="bottom"/>
            <w:tcBorders>
              <w:top w:val="single" w:sz="8" w:color="CCEEFF"/>
            </w:tcBorders>
            <w:gridSpan w:val="2"/>
          </w:tcPr>
          <w:p>
            <w:pPr>
              <w:spacing w:after="0" w:line="155" w:lineRule="exact"/>
              <w:rPr>
                <w:sz w:val="20"/>
                <w:szCs w:val="20"/>
                <w:color w:val="auto"/>
              </w:rPr>
            </w:pPr>
            <w:r>
              <w:rPr>
                <w:rFonts w:ascii="Arial" w:cs="Arial" w:eastAsia="Arial" w:hAnsi="Arial"/>
                <w:sz w:val="16"/>
                <w:szCs w:val="16"/>
                <w:color w:val="auto"/>
              </w:rPr>
              <w:t>Item 2</w:t>
            </w:r>
          </w:p>
        </w:tc>
        <w:tc>
          <w:tcPr>
            <w:tcW w:w="1800" w:type="dxa"/>
            <w:vAlign w:val="bottom"/>
            <w:tcBorders>
              <w:top w:val="single" w:sz="8" w:color="0000EE"/>
            </w:tcBorders>
            <w:gridSpan w:val="9"/>
          </w:tcPr>
          <w:p>
            <w:pPr>
              <w:spacing w:after="0" w:line="155" w:lineRule="exact"/>
              <w:rPr>
                <w:sz w:val="20"/>
                <w:szCs w:val="20"/>
                <w:color w:val="auto"/>
              </w:rPr>
            </w:pPr>
            <w:r>
              <w:rPr>
                <w:rFonts w:ascii="Arial" w:cs="Arial" w:eastAsia="Arial" w:hAnsi="Arial"/>
                <w:sz w:val="16"/>
                <w:szCs w:val="16"/>
                <w:color w:val="0000EE"/>
              </w:rPr>
              <w:t>Properties</w:t>
            </w:r>
          </w:p>
        </w:tc>
        <w:tc>
          <w:tcPr>
            <w:tcW w:w="6700" w:type="dxa"/>
            <w:vAlign w:val="bottom"/>
            <w:tcBorders>
              <w:top w:val="single" w:sz="8" w:color="CCEEFF"/>
            </w:tcBorders>
            <w:gridSpan w:val="12"/>
          </w:tcPr>
          <w:p>
            <w:pPr>
              <w:spacing w:after="0"/>
              <w:rPr>
                <w:sz w:val="13"/>
                <w:szCs w:val="13"/>
                <w:color w:val="auto"/>
              </w:rPr>
            </w:pPr>
          </w:p>
        </w:tc>
        <w:tc>
          <w:tcPr>
            <w:tcW w:w="16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6"/>
                <w:szCs w:val="16"/>
                <w:color w:val="auto"/>
              </w:rPr>
              <w:t>57</w:t>
            </w:r>
          </w:p>
        </w:tc>
      </w:tr>
      <w:tr>
        <w:trPr>
          <w:trHeight w:val="20"/>
        </w:trPr>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6"/>
        </w:trPr>
        <w:tc>
          <w:tcPr>
            <w:tcW w:w="11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6"/>
                <w:szCs w:val="16"/>
                <w:color w:val="auto"/>
              </w:rPr>
              <w:t>Item 3</w:t>
            </w:r>
          </w:p>
        </w:tc>
        <w:tc>
          <w:tcPr>
            <w:tcW w:w="1180" w:type="dxa"/>
            <w:vAlign w:val="bottom"/>
            <w:tcBorders>
              <w:bottom w:val="single" w:sz="8" w:color="0000EE"/>
            </w:tcBorders>
            <w:gridSpan w:val="6"/>
            <w:shd w:val="clear" w:color="auto" w:fill="CCEEFF"/>
          </w:tcPr>
          <w:p>
            <w:pPr>
              <w:spacing w:after="0" w:line="170" w:lineRule="exact"/>
              <w:rPr>
                <w:sz w:val="20"/>
                <w:szCs w:val="20"/>
                <w:color w:val="auto"/>
              </w:rPr>
            </w:pPr>
            <w:r>
              <w:rPr>
                <w:rFonts w:ascii="Arial" w:cs="Arial" w:eastAsia="Arial" w:hAnsi="Arial"/>
                <w:sz w:val="16"/>
                <w:szCs w:val="16"/>
                <w:color w:val="0000EE"/>
                <w:w w:val="87"/>
              </w:rPr>
              <w:t>Legal Proceedings</w:t>
            </w:r>
          </w:p>
        </w:tc>
        <w:tc>
          <w:tcPr>
            <w:tcW w:w="7320" w:type="dxa"/>
            <w:vAlign w:val="bottom"/>
            <w:tcBorders>
              <w:bottom w:val="single" w:sz="8" w:color="CCEEFF"/>
            </w:tcBorders>
            <w:gridSpan w:val="15"/>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57</w:t>
            </w:r>
          </w:p>
        </w:tc>
      </w:tr>
      <w:tr>
        <w:trPr>
          <w:trHeight w:val="162"/>
        </w:trPr>
        <w:tc>
          <w:tcPr>
            <w:tcW w:w="1120" w:type="dxa"/>
            <w:vAlign w:val="bottom"/>
            <w:gridSpan w:val="2"/>
          </w:tcPr>
          <w:p>
            <w:pPr>
              <w:spacing w:after="0" w:line="155" w:lineRule="exact"/>
              <w:rPr>
                <w:sz w:val="20"/>
                <w:szCs w:val="20"/>
                <w:color w:val="auto"/>
              </w:rPr>
            </w:pPr>
            <w:r>
              <w:rPr>
                <w:rFonts w:ascii="Arial" w:cs="Arial" w:eastAsia="Arial" w:hAnsi="Arial"/>
                <w:sz w:val="16"/>
                <w:szCs w:val="16"/>
                <w:color w:val="auto"/>
              </w:rPr>
              <w:t>Item 4</w:t>
            </w:r>
          </w:p>
        </w:tc>
        <w:tc>
          <w:tcPr>
            <w:tcW w:w="8500" w:type="dxa"/>
            <w:vAlign w:val="bottom"/>
            <w:gridSpan w:val="21"/>
          </w:tcPr>
          <w:p>
            <w:pPr>
              <w:spacing w:after="0" w:line="155" w:lineRule="exact"/>
              <w:rPr>
                <w:sz w:val="20"/>
                <w:szCs w:val="20"/>
                <w:color w:val="auto"/>
              </w:rPr>
            </w:pPr>
            <w:r>
              <w:rPr>
                <w:rFonts w:ascii="Arial" w:cs="Arial" w:eastAsia="Arial" w:hAnsi="Arial"/>
                <w:sz w:val="16"/>
                <w:szCs w:val="16"/>
                <w:color w:val="0000EE"/>
              </w:rPr>
              <w:t>Mine Safety Disclosures</w:t>
            </w:r>
          </w:p>
        </w:tc>
        <w:tc>
          <w:tcPr>
            <w:tcW w:w="1640" w:type="dxa"/>
            <w:vAlign w:val="bottom"/>
          </w:tcPr>
          <w:p>
            <w:pPr>
              <w:jc w:val="right"/>
              <w:spacing w:after="0" w:line="155" w:lineRule="exact"/>
              <w:rPr>
                <w:sz w:val="20"/>
                <w:szCs w:val="20"/>
                <w:color w:val="auto"/>
              </w:rPr>
            </w:pPr>
            <w:r>
              <w:rPr>
                <w:rFonts w:ascii="Arial" w:cs="Arial" w:eastAsia="Arial" w:hAnsi="Arial"/>
                <w:sz w:val="16"/>
                <w:szCs w:val="16"/>
                <w:color w:val="auto"/>
              </w:rPr>
              <w:t>57</w:t>
            </w:r>
          </w:p>
        </w:tc>
      </w:tr>
      <w:tr>
        <w:trPr>
          <w:trHeight w:val="198"/>
        </w:trPr>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0"/>
        </w:trPr>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60" w:type="dxa"/>
            <w:vAlign w:val="bottom"/>
            <w:gridSpan w:val="7"/>
          </w:tcPr>
          <w:p>
            <w:pPr>
              <w:jc w:val="center"/>
              <w:ind w:right="3320"/>
              <w:spacing w:after="0"/>
              <w:rPr>
                <w:sz w:val="20"/>
                <w:szCs w:val="20"/>
                <w:color w:val="auto"/>
              </w:rPr>
            </w:pPr>
            <w:r>
              <w:rPr>
                <w:rFonts w:ascii="Arial" w:cs="Arial" w:eastAsia="Arial" w:hAnsi="Arial"/>
                <w:sz w:val="16"/>
                <w:szCs w:val="16"/>
                <w:b w:val="1"/>
                <w:bCs w:val="1"/>
                <w:color w:val="auto"/>
              </w:rPr>
              <w:t>PART II</w:t>
            </w:r>
          </w:p>
        </w:tc>
        <w:tc>
          <w:tcPr>
            <w:tcW w:w="1640" w:type="dxa"/>
            <w:vAlign w:val="bottom"/>
          </w:tcPr>
          <w:p>
            <w:pPr>
              <w:spacing w:after="0"/>
              <w:rPr>
                <w:sz w:val="16"/>
                <w:szCs w:val="16"/>
                <w:color w:val="auto"/>
              </w:rPr>
            </w:pPr>
          </w:p>
        </w:tc>
      </w:tr>
      <w:tr>
        <w:trPr>
          <w:trHeight w:val="170"/>
        </w:trPr>
        <w:tc>
          <w:tcPr>
            <w:tcW w:w="112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color w:val="auto"/>
              </w:rPr>
              <w:t>Item 5</w:t>
            </w:r>
          </w:p>
        </w:tc>
        <w:tc>
          <w:tcPr>
            <w:tcW w:w="8500" w:type="dxa"/>
            <w:vAlign w:val="bottom"/>
            <w:gridSpan w:val="21"/>
            <w:shd w:val="clear" w:color="auto" w:fill="CCEEFF"/>
          </w:tcPr>
          <w:p>
            <w:pPr>
              <w:spacing w:after="0" w:line="155" w:lineRule="exact"/>
              <w:rPr>
                <w:sz w:val="20"/>
                <w:szCs w:val="20"/>
                <w:color w:val="auto"/>
              </w:rPr>
            </w:pPr>
            <w:r>
              <w:rPr>
                <w:rFonts w:ascii="Arial" w:cs="Arial" w:eastAsia="Arial" w:hAnsi="Arial"/>
                <w:sz w:val="16"/>
                <w:szCs w:val="16"/>
                <w:color w:val="0000EE"/>
              </w:rPr>
              <w:t>Market for Registrant’s Common Equity, Related Stockholder Matters and Issuer Purchases of Equity Securities</w:t>
            </w:r>
          </w:p>
        </w:tc>
        <w:tc>
          <w:tcPr>
            <w:tcW w:w="16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58</w:t>
            </w:r>
          </w:p>
        </w:tc>
      </w:tr>
      <w:tr>
        <w:trPr>
          <w:trHeight w:val="154"/>
        </w:trPr>
        <w:tc>
          <w:tcPr>
            <w:tcW w:w="1120" w:type="dxa"/>
            <w:vAlign w:val="bottom"/>
            <w:tcBorders>
              <w:top w:val="single" w:sz="8" w:color="CCEEFF"/>
            </w:tcBorders>
            <w:gridSpan w:val="2"/>
          </w:tcPr>
          <w:p>
            <w:pPr>
              <w:spacing w:after="0" w:line="155" w:lineRule="exact"/>
              <w:rPr>
                <w:sz w:val="20"/>
                <w:szCs w:val="20"/>
                <w:color w:val="auto"/>
              </w:rPr>
            </w:pPr>
            <w:r>
              <w:rPr>
                <w:rFonts w:ascii="Arial" w:cs="Arial" w:eastAsia="Arial" w:hAnsi="Arial"/>
                <w:sz w:val="16"/>
                <w:szCs w:val="16"/>
                <w:color w:val="auto"/>
              </w:rPr>
              <w:t>Item 6</w:t>
            </w:r>
          </w:p>
        </w:tc>
        <w:tc>
          <w:tcPr>
            <w:tcW w:w="700" w:type="dxa"/>
            <w:vAlign w:val="bottom"/>
            <w:tcBorders>
              <w:top w:val="single" w:sz="8" w:color="0000EE"/>
              <w:bottom w:val="single" w:sz="8" w:color="0000EE"/>
            </w:tcBorders>
            <w:gridSpan w:val="3"/>
          </w:tcPr>
          <w:p>
            <w:pPr>
              <w:spacing w:after="0" w:line="155" w:lineRule="exact"/>
              <w:rPr>
                <w:sz w:val="20"/>
                <w:szCs w:val="20"/>
                <w:color w:val="auto"/>
              </w:rPr>
            </w:pPr>
            <w:r>
              <w:rPr>
                <w:rFonts w:ascii="Arial" w:cs="Arial" w:eastAsia="Arial" w:hAnsi="Arial"/>
                <w:sz w:val="16"/>
                <w:szCs w:val="16"/>
                <w:color w:val="0000EE"/>
                <w:w w:val="87"/>
              </w:rPr>
              <w:t>[Reserved]</w:t>
            </w:r>
          </w:p>
        </w:tc>
        <w:tc>
          <w:tcPr>
            <w:tcW w:w="6400" w:type="dxa"/>
            <w:vAlign w:val="bottom"/>
            <w:tcBorders>
              <w:top w:val="single" w:sz="8" w:color="0000EE"/>
            </w:tcBorders>
            <w:gridSpan w:val="17"/>
          </w:tcPr>
          <w:p>
            <w:pPr>
              <w:spacing w:after="0"/>
              <w:rPr>
                <w:sz w:val="13"/>
                <w:szCs w:val="13"/>
                <w:color w:val="auto"/>
              </w:rPr>
            </w:pPr>
          </w:p>
        </w:tc>
        <w:tc>
          <w:tcPr>
            <w:tcW w:w="1400" w:type="dxa"/>
            <w:vAlign w:val="bottom"/>
            <w:tcBorders>
              <w:top w:val="single" w:sz="8" w:color="CCEEFF"/>
            </w:tcBorders>
          </w:tcPr>
          <w:p>
            <w:pPr>
              <w:spacing w:after="0"/>
              <w:rPr>
                <w:sz w:val="13"/>
                <w:szCs w:val="13"/>
                <w:color w:val="auto"/>
              </w:rPr>
            </w:pPr>
          </w:p>
        </w:tc>
        <w:tc>
          <w:tcPr>
            <w:tcW w:w="16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6"/>
                <w:szCs w:val="16"/>
                <w:color w:val="auto"/>
              </w:rPr>
              <w:t>59</w:t>
            </w:r>
          </w:p>
        </w:tc>
      </w:tr>
      <w:tr>
        <w:trPr>
          <w:trHeight w:val="186"/>
        </w:trPr>
        <w:tc>
          <w:tcPr>
            <w:tcW w:w="1120" w:type="dxa"/>
            <w:vAlign w:val="bottom"/>
            <w:gridSpan w:val="2"/>
            <w:shd w:val="clear" w:color="auto" w:fill="CCEEFF"/>
          </w:tcPr>
          <w:p>
            <w:pPr>
              <w:spacing w:after="0" w:line="170" w:lineRule="exact"/>
              <w:rPr>
                <w:sz w:val="20"/>
                <w:szCs w:val="20"/>
                <w:color w:val="auto"/>
              </w:rPr>
            </w:pPr>
            <w:r>
              <w:rPr>
                <w:rFonts w:ascii="Arial" w:cs="Arial" w:eastAsia="Arial" w:hAnsi="Arial"/>
                <w:sz w:val="16"/>
                <w:szCs w:val="16"/>
                <w:color w:val="auto"/>
              </w:rPr>
              <w:t>Item 7</w:t>
            </w:r>
          </w:p>
        </w:tc>
        <w:tc>
          <w:tcPr>
            <w:tcW w:w="8500" w:type="dxa"/>
            <w:vAlign w:val="bottom"/>
            <w:gridSpan w:val="21"/>
            <w:shd w:val="clear" w:color="auto" w:fill="CCEEFF"/>
          </w:tcPr>
          <w:p>
            <w:pPr>
              <w:spacing w:after="0" w:line="170" w:lineRule="exact"/>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6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60</w:t>
            </w:r>
          </w:p>
        </w:tc>
      </w:tr>
      <w:tr>
        <w:trPr>
          <w:trHeight w:val="154"/>
        </w:trPr>
        <w:tc>
          <w:tcPr>
            <w:tcW w:w="1120" w:type="dxa"/>
            <w:vAlign w:val="bottom"/>
            <w:tcBorders>
              <w:top w:val="single" w:sz="8" w:color="CCEEFF"/>
            </w:tcBorders>
            <w:gridSpan w:val="2"/>
          </w:tcPr>
          <w:p>
            <w:pPr>
              <w:spacing w:after="0" w:line="155" w:lineRule="exact"/>
              <w:rPr>
                <w:sz w:val="20"/>
                <w:szCs w:val="20"/>
                <w:color w:val="auto"/>
              </w:rPr>
            </w:pPr>
            <w:r>
              <w:rPr>
                <w:rFonts w:ascii="Arial" w:cs="Arial" w:eastAsia="Arial" w:hAnsi="Arial"/>
                <w:sz w:val="16"/>
                <w:szCs w:val="16"/>
                <w:color w:val="auto"/>
              </w:rPr>
              <w:t>Item 7A</w:t>
            </w:r>
          </w:p>
        </w:tc>
        <w:tc>
          <w:tcPr>
            <w:tcW w:w="3840" w:type="dxa"/>
            <w:vAlign w:val="bottom"/>
            <w:tcBorders>
              <w:top w:val="single" w:sz="8" w:color="0000EE"/>
              <w:bottom w:val="single" w:sz="8" w:color="0000EE"/>
            </w:tcBorders>
            <w:gridSpan w:val="14"/>
          </w:tcPr>
          <w:p>
            <w:pPr>
              <w:spacing w:after="0" w:line="155" w:lineRule="exact"/>
              <w:rPr>
                <w:sz w:val="20"/>
                <w:szCs w:val="20"/>
                <w:color w:val="auto"/>
              </w:rPr>
            </w:pPr>
            <w:r>
              <w:rPr>
                <w:rFonts w:ascii="Arial" w:cs="Arial" w:eastAsia="Arial" w:hAnsi="Arial"/>
                <w:sz w:val="16"/>
                <w:szCs w:val="16"/>
                <w:color w:val="0000EE"/>
                <w:w w:val="91"/>
              </w:rPr>
              <w:t>Quantitative and Qualitative Disclosures About Market Risk</w:t>
            </w:r>
          </w:p>
        </w:tc>
        <w:tc>
          <w:tcPr>
            <w:tcW w:w="1840" w:type="dxa"/>
            <w:vAlign w:val="bottom"/>
            <w:tcBorders>
              <w:top w:val="single" w:sz="8" w:color="0000EE"/>
            </w:tcBorders>
            <w:gridSpan w:val="3"/>
          </w:tcPr>
          <w:p>
            <w:pPr>
              <w:spacing w:after="0"/>
              <w:rPr>
                <w:sz w:val="13"/>
                <w:szCs w:val="13"/>
                <w:color w:val="auto"/>
              </w:rPr>
            </w:pPr>
          </w:p>
        </w:tc>
        <w:tc>
          <w:tcPr>
            <w:tcW w:w="2820" w:type="dxa"/>
            <w:vAlign w:val="bottom"/>
            <w:tcBorders>
              <w:top w:val="single" w:sz="8" w:color="CCEEFF"/>
            </w:tcBorders>
            <w:gridSpan w:val="4"/>
          </w:tcPr>
          <w:p>
            <w:pPr>
              <w:spacing w:after="0"/>
              <w:rPr>
                <w:sz w:val="13"/>
                <w:szCs w:val="13"/>
                <w:color w:val="auto"/>
              </w:rPr>
            </w:pPr>
          </w:p>
        </w:tc>
        <w:tc>
          <w:tcPr>
            <w:tcW w:w="16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6"/>
                <w:szCs w:val="16"/>
                <w:color w:val="auto"/>
              </w:rPr>
              <w:t>89</w:t>
            </w:r>
          </w:p>
        </w:tc>
      </w:tr>
      <w:tr>
        <w:trPr>
          <w:trHeight w:val="186"/>
        </w:trPr>
        <w:tc>
          <w:tcPr>
            <w:tcW w:w="11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6"/>
                <w:szCs w:val="16"/>
                <w:color w:val="auto"/>
              </w:rPr>
              <w:t>Item 8</w:t>
            </w:r>
          </w:p>
        </w:tc>
        <w:tc>
          <w:tcPr>
            <w:tcW w:w="2940" w:type="dxa"/>
            <w:vAlign w:val="bottom"/>
            <w:tcBorders>
              <w:bottom w:val="single" w:sz="8" w:color="0000EE"/>
            </w:tcBorders>
            <w:gridSpan w:val="12"/>
            <w:shd w:val="clear" w:color="auto" w:fill="CCEEFF"/>
          </w:tcPr>
          <w:p>
            <w:pPr>
              <w:spacing w:after="0" w:line="170" w:lineRule="exact"/>
              <w:rPr>
                <w:sz w:val="20"/>
                <w:szCs w:val="20"/>
                <w:color w:val="auto"/>
              </w:rPr>
            </w:pPr>
            <w:r>
              <w:rPr>
                <w:rFonts w:ascii="Arial" w:cs="Arial" w:eastAsia="Arial" w:hAnsi="Arial"/>
                <w:sz w:val="16"/>
                <w:szCs w:val="16"/>
                <w:color w:val="0000EE"/>
                <w:w w:val="88"/>
              </w:rPr>
              <w:t>Financial Statements and Supplementary Data</w:t>
            </w:r>
          </w:p>
        </w:tc>
        <w:tc>
          <w:tcPr>
            <w:tcW w:w="5560" w:type="dxa"/>
            <w:vAlign w:val="bottom"/>
            <w:tcBorders>
              <w:bottom w:val="single" w:sz="8" w:color="CCEEFF"/>
            </w:tcBorders>
            <w:gridSpan w:val="9"/>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90</w:t>
            </w:r>
          </w:p>
        </w:tc>
      </w:tr>
      <w:tr>
        <w:trPr>
          <w:trHeight w:val="154"/>
        </w:trPr>
        <w:tc>
          <w:tcPr>
            <w:tcW w:w="1120" w:type="dxa"/>
            <w:vAlign w:val="bottom"/>
            <w:gridSpan w:val="2"/>
          </w:tcPr>
          <w:p>
            <w:pPr>
              <w:spacing w:after="0" w:line="155" w:lineRule="exact"/>
              <w:rPr>
                <w:sz w:val="20"/>
                <w:szCs w:val="20"/>
                <w:color w:val="auto"/>
              </w:rPr>
            </w:pPr>
            <w:r>
              <w:rPr>
                <w:rFonts w:ascii="Arial" w:cs="Arial" w:eastAsia="Arial" w:hAnsi="Arial"/>
                <w:sz w:val="16"/>
                <w:szCs w:val="16"/>
                <w:color w:val="auto"/>
              </w:rPr>
              <w:t>Item 9</w:t>
            </w:r>
          </w:p>
        </w:tc>
        <w:tc>
          <w:tcPr>
            <w:tcW w:w="5700" w:type="dxa"/>
            <w:vAlign w:val="bottom"/>
            <w:tcBorders>
              <w:bottom w:val="single" w:sz="8" w:color="0000EE"/>
            </w:tcBorders>
            <w:gridSpan w:val="18"/>
          </w:tcPr>
          <w:p>
            <w:pPr>
              <w:spacing w:after="0" w:line="155" w:lineRule="exact"/>
              <w:rPr>
                <w:sz w:val="20"/>
                <w:szCs w:val="20"/>
                <w:color w:val="auto"/>
              </w:rPr>
            </w:pPr>
            <w:r>
              <w:rPr>
                <w:rFonts w:ascii="Arial" w:cs="Arial" w:eastAsia="Arial" w:hAnsi="Arial"/>
                <w:sz w:val="16"/>
                <w:szCs w:val="16"/>
                <w:color w:val="0000EE"/>
                <w:w w:val="89"/>
              </w:rPr>
              <w:t>Changes in and Disagreements with Accountants on Accounting and Financial Disclosure</w:t>
            </w:r>
          </w:p>
        </w:tc>
        <w:tc>
          <w:tcPr>
            <w:tcW w:w="2800" w:type="dxa"/>
            <w:vAlign w:val="bottom"/>
            <w:gridSpan w:val="3"/>
          </w:tcPr>
          <w:p>
            <w:pPr>
              <w:spacing w:after="0"/>
              <w:rPr>
                <w:sz w:val="13"/>
                <w:szCs w:val="13"/>
                <w:color w:val="auto"/>
              </w:rPr>
            </w:pPr>
          </w:p>
        </w:tc>
        <w:tc>
          <w:tcPr>
            <w:tcW w:w="1640" w:type="dxa"/>
            <w:vAlign w:val="bottom"/>
          </w:tcPr>
          <w:p>
            <w:pPr>
              <w:jc w:val="right"/>
              <w:spacing w:after="0" w:line="155" w:lineRule="exact"/>
              <w:rPr>
                <w:sz w:val="20"/>
                <w:szCs w:val="20"/>
                <w:color w:val="auto"/>
              </w:rPr>
            </w:pPr>
            <w:r>
              <w:rPr>
                <w:rFonts w:ascii="Arial" w:cs="Arial" w:eastAsia="Arial" w:hAnsi="Arial"/>
                <w:sz w:val="16"/>
                <w:szCs w:val="16"/>
                <w:color w:val="auto"/>
              </w:rPr>
              <w:t>140</w:t>
            </w:r>
          </w:p>
        </w:tc>
      </w:tr>
      <w:tr>
        <w:trPr>
          <w:trHeight w:val="186"/>
        </w:trPr>
        <w:tc>
          <w:tcPr>
            <w:tcW w:w="11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6"/>
                <w:szCs w:val="16"/>
                <w:color w:val="auto"/>
              </w:rPr>
              <w:t>Item 9A</w:t>
            </w:r>
          </w:p>
        </w:tc>
        <w:tc>
          <w:tcPr>
            <w:tcW w:w="1580" w:type="dxa"/>
            <w:vAlign w:val="bottom"/>
            <w:tcBorders>
              <w:bottom w:val="single" w:sz="8" w:color="0000EE"/>
              <w:right w:val="single" w:sz="8" w:color="CCEEFF"/>
            </w:tcBorders>
            <w:gridSpan w:val="8"/>
            <w:shd w:val="clear" w:color="auto" w:fill="CCEEFF"/>
          </w:tcPr>
          <w:p>
            <w:pPr>
              <w:spacing w:after="0" w:line="170" w:lineRule="exact"/>
              <w:rPr>
                <w:sz w:val="20"/>
                <w:szCs w:val="20"/>
                <w:color w:val="auto"/>
              </w:rPr>
            </w:pPr>
            <w:r>
              <w:rPr>
                <w:rFonts w:ascii="Arial" w:cs="Arial" w:eastAsia="Arial" w:hAnsi="Arial"/>
                <w:sz w:val="16"/>
                <w:szCs w:val="16"/>
                <w:color w:val="0000EE"/>
                <w:w w:val="86"/>
              </w:rPr>
              <w:t>Controls and Procedures</w:t>
            </w:r>
          </w:p>
        </w:tc>
        <w:tc>
          <w:tcPr>
            <w:tcW w:w="6920" w:type="dxa"/>
            <w:vAlign w:val="bottom"/>
            <w:tcBorders>
              <w:bottom w:val="single" w:sz="8" w:color="CCEEFF"/>
            </w:tcBorders>
            <w:gridSpan w:val="13"/>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140</w:t>
            </w:r>
          </w:p>
        </w:tc>
      </w:tr>
      <w:tr>
        <w:trPr>
          <w:trHeight w:val="154"/>
        </w:trPr>
        <w:tc>
          <w:tcPr>
            <w:tcW w:w="1120" w:type="dxa"/>
            <w:vAlign w:val="bottom"/>
            <w:gridSpan w:val="2"/>
          </w:tcPr>
          <w:p>
            <w:pPr>
              <w:spacing w:after="0" w:line="155" w:lineRule="exact"/>
              <w:rPr>
                <w:sz w:val="20"/>
                <w:szCs w:val="20"/>
                <w:color w:val="auto"/>
              </w:rPr>
            </w:pPr>
            <w:r>
              <w:rPr>
                <w:rFonts w:ascii="Arial" w:cs="Arial" w:eastAsia="Arial" w:hAnsi="Arial"/>
                <w:sz w:val="16"/>
                <w:szCs w:val="16"/>
                <w:color w:val="auto"/>
              </w:rPr>
              <w:t>Item 9B</w:t>
            </w:r>
          </w:p>
        </w:tc>
        <w:tc>
          <w:tcPr>
            <w:tcW w:w="1160" w:type="dxa"/>
            <w:vAlign w:val="bottom"/>
            <w:tcBorders>
              <w:bottom w:val="single" w:sz="8" w:color="0000EE"/>
            </w:tcBorders>
            <w:gridSpan w:val="5"/>
          </w:tcPr>
          <w:p>
            <w:pPr>
              <w:spacing w:after="0" w:line="155" w:lineRule="exact"/>
              <w:rPr>
                <w:sz w:val="20"/>
                <w:szCs w:val="20"/>
                <w:color w:val="auto"/>
              </w:rPr>
            </w:pPr>
            <w:r>
              <w:rPr>
                <w:rFonts w:ascii="Arial" w:cs="Arial" w:eastAsia="Arial" w:hAnsi="Arial"/>
                <w:sz w:val="16"/>
                <w:szCs w:val="16"/>
                <w:color w:val="0000EE"/>
                <w:w w:val="91"/>
              </w:rPr>
              <w:t>Other Information</w:t>
            </w:r>
          </w:p>
        </w:tc>
        <w:tc>
          <w:tcPr>
            <w:tcW w:w="7340" w:type="dxa"/>
            <w:vAlign w:val="bottom"/>
            <w:gridSpan w:val="16"/>
          </w:tcPr>
          <w:p>
            <w:pPr>
              <w:spacing w:after="0"/>
              <w:rPr>
                <w:sz w:val="13"/>
                <w:szCs w:val="13"/>
                <w:color w:val="auto"/>
              </w:rPr>
            </w:pPr>
          </w:p>
        </w:tc>
        <w:tc>
          <w:tcPr>
            <w:tcW w:w="1640" w:type="dxa"/>
            <w:vAlign w:val="bottom"/>
          </w:tcPr>
          <w:p>
            <w:pPr>
              <w:jc w:val="right"/>
              <w:spacing w:after="0" w:line="155" w:lineRule="exact"/>
              <w:rPr>
                <w:sz w:val="20"/>
                <w:szCs w:val="20"/>
                <w:color w:val="auto"/>
              </w:rPr>
            </w:pPr>
            <w:r>
              <w:rPr>
                <w:rFonts w:ascii="Arial" w:cs="Arial" w:eastAsia="Arial" w:hAnsi="Arial"/>
                <w:sz w:val="16"/>
                <w:szCs w:val="16"/>
                <w:color w:val="auto"/>
              </w:rPr>
              <w:t>142</w:t>
            </w:r>
          </w:p>
        </w:tc>
      </w:tr>
      <w:tr>
        <w:trPr>
          <w:trHeight w:val="186"/>
        </w:trPr>
        <w:tc>
          <w:tcPr>
            <w:tcW w:w="1120" w:type="dxa"/>
            <w:vAlign w:val="bottom"/>
            <w:gridSpan w:val="2"/>
            <w:shd w:val="clear" w:color="auto" w:fill="CCEEFF"/>
          </w:tcPr>
          <w:p>
            <w:pPr>
              <w:spacing w:after="0" w:line="170" w:lineRule="exact"/>
              <w:rPr>
                <w:sz w:val="20"/>
                <w:szCs w:val="20"/>
                <w:color w:val="auto"/>
              </w:rPr>
            </w:pPr>
            <w:r>
              <w:rPr>
                <w:rFonts w:ascii="Arial" w:cs="Arial" w:eastAsia="Arial" w:hAnsi="Arial"/>
                <w:sz w:val="16"/>
                <w:szCs w:val="16"/>
                <w:color w:val="auto"/>
              </w:rPr>
              <w:t>Item 9C</w:t>
            </w:r>
          </w:p>
        </w:tc>
        <w:tc>
          <w:tcPr>
            <w:tcW w:w="8500" w:type="dxa"/>
            <w:vAlign w:val="bottom"/>
            <w:gridSpan w:val="21"/>
            <w:shd w:val="clear" w:color="auto" w:fill="CCEEFF"/>
          </w:tcPr>
          <w:p>
            <w:pPr>
              <w:spacing w:after="0" w:line="170" w:lineRule="exact"/>
              <w:rPr>
                <w:sz w:val="20"/>
                <w:szCs w:val="20"/>
                <w:color w:val="auto"/>
              </w:rPr>
            </w:pPr>
            <w:r>
              <w:rPr>
                <w:rFonts w:ascii="Arial" w:cs="Arial" w:eastAsia="Arial" w:hAnsi="Arial"/>
                <w:sz w:val="16"/>
                <w:szCs w:val="16"/>
                <w:color w:val="0000EE"/>
              </w:rPr>
              <w:t>Disclosure Regarding Foreign Jurisdictions that Prevent Inspections</w:t>
            </w:r>
          </w:p>
        </w:tc>
        <w:tc>
          <w:tcPr>
            <w:tcW w:w="16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142</w:t>
            </w:r>
          </w:p>
        </w:tc>
      </w:tr>
      <w:tr>
        <w:trPr>
          <w:trHeight w:val="190"/>
        </w:trPr>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1640" w:type="dxa"/>
            <w:vAlign w:val="bottom"/>
            <w:tcBorders>
              <w:top w:val="single" w:sz="8" w:color="CCEEFF"/>
            </w:tcBorders>
          </w:tcPr>
          <w:p>
            <w:pPr>
              <w:spacing w:after="0"/>
              <w:rPr>
                <w:sz w:val="16"/>
                <w:szCs w:val="16"/>
                <w:color w:val="auto"/>
              </w:rPr>
            </w:pPr>
          </w:p>
        </w:tc>
      </w:tr>
      <w:tr>
        <w:trPr>
          <w:trHeight w:val="190"/>
        </w:trPr>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60" w:type="dxa"/>
            <w:vAlign w:val="bottom"/>
            <w:gridSpan w:val="7"/>
            <w:shd w:val="clear" w:color="auto" w:fill="CCEEFF"/>
          </w:tcPr>
          <w:p>
            <w:pPr>
              <w:jc w:val="center"/>
              <w:ind w:right="3340"/>
              <w:spacing w:after="0"/>
              <w:rPr>
                <w:sz w:val="20"/>
                <w:szCs w:val="20"/>
                <w:color w:val="auto"/>
              </w:rPr>
            </w:pPr>
            <w:r>
              <w:rPr>
                <w:rFonts w:ascii="Arial" w:cs="Arial" w:eastAsia="Arial" w:hAnsi="Arial"/>
                <w:sz w:val="16"/>
                <w:szCs w:val="16"/>
                <w:b w:val="1"/>
                <w:bCs w:val="1"/>
                <w:color w:val="auto"/>
              </w:rPr>
              <w:t>PART III</w:t>
            </w:r>
          </w:p>
        </w:tc>
        <w:tc>
          <w:tcPr>
            <w:tcW w:w="1640" w:type="dxa"/>
            <w:vAlign w:val="bottom"/>
            <w:shd w:val="clear" w:color="auto" w:fill="CCEEFF"/>
          </w:tcPr>
          <w:p>
            <w:pPr>
              <w:spacing w:after="0"/>
              <w:rPr>
                <w:sz w:val="16"/>
                <w:szCs w:val="16"/>
                <w:color w:val="auto"/>
              </w:rPr>
            </w:pPr>
          </w:p>
        </w:tc>
      </w:tr>
      <w:tr>
        <w:trPr>
          <w:trHeight w:val="154"/>
        </w:trPr>
        <w:tc>
          <w:tcPr>
            <w:tcW w:w="1120" w:type="dxa"/>
            <w:vAlign w:val="bottom"/>
            <w:gridSpan w:val="2"/>
          </w:tcPr>
          <w:p>
            <w:pPr>
              <w:spacing w:after="0" w:line="155" w:lineRule="exact"/>
              <w:rPr>
                <w:sz w:val="20"/>
                <w:szCs w:val="20"/>
                <w:color w:val="auto"/>
              </w:rPr>
            </w:pPr>
            <w:r>
              <w:rPr>
                <w:rFonts w:ascii="Arial" w:cs="Arial" w:eastAsia="Arial" w:hAnsi="Arial"/>
                <w:sz w:val="16"/>
                <w:szCs w:val="16"/>
                <w:color w:val="auto"/>
              </w:rPr>
              <w:t>Item 10</w:t>
            </w:r>
          </w:p>
        </w:tc>
        <w:tc>
          <w:tcPr>
            <w:tcW w:w="8500" w:type="dxa"/>
            <w:vAlign w:val="bottom"/>
            <w:gridSpan w:val="21"/>
          </w:tcPr>
          <w:p>
            <w:pPr>
              <w:spacing w:after="0" w:line="155" w:lineRule="exact"/>
              <w:rPr>
                <w:sz w:val="20"/>
                <w:szCs w:val="20"/>
                <w:color w:val="auto"/>
              </w:rPr>
            </w:pPr>
            <w:r>
              <w:rPr>
                <w:rFonts w:ascii="Arial" w:cs="Arial" w:eastAsia="Arial" w:hAnsi="Arial"/>
                <w:sz w:val="16"/>
                <w:szCs w:val="16"/>
                <w:color w:val="0000EE"/>
              </w:rPr>
              <w:t>Directors, Executive Officers and Corporate Governance</w:t>
            </w:r>
          </w:p>
        </w:tc>
        <w:tc>
          <w:tcPr>
            <w:tcW w:w="1640" w:type="dxa"/>
            <w:vAlign w:val="bottom"/>
          </w:tcPr>
          <w:p>
            <w:pPr>
              <w:jc w:val="right"/>
              <w:spacing w:after="0" w:line="155" w:lineRule="exact"/>
              <w:rPr>
                <w:sz w:val="20"/>
                <w:szCs w:val="20"/>
                <w:color w:val="auto"/>
              </w:rPr>
            </w:pPr>
            <w:r>
              <w:rPr>
                <w:rFonts w:ascii="Arial" w:cs="Arial" w:eastAsia="Arial" w:hAnsi="Arial"/>
                <w:sz w:val="16"/>
                <w:szCs w:val="16"/>
                <w:color w:val="auto"/>
              </w:rPr>
              <w:t>143</w:t>
            </w:r>
          </w:p>
        </w:tc>
      </w:tr>
      <w:tr>
        <w:trPr>
          <w:trHeight w:val="170"/>
        </w:trPr>
        <w:tc>
          <w:tcPr>
            <w:tcW w:w="1120" w:type="dxa"/>
            <w:vAlign w:val="bottom"/>
            <w:gridSpan w:val="2"/>
            <w:shd w:val="clear" w:color="auto" w:fill="CCEEFF"/>
          </w:tcPr>
          <w:p>
            <w:pPr>
              <w:spacing w:after="0" w:line="170" w:lineRule="exact"/>
              <w:rPr>
                <w:sz w:val="20"/>
                <w:szCs w:val="20"/>
                <w:color w:val="auto"/>
              </w:rPr>
            </w:pPr>
            <w:r>
              <w:rPr>
                <w:rFonts w:ascii="Arial" w:cs="Arial" w:eastAsia="Arial" w:hAnsi="Arial"/>
                <w:sz w:val="16"/>
                <w:szCs w:val="16"/>
                <w:color w:val="auto"/>
              </w:rPr>
              <w:t>Item 11</w:t>
            </w:r>
          </w:p>
        </w:tc>
        <w:tc>
          <w:tcPr>
            <w:tcW w:w="3600" w:type="dxa"/>
            <w:vAlign w:val="bottom"/>
            <w:tcBorders>
              <w:top w:val="single" w:sz="8" w:color="0000EE"/>
            </w:tcBorders>
            <w:gridSpan w:val="13"/>
            <w:shd w:val="clear" w:color="auto" w:fill="CCEEFF"/>
          </w:tcPr>
          <w:p>
            <w:pPr>
              <w:spacing w:after="0" w:line="170" w:lineRule="exact"/>
              <w:rPr>
                <w:sz w:val="20"/>
                <w:szCs w:val="20"/>
                <w:color w:val="auto"/>
              </w:rPr>
            </w:pPr>
            <w:r>
              <w:rPr>
                <w:rFonts w:ascii="Arial" w:cs="Arial" w:eastAsia="Arial" w:hAnsi="Arial"/>
                <w:sz w:val="16"/>
                <w:szCs w:val="16"/>
                <w:color w:val="0000EE"/>
              </w:rPr>
              <w:t>Executive Compensation</w:t>
            </w:r>
          </w:p>
        </w:tc>
        <w:tc>
          <w:tcPr>
            <w:tcW w:w="4900" w:type="dxa"/>
            <w:vAlign w:val="bottom"/>
            <w:gridSpan w:val="8"/>
            <w:shd w:val="clear" w:color="auto" w:fill="CCEEFF"/>
          </w:tcPr>
          <w:p>
            <w:pPr>
              <w:spacing w:after="0"/>
              <w:rPr>
                <w:sz w:val="14"/>
                <w:szCs w:val="14"/>
                <w:color w:val="auto"/>
              </w:rPr>
            </w:pPr>
          </w:p>
        </w:tc>
        <w:tc>
          <w:tcPr>
            <w:tcW w:w="16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143</w:t>
            </w:r>
          </w:p>
        </w:tc>
      </w:tr>
      <w:tr>
        <w:trPr>
          <w:trHeight w:val="36"/>
        </w:trPr>
        <w:tc>
          <w:tcPr>
            <w:tcW w:w="6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154"/>
        </w:trPr>
        <w:tc>
          <w:tcPr>
            <w:tcW w:w="1120" w:type="dxa"/>
            <w:vAlign w:val="bottom"/>
            <w:gridSpan w:val="2"/>
          </w:tcPr>
          <w:p>
            <w:pPr>
              <w:spacing w:after="0" w:line="155" w:lineRule="exact"/>
              <w:rPr>
                <w:sz w:val="20"/>
                <w:szCs w:val="20"/>
                <w:color w:val="auto"/>
              </w:rPr>
            </w:pPr>
            <w:r>
              <w:rPr>
                <w:rFonts w:ascii="Arial" w:cs="Arial" w:eastAsia="Arial" w:hAnsi="Arial"/>
                <w:sz w:val="16"/>
                <w:szCs w:val="16"/>
                <w:color w:val="auto"/>
              </w:rPr>
              <w:t>Item 12</w:t>
            </w:r>
          </w:p>
        </w:tc>
        <w:tc>
          <w:tcPr>
            <w:tcW w:w="6420" w:type="dxa"/>
            <w:vAlign w:val="bottom"/>
            <w:tcBorders>
              <w:bottom w:val="single" w:sz="8" w:color="0000EE"/>
            </w:tcBorders>
            <w:gridSpan w:val="19"/>
          </w:tcPr>
          <w:p>
            <w:pPr>
              <w:spacing w:after="0" w:line="155" w:lineRule="exact"/>
              <w:rPr>
                <w:sz w:val="20"/>
                <w:szCs w:val="20"/>
                <w:color w:val="auto"/>
              </w:rPr>
            </w:pPr>
            <w:r>
              <w:rPr>
                <w:rFonts w:ascii="Arial" w:cs="Arial" w:eastAsia="Arial" w:hAnsi="Arial"/>
                <w:sz w:val="16"/>
                <w:szCs w:val="16"/>
                <w:color w:val="0000EE"/>
                <w:w w:val="89"/>
              </w:rPr>
              <w:t>Security Ownership of Certain Beneficial Owners and Management and Related Stockholder Matters</w:t>
            </w:r>
          </w:p>
        </w:tc>
        <w:tc>
          <w:tcPr>
            <w:tcW w:w="2080" w:type="dxa"/>
            <w:vAlign w:val="bottom"/>
            <w:gridSpan w:val="2"/>
          </w:tcPr>
          <w:p>
            <w:pPr>
              <w:spacing w:after="0"/>
              <w:rPr>
                <w:sz w:val="13"/>
                <w:szCs w:val="13"/>
                <w:color w:val="auto"/>
              </w:rPr>
            </w:pPr>
          </w:p>
        </w:tc>
        <w:tc>
          <w:tcPr>
            <w:tcW w:w="1640" w:type="dxa"/>
            <w:vAlign w:val="bottom"/>
          </w:tcPr>
          <w:p>
            <w:pPr>
              <w:jc w:val="right"/>
              <w:spacing w:after="0" w:line="155" w:lineRule="exact"/>
              <w:rPr>
                <w:sz w:val="20"/>
                <w:szCs w:val="20"/>
                <w:color w:val="auto"/>
              </w:rPr>
            </w:pPr>
            <w:r>
              <w:rPr>
                <w:rFonts w:ascii="Arial" w:cs="Arial" w:eastAsia="Arial" w:hAnsi="Arial"/>
                <w:sz w:val="16"/>
                <w:szCs w:val="16"/>
                <w:color w:val="auto"/>
              </w:rPr>
              <w:t>143</w:t>
            </w:r>
          </w:p>
        </w:tc>
      </w:tr>
      <w:tr>
        <w:trPr>
          <w:trHeight w:val="186"/>
        </w:trPr>
        <w:tc>
          <w:tcPr>
            <w:tcW w:w="11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6"/>
                <w:szCs w:val="16"/>
                <w:color w:val="auto"/>
              </w:rPr>
              <w:t>Item 13</w:t>
            </w:r>
          </w:p>
        </w:tc>
        <w:tc>
          <w:tcPr>
            <w:tcW w:w="4800" w:type="dxa"/>
            <w:vAlign w:val="bottom"/>
            <w:tcBorders>
              <w:bottom w:val="single" w:sz="8" w:color="0000EE"/>
            </w:tcBorders>
            <w:gridSpan w:val="16"/>
            <w:shd w:val="clear" w:color="auto" w:fill="CCEEFF"/>
          </w:tcPr>
          <w:p>
            <w:pPr>
              <w:spacing w:after="0" w:line="170" w:lineRule="exact"/>
              <w:rPr>
                <w:sz w:val="20"/>
                <w:szCs w:val="20"/>
                <w:color w:val="auto"/>
              </w:rPr>
            </w:pPr>
            <w:r>
              <w:rPr>
                <w:rFonts w:ascii="Arial" w:cs="Arial" w:eastAsia="Arial" w:hAnsi="Arial"/>
                <w:sz w:val="16"/>
                <w:szCs w:val="16"/>
                <w:color w:val="0000EE"/>
                <w:w w:val="88"/>
              </w:rPr>
              <w:t>Certain Relationships and Related Transactions, and Director Independence</w:t>
            </w:r>
          </w:p>
        </w:tc>
        <w:tc>
          <w:tcPr>
            <w:tcW w:w="3700" w:type="dxa"/>
            <w:vAlign w:val="bottom"/>
            <w:tcBorders>
              <w:bottom w:val="single" w:sz="8" w:color="CCEEFF"/>
            </w:tcBorders>
            <w:gridSpan w:val="5"/>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143</w:t>
            </w:r>
          </w:p>
        </w:tc>
      </w:tr>
      <w:tr>
        <w:trPr>
          <w:trHeight w:val="162"/>
        </w:trPr>
        <w:tc>
          <w:tcPr>
            <w:tcW w:w="1120" w:type="dxa"/>
            <w:vAlign w:val="bottom"/>
            <w:gridSpan w:val="2"/>
          </w:tcPr>
          <w:p>
            <w:pPr>
              <w:spacing w:after="0" w:line="155" w:lineRule="exact"/>
              <w:rPr>
                <w:sz w:val="20"/>
                <w:szCs w:val="20"/>
                <w:color w:val="auto"/>
              </w:rPr>
            </w:pPr>
            <w:r>
              <w:rPr>
                <w:rFonts w:ascii="Arial" w:cs="Arial" w:eastAsia="Arial" w:hAnsi="Arial"/>
                <w:sz w:val="16"/>
                <w:szCs w:val="16"/>
                <w:color w:val="auto"/>
              </w:rPr>
              <w:t>Item 14</w:t>
            </w:r>
          </w:p>
        </w:tc>
        <w:tc>
          <w:tcPr>
            <w:tcW w:w="8500" w:type="dxa"/>
            <w:vAlign w:val="bottom"/>
            <w:gridSpan w:val="21"/>
          </w:tcPr>
          <w:p>
            <w:pPr>
              <w:spacing w:after="0" w:line="155" w:lineRule="exact"/>
              <w:rPr>
                <w:sz w:val="20"/>
                <w:szCs w:val="20"/>
                <w:color w:val="auto"/>
              </w:rPr>
            </w:pPr>
            <w:r>
              <w:rPr>
                <w:rFonts w:ascii="Arial" w:cs="Arial" w:eastAsia="Arial" w:hAnsi="Arial"/>
                <w:sz w:val="16"/>
                <w:szCs w:val="16"/>
                <w:color w:val="0000EE"/>
              </w:rPr>
              <w:t>Principal Accountant Fees and Services</w:t>
            </w:r>
          </w:p>
        </w:tc>
        <w:tc>
          <w:tcPr>
            <w:tcW w:w="1640" w:type="dxa"/>
            <w:vAlign w:val="bottom"/>
          </w:tcPr>
          <w:p>
            <w:pPr>
              <w:jc w:val="right"/>
              <w:spacing w:after="0" w:line="155" w:lineRule="exact"/>
              <w:rPr>
                <w:sz w:val="20"/>
                <w:szCs w:val="20"/>
                <w:color w:val="auto"/>
              </w:rPr>
            </w:pPr>
            <w:r>
              <w:rPr>
                <w:rFonts w:ascii="Arial" w:cs="Arial" w:eastAsia="Arial" w:hAnsi="Arial"/>
                <w:sz w:val="16"/>
                <w:szCs w:val="16"/>
                <w:color w:val="auto"/>
              </w:rPr>
              <w:t>143</w:t>
            </w:r>
          </w:p>
        </w:tc>
      </w:tr>
      <w:tr>
        <w:trPr>
          <w:trHeight w:val="198"/>
        </w:trPr>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0"/>
        </w:trPr>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60" w:type="dxa"/>
            <w:vAlign w:val="bottom"/>
            <w:gridSpan w:val="7"/>
          </w:tcPr>
          <w:p>
            <w:pPr>
              <w:jc w:val="center"/>
              <w:ind w:right="3340"/>
              <w:spacing w:after="0"/>
              <w:rPr>
                <w:sz w:val="20"/>
                <w:szCs w:val="20"/>
                <w:color w:val="auto"/>
              </w:rPr>
            </w:pPr>
            <w:r>
              <w:rPr>
                <w:rFonts w:ascii="Arial" w:cs="Arial" w:eastAsia="Arial" w:hAnsi="Arial"/>
                <w:sz w:val="16"/>
                <w:szCs w:val="16"/>
                <w:b w:val="1"/>
                <w:bCs w:val="1"/>
                <w:color w:val="auto"/>
              </w:rPr>
              <w:t>PART IV</w:t>
            </w:r>
          </w:p>
        </w:tc>
        <w:tc>
          <w:tcPr>
            <w:tcW w:w="1640" w:type="dxa"/>
            <w:vAlign w:val="bottom"/>
          </w:tcPr>
          <w:p>
            <w:pPr>
              <w:spacing w:after="0"/>
              <w:rPr>
                <w:sz w:val="16"/>
                <w:szCs w:val="16"/>
                <w:color w:val="auto"/>
              </w:rPr>
            </w:pPr>
          </w:p>
        </w:tc>
      </w:tr>
      <w:tr>
        <w:trPr>
          <w:trHeight w:val="170"/>
        </w:trPr>
        <w:tc>
          <w:tcPr>
            <w:tcW w:w="112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color w:val="auto"/>
              </w:rPr>
              <w:t>Item 15</w:t>
            </w:r>
          </w:p>
        </w:tc>
        <w:tc>
          <w:tcPr>
            <w:tcW w:w="8500" w:type="dxa"/>
            <w:vAlign w:val="bottom"/>
            <w:gridSpan w:val="21"/>
            <w:shd w:val="clear" w:color="auto" w:fill="CCEEFF"/>
          </w:tcPr>
          <w:p>
            <w:pPr>
              <w:spacing w:after="0" w:line="155" w:lineRule="exact"/>
              <w:rPr>
                <w:sz w:val="20"/>
                <w:szCs w:val="20"/>
                <w:color w:val="auto"/>
              </w:rPr>
            </w:pPr>
            <w:r>
              <w:rPr>
                <w:rFonts w:ascii="Arial" w:cs="Arial" w:eastAsia="Arial" w:hAnsi="Arial"/>
                <w:sz w:val="16"/>
                <w:szCs w:val="16"/>
                <w:color w:val="0000EE"/>
              </w:rPr>
              <w:t>Exhibits and Financial Statement Schedules</w:t>
            </w:r>
          </w:p>
        </w:tc>
        <w:tc>
          <w:tcPr>
            <w:tcW w:w="16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144</w:t>
            </w:r>
          </w:p>
        </w:tc>
      </w:tr>
      <w:tr>
        <w:trPr>
          <w:trHeight w:val="154"/>
        </w:trPr>
        <w:tc>
          <w:tcPr>
            <w:tcW w:w="1120" w:type="dxa"/>
            <w:vAlign w:val="bottom"/>
            <w:tcBorders>
              <w:top w:val="single" w:sz="8" w:color="CCEEFF"/>
            </w:tcBorders>
            <w:gridSpan w:val="2"/>
          </w:tcPr>
          <w:p>
            <w:pPr>
              <w:spacing w:after="0" w:line="155" w:lineRule="exact"/>
              <w:rPr>
                <w:sz w:val="20"/>
                <w:szCs w:val="20"/>
                <w:color w:val="auto"/>
              </w:rPr>
            </w:pPr>
            <w:r>
              <w:rPr>
                <w:rFonts w:ascii="Arial" w:cs="Arial" w:eastAsia="Arial" w:hAnsi="Arial"/>
                <w:sz w:val="16"/>
                <w:szCs w:val="16"/>
                <w:color w:val="auto"/>
              </w:rPr>
              <w:t>Item 16</w:t>
            </w:r>
          </w:p>
        </w:tc>
        <w:tc>
          <w:tcPr>
            <w:tcW w:w="2780" w:type="dxa"/>
            <w:vAlign w:val="bottom"/>
            <w:tcBorders>
              <w:top w:val="single" w:sz="8" w:color="0000EE"/>
            </w:tcBorders>
            <w:gridSpan w:val="11"/>
          </w:tcPr>
          <w:p>
            <w:pPr>
              <w:spacing w:after="0" w:line="155" w:lineRule="exact"/>
              <w:rPr>
                <w:sz w:val="20"/>
                <w:szCs w:val="20"/>
                <w:color w:val="auto"/>
              </w:rPr>
            </w:pPr>
            <w:r>
              <w:rPr>
                <w:rFonts w:ascii="Arial" w:cs="Arial" w:eastAsia="Arial" w:hAnsi="Arial"/>
                <w:sz w:val="16"/>
                <w:szCs w:val="16"/>
                <w:color w:val="0000EE"/>
              </w:rPr>
              <w:t>Form 10-K Summary</w:t>
            </w:r>
          </w:p>
        </w:tc>
        <w:tc>
          <w:tcPr>
            <w:tcW w:w="5720" w:type="dxa"/>
            <w:vAlign w:val="bottom"/>
            <w:tcBorders>
              <w:top w:val="single" w:sz="8" w:color="CCEEFF"/>
            </w:tcBorders>
            <w:gridSpan w:val="10"/>
          </w:tcPr>
          <w:p>
            <w:pPr>
              <w:spacing w:after="0"/>
              <w:rPr>
                <w:sz w:val="13"/>
                <w:szCs w:val="13"/>
                <w:color w:val="auto"/>
              </w:rPr>
            </w:pPr>
          </w:p>
        </w:tc>
        <w:tc>
          <w:tcPr>
            <w:tcW w:w="16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6"/>
                <w:szCs w:val="16"/>
                <w:color w:val="auto"/>
              </w:rPr>
              <w:t>147</w:t>
            </w:r>
          </w:p>
        </w:tc>
      </w:tr>
      <w:tr>
        <w:trPr>
          <w:trHeight w:val="170"/>
        </w:trPr>
        <w:tc>
          <w:tcPr>
            <w:tcW w:w="1120" w:type="dxa"/>
            <w:vAlign w:val="bottom"/>
            <w:gridSpan w:val="2"/>
            <w:shd w:val="clear" w:color="auto" w:fill="CCEEFF"/>
          </w:tcPr>
          <w:p>
            <w:pPr>
              <w:spacing w:after="0" w:line="170" w:lineRule="exact"/>
              <w:rPr>
                <w:sz w:val="20"/>
                <w:szCs w:val="20"/>
                <w:color w:val="auto"/>
              </w:rPr>
            </w:pPr>
            <w:r>
              <w:rPr>
                <w:rFonts w:ascii="Arial" w:cs="Arial" w:eastAsia="Arial" w:hAnsi="Arial"/>
                <w:sz w:val="16"/>
                <w:szCs w:val="16"/>
                <w:color w:val="0000EE"/>
              </w:rPr>
              <w:t>Signatures</w:t>
            </w:r>
          </w:p>
        </w:tc>
        <w:tc>
          <w:tcPr>
            <w:tcW w:w="5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36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148</w:t>
            </w:r>
          </w:p>
        </w:tc>
      </w:tr>
      <w:tr>
        <w:trPr>
          <w:trHeight w:val="36"/>
        </w:trPr>
        <w:tc>
          <w:tcPr>
            <w:tcW w:w="66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bl>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the PRC, in 2005. Unless the context requires otherwise, references in this report to “our company,” “our,” “us,” “we” and similar terms refer to ACM Research, Inc. and its subsidiaries, including ACM Shanghai, collectively.</w:t>
      </w:r>
    </w:p>
    <w:p>
      <w:pPr>
        <w:spacing w:after="0" w:line="15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principal corporate office is located in Fremont, California. We conduct a substantial majority of our product development, manufacturing, support and services in the PRC through ACM Shanghai. We perform, through a subsidiary of ACM Shanghai, additional product development and subsystem production in South Korea, and we conduct, through ACM Research, sales and marketing activities focused on sales of ACM Shanghai products in North America, Europe and certain regions in Asia outside mainland China.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ACM Research is not a PRC operating company, and we do not conduct our operations in the PRC through the use of a variable interest entity, or VIE, or any other structure designed for the purpose of avoiding PRC legal restrictions on direct foreign investments in PRC-based companies. ACM Research has a direct ownership interest in ACM Shanghai as the result of its holding 82.5%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PRC central government authority in order to continue to list shares of Class A common stock of ACM Research on the Nasdaq Global Select Market. This determination was based on the facts aforementioned and the PRC Company Law, PRC Securities Law, cybersecurity regulations and other relevant laws, regulations and regulatory requirements in the PRC currently in effect. However, if this determination proves to be incorrect, then it could have a material adverse effect on ACM Research. See “Item IA. Risk Factors— Risks Related to International Aspects of Our Business—If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on ACM Shanghai or ACM Research.</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in the ordinary course of business, ACM Shanghai is required to obtain certain operating permits and licenses necessary for it to operate in the PRC,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PRC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PRC regulatory authorities, and it could have a material adverse effect on our business, financial condition, results of operations, reputation and prospects and on the trading price of ACM Research Class A common stock, which could decline in value or become worthless.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depicts our corporate organization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132715</wp:posOffset>
            </wp:positionV>
            <wp:extent cx="4751070" cy="187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1070" cy="187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Cash amounts held by ACM Shanghai at PRC banks in mainland China are subject to a series of risk control regulatory standards from PRC bank regulatory authorities. ACM Shanghai is required to obtain approval from the State Administration of Foreign Exchange, or SAFE, to transfer funds into or out of the PRC. SAFE requires a valid agreement to approve the transfers, which are processed through a bank. Other than these PRC foreign exchange restrictions, ACM Shanghai is not subject to any PRC restrictions and limitations on its ability to transfer funds to ACM Research or among our other subsidiaries. However, cash held by ACM Shanghai in mainland China does exceed applicable insurance limits and is subject to risk of loss, although no such losses have been experienced to date.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 w:name="page4"/>
    <w:bookmarkEnd w:id="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ACM Research (CA), Inc., or ACM California, periodically procures goods and services on behalf of ACM Shanghai. For these transactions, ACM Shanghai makes cash payments to ACM California in accordance with applicable transfer pricing arrangements. ACM California periodically borrows funds for working capital advances from its direct parent, CleanChip Technologies Limited, or CleanChip. ACM California renews or repays these intercompany loans in accordance with their terms. For sales through CleanChip and ACM Research, a certain amount of sales proceeds is repatriated back to ACM Shanghai in accordance with applicable transfer pricing arrangements in the ordinary course of business. Subsequent to June 30, 2020, with the exception of sales and services-related transfer-pricing payments in the ordinary course of business, no cash transfers, dividends or other payments or distributions have been made between ACM Research and ACM Shanghai. We intend to retain any future earnings to finance the operations and expenses of our business, and we do not expect to distribute earnings or declare or pay any dividends in the foreseeable future.</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BDO China Shu Lun Pan Certified Public Accountants LLP, or BDO China, had been our independent registered public accounting firm in recent years, including for the year ended December 31, 2021. On June 22, 2021, the U.S. Senate passed the Accelerating Holding Foreign Companies Accountable Act, which was enacted on December 29, 2022 under the Consolidated Appropriations Act, 2023, as further described below. On December 16, 2021, the PCAOB reported its determination that it was unable to inspect or investigate completely registered public accounting firms headquartered in the PRC and Hong Kong, including BDO China, because of positions taken by PRC authorities in those jurisdictions. On March 30, 2022, based on this determination, ACM Research was transferred to the SEC’s “Conclusive list of issuers identified under the HFCA.”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operating in the PRC” of this report for more information. Under current regulations, if ACM Research were to be included on this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On December 15, 2022, the PCAOB announced that it was able to secure complete access to inspect and investigate PCAOB-registered public accounting firms headquartered in the PRC and Hong Kong in 2022 and vacated its previous December 16, 2021 determination to the contrary. However, whether the PCAOB will continue to be able to satisfactorily conduct inspections of PCAOB-registered public accounting firms headquartered in the PRC and Hong Kong is subject to uncertainty and depends on a number of factors out of our, and our auditor’s, control. PRC authorities will need to ensure that the PCAOB continues to have full access for inspections and investigations in 2023 and beyond. Each year, the PCAOB will determine whether it can inspect and investigate completely audit firms in the PRC and Hong Kong, among other jurisdictions. If the PRC authorities do not allow the PCAOB complete access for inspections and investigations for two consecutive years, the SEC would prohibit trading in the securities of issuers engaging those audit firms, as required under the HFCA Act. Further, 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on June 30, 2022, stockholders of ACM Research ratified the appointment of Armanino LLP as our independent auditor for the year ended December 31, 2022. Armanino LLP is neither headquartered in the PRC or Hong Kong nor was it subject to the determinations announced by the PCAOB on December 16, 2021, which determinations were vacated by the PCAOB on December 15, 2022, and, subsequent to the filing of this report, we do not believe ACM Research will appear on the “Conclusive list of issuers identified under the HFCAA” for a second time.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 w:name="page5"/>
    <w:bookmarkEnd w:id="4"/>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In addition to the matters discussed above, we are also subject to a number of legal and operational risks associated with our corporate structure, including as the result of a substantial portion of our operations being conducted in the PRC. Consequences of any of those risks could result in a material adverse change in our operations or cause the value of ACM Research Class A common stock to significantly decline in value or become worthless. Please carefully read the information included in “Item 1A. Risk Factors” of this report, in particular the risk factors addressing the following issues:</w:t>
      </w:r>
    </w:p>
    <w:p>
      <w:pPr>
        <w:spacing w:after="0" w:line="168" w:lineRule="exact"/>
        <w:rPr>
          <w:sz w:val="20"/>
          <w:szCs w:val="20"/>
          <w:color w:val="auto"/>
        </w:rPr>
      </w:pPr>
    </w:p>
    <w:p>
      <w:pPr>
        <w:ind w:left="425" w:right="40" w:hanging="425"/>
        <w:spacing w:after="0" w:line="285" w:lineRule="auto"/>
        <w:tabs>
          <w:tab w:leader="none" w:pos="425"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4" w:lineRule="exact"/>
        <w:rPr>
          <w:rFonts w:ascii="Arial" w:cs="Arial" w:eastAsia="Arial" w:hAnsi="Arial"/>
          <w:sz w:val="14"/>
          <w:szCs w:val="14"/>
          <w:color w:val="auto"/>
        </w:rPr>
      </w:pPr>
    </w:p>
    <w:p>
      <w:pPr>
        <w:ind w:left="425" w:right="20" w:hanging="425"/>
        <w:spacing w:after="0" w:line="247" w:lineRule="auto"/>
        <w:tabs>
          <w:tab w:leader="none" w:pos="425" w:val="left"/>
        </w:tabs>
        <w:numPr>
          <w:ilvl w:val="0"/>
          <w:numId w:val="3"/>
        </w:numPr>
        <w:rPr>
          <w:rFonts w:ascii="Arial" w:cs="Arial" w:eastAsia="Arial" w:hAnsi="Arial"/>
          <w:sz w:val="16"/>
          <w:szCs w:val="16"/>
          <w:color w:val="auto"/>
        </w:rPr>
      </w:pPr>
      <w:r>
        <w:rPr>
          <w:rFonts w:ascii="Arial" w:cs="Arial" w:eastAsia="Arial" w:hAnsi="Arial"/>
          <w:sz w:val="16"/>
          <w:szCs w:val="16"/>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 w:lineRule="exact"/>
        <w:rPr>
          <w:rFonts w:ascii="Arial" w:cs="Arial" w:eastAsia="Arial" w:hAnsi="Arial"/>
          <w:sz w:val="16"/>
          <w:szCs w:val="16"/>
          <w:color w:val="auto"/>
        </w:rPr>
      </w:pPr>
    </w:p>
    <w:p>
      <w:pPr>
        <w:ind w:left="425" w:right="20" w:hanging="425"/>
        <w:spacing w:after="0" w:line="326" w:lineRule="auto"/>
        <w:tabs>
          <w:tab w:leader="none" w:pos="425"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PRC central government may determine to exert additional control over offerings conducted overseas or foreign investment in PRC-based issuers, which could result in a material change in operations of ACM Shanghai and cause significant declines in the value of ACM Research Class A common stock, or make them worthless.</w:t>
      </w:r>
    </w:p>
    <w:p>
      <w:pPr>
        <w:spacing w:after="0" w:line="122"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Recent statements and regulatory actions by PRC central government authorities with respect to the use of VIEs and to data security and anti-monopoly concerns have not affected our ability to conduct our business operations in China. For further information, see “Item 1A. Risk Factors—Risks Related to International Aspects of Our Business” of this report for more information.</w:t>
      </w:r>
    </w:p>
    <w:p>
      <w:pPr>
        <w:spacing w:after="0" w:line="167"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56"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i w:val="1"/>
          <w:iCs w:val="1"/>
          <w:color w:val="auto"/>
        </w:rPr>
        <w:t>SAPS, TEBO, ULTRA C and ULTRA FURNACE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pacing w:after="0" w:line="330"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STATISTICAL DATA</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this report, that may cause our actual results, performance or achievements to be materially different from any future results, performance or achievements expressed or implied by these forward-looking statements.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information included under the heading “Item 7. Management’s Discussion and Analysis of Financial Condition and Results of Operations—Overview,” of Part II of this report contains statistical data and estimates, including forecasts, that are based on information provided by Gartner, Inc., or Gartner, in “Forecast: Semiconductor Wafer Fab Equipment, Worldwide, 4Q22 Update” (December 2022),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6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Revenue from wet cleaning and other front-end processing tools totaled $308.5 million, or 79.3% of total revenue in 2022, $202.3 million, or 77.9% of total revenue in 2021, and $136.3 million, or 87.0% of total revenue in 2020. Selling prices for our wet-cleaning and other front-end processing tools range from $0.7 million to more than $5 million. Our customers for wet-cleaning and other front-end processing tools have included Shanghai Huali Microelectronics Corporation, together with Huahong Semiconductor Ltd., collectively known as The Shanghai Huahong (Group) Company, Ltd., or The Huali Huahong Group, Semiconductor Manufacturing International Corporation, or SMIC, Shanghai SK Hynix Inc., Yangtze Memory Technologies Co., Ltd., or YMTC, and ChangXin Memory Technologies.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Revenue from advanced packaging, other processing tools, services and spares totaled $80.3 million, or 20.7% of total revenue in 2022, $57.5 million, or 22.1% of total revenue in 2021, and $20.4 million, or 13.0% of total revenue in 2020. Selling prices for these tools range from $0.5 million to more than $4 million. Our customers for advanced packaging, and other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We estimate, based on third-party reports and on customer and other information, that our current product portfolio addresses approximately $16 billion of the 2022 global wafer fab equipment, or WFE, market. By product line, we estimate an approximately $4.6 billion market opportunity is addressed by our wafer cleaning equipment, $4.3 billion by our Plasma-Enhanced Chemical Vapor Deposition, or PECVD, equipment, $3.2 billion by our furnace equipment, $2.6 billion by our Track equipment, $800 million by our electro-chemical plating, or ECP, equipment, and more than $800 million by our stress-free polishing, advanced packaging, wafer processing, and other processing equipment.</w:t>
      </w:r>
    </w:p>
    <w:p>
      <w:pPr>
        <w:spacing w:after="0" w:line="137"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Based on Gartner’s estimates, the total available global market for these equipment segments increased by 7.6% from $20.1 billion in 2021, to $21.6 billion in 2022, and is expected to decrease by 19.6% to $17.4 billion in 2023. These equipment segments are a subset of the total worldwide semiconductor WFE market, which Gartner estimates increased by 8.9% from $92.4 billion in 2021 to $100.5 billion in 2022, and estimates will decrease by 19.0% to $81.5 billion in 2023.</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148"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To date, a substantial majority of our sales of single-wafer wet-cleaning equipment for front-end manufacturing have been to customers located in Asia, and we anticipate that a substantial majority of our revenue from these products will continue to come from customers located in this region for the foreseeable future.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 w:name="page8"/>
    <w:bookmarkEnd w:id="7"/>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We have begun to add to our efforts to further address customers in North America, Western Europe and Southeast Asia by expanding our direct sales and services teams and increasing our global marketing activities. Our U.S. operation includes sales, marketing and services personnel to expand and support major new customer initiatives for the products of ACM Shanghai to additional regions beyond mainland China. As of December 31, 2022, we have delivered one tool for evaluation to a U.S. lab of a global semiconductor capital equipment vendor, and two tools to the U.S. facility of a major U.S. semiconductor manufacturer. Both of these evaluations are supported by our U.S. services team.</w:t>
      </w:r>
    </w:p>
    <w:p>
      <w:pPr>
        <w:spacing w:after="0" w:line="170"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We are focused on building a strategic portfolio of intellectual property to support and protect our key innovations. Our tools have been developed using our key proprietary technologies:</w:t>
      </w:r>
    </w:p>
    <w:p>
      <w:pPr>
        <w:ind w:left="425" w:right="340" w:hanging="425"/>
        <w:spacing w:after="0" w:line="247" w:lineRule="auto"/>
        <w:tabs>
          <w:tab w:leader="none" w:pos="42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Space Alternated Phase Shift, or SAPS, technology for flat and patterned (deep via or deep trench with stronger structure) wafer surfaces. </w:t>
      </w:r>
      <w:r>
        <w:rPr>
          <w:rFonts w:ascii="Arial" w:cs="Arial" w:eastAsia="Arial" w:hAnsi="Arial"/>
          <w:sz w:val="16"/>
          <w:szCs w:val="16"/>
          <w:color w:val="auto"/>
        </w:rPr>
        <w:t>SAPS technology employs</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spacing w:after="0" w:line="2" w:lineRule="exact"/>
        <w:rPr>
          <w:rFonts w:ascii="Arial" w:cs="Arial" w:eastAsia="Arial" w:hAnsi="Arial"/>
          <w:sz w:val="16"/>
          <w:szCs w:val="16"/>
          <w:color w:val="auto"/>
        </w:rPr>
      </w:pPr>
    </w:p>
    <w:p>
      <w:pPr>
        <w:jc w:val="both"/>
        <w:ind w:left="425" w:hanging="425"/>
        <w:spacing w:after="0" w:line="190" w:lineRule="exact"/>
        <w:tabs>
          <w:tab w:leader="none" w:pos="42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TEBO technology has been developed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1.</w:t>
      </w:r>
    </w:p>
    <w:p>
      <w:pPr>
        <w:spacing w:after="0" w:line="2" w:lineRule="exact"/>
        <w:rPr>
          <w:rFonts w:ascii="Arial" w:cs="Arial" w:eastAsia="Arial" w:hAnsi="Arial"/>
          <w:sz w:val="16"/>
          <w:szCs w:val="16"/>
          <w:color w:val="auto"/>
        </w:rPr>
      </w:pPr>
    </w:p>
    <w:p>
      <w:pPr>
        <w:ind w:left="425" w:right="20" w:hanging="425"/>
        <w:spacing w:after="0" w:line="247" w:lineRule="auto"/>
        <w:tabs>
          <w:tab w:leader="none" w:pos="42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Tahoe technology for cost and environmental savings. </w:t>
      </w:r>
      <w:r>
        <w:rPr>
          <w:rFonts w:ascii="Arial" w:cs="Arial" w:eastAsia="Arial" w:hAnsi="Arial"/>
          <w:sz w:val="16"/>
          <w:szCs w:val="16"/>
          <w:color w:val="auto"/>
        </w:rPr>
        <w:t>Tahoe technology delivers high cleaning performance using significantly less sulfuric acid and hydrogen peroxide</w:t>
      </w:r>
      <w:r>
        <w:rPr>
          <w:rFonts w:ascii="Arial" w:cs="Arial" w:eastAsia="Arial" w:hAnsi="Arial"/>
          <w:sz w:val="16"/>
          <w:szCs w:val="16"/>
          <w:i w:val="1"/>
          <w:iCs w:val="1"/>
          <w:color w:val="auto"/>
        </w:rPr>
        <w:t xml:space="preserve"> </w:t>
      </w:r>
      <w:r>
        <w:rPr>
          <w:rFonts w:ascii="Arial" w:cs="Arial" w:eastAsia="Arial" w:hAnsi="Arial"/>
          <w:sz w:val="16"/>
          <w:szCs w:val="16"/>
          <w:color w:val="auto"/>
        </w:rPr>
        <w:t>than is typically consumed by conventional high-temperature single-wafer cleaning tools.</w:t>
      </w:r>
    </w:p>
    <w:p>
      <w:pPr>
        <w:spacing w:after="0" w:line="1" w:lineRule="exact"/>
        <w:rPr>
          <w:rFonts w:ascii="Arial" w:cs="Arial" w:eastAsia="Arial" w:hAnsi="Arial"/>
          <w:sz w:val="16"/>
          <w:szCs w:val="16"/>
          <w:color w:val="auto"/>
        </w:rPr>
      </w:pPr>
    </w:p>
    <w:p>
      <w:pPr>
        <w:jc w:val="both"/>
        <w:ind w:left="425" w:hanging="425"/>
        <w:spacing w:after="0" w:line="250" w:lineRule="auto"/>
        <w:tabs>
          <w:tab w:leader="none" w:pos="42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ECP technology for advanced metal plating. </w:t>
      </w:r>
      <w:r>
        <w:rPr>
          <w:rFonts w:ascii="Arial" w:cs="Arial" w:eastAsia="Arial" w:hAnsi="Arial"/>
          <w:sz w:val="16"/>
          <w:szCs w:val="16"/>
          <w:color w:val="auto"/>
        </w:rPr>
        <w:t>Our Ultra ECP ap, or Advanced Packaging, technology was developed for back-end assembly processes to deliver a more</w:t>
      </w:r>
      <w:r>
        <w:rPr>
          <w:rFonts w:ascii="Arial" w:cs="Arial" w:eastAsia="Arial" w:hAnsi="Arial"/>
          <w:sz w:val="16"/>
          <w:szCs w:val="16"/>
          <w:i w:val="1"/>
          <w:iCs w:val="1"/>
          <w:color w:val="auto"/>
        </w:rPr>
        <w:t xml:space="preserve"> </w:t>
      </w:r>
      <w:r>
        <w:rPr>
          <w:rFonts w:ascii="Arial" w:cs="Arial" w:eastAsia="Arial" w:hAnsi="Arial"/>
          <w:sz w:val="16"/>
          <w:szCs w:val="16"/>
          <w:color w:val="auto"/>
        </w:rPr>
        <w:t>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28nm, 14nm and beyond.</w:t>
      </w:r>
    </w:p>
    <w:p>
      <w:pPr>
        <w:spacing w:after="0" w:line="172"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In 2020, 2021 and 2022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168"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We added two major new product categories in 2022 with the launch of the Ultra Pmax™ PECVD tool, which is equipped with a proprietary designed chamber, gas distribution unit and chuck, and is intended to provide better film uniformity, reduced film stress, and improved particle performance, and the introduction of the Ultra Track tool, a 300mm process tool that delivers uniform air downflow, fast robot handling and customizable software to address specific customer requirements, and has multiple features that enhance performance across defectivity, throughput, and cost of ownership.</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have been issued more than 448 patents in the United States, the People’s Republic of China, or PRC, Japan, Singapore, South Korea and Taiwan.</w:t>
      </w:r>
    </w:p>
    <w:p>
      <w:pPr>
        <w:spacing w:after="0" w:line="196" w:lineRule="exact"/>
        <w:rPr>
          <w:sz w:val="20"/>
          <w:szCs w:val="20"/>
          <w:color w:val="auto"/>
        </w:rPr>
      </w:pPr>
    </w:p>
    <w:p>
      <w:pPr>
        <w:jc w:val="both"/>
        <w:ind w:left="5" w:right="20"/>
        <w:spacing w:after="0" w:line="293" w:lineRule="auto"/>
        <w:rPr>
          <w:sz w:val="20"/>
          <w:szCs w:val="20"/>
          <w:color w:val="auto"/>
        </w:rPr>
      </w:pPr>
      <w:r>
        <w:rPr>
          <w:rFonts w:ascii="Arial" w:cs="Arial" w:eastAsia="Arial" w:hAnsi="Arial"/>
          <w:sz w:val="14"/>
          <w:szCs w:val="14"/>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now encompass a total of 236,000 square feet of floor space for production capacity, with leased buildings at our Chuansha campus. In May 2020 ACM Shanghai, through its wholly owned subsidiary Shengwei Research (Shanghai), Inc., or ACM Shengwei, entered into an agreement for a land use right in the Lingang region of Shanghai. In 2020 ACM Shengwei began a multi-year construction project for a new 1,000,000 square foot development and production center that will incorporate state-of-the-art manufacturing systems and automation technologies and will provide floor space to support significantly increased production capacity and related research and development, or R&amp;D, activities. We expect to complete construction of the first Lingang manufacturing building and commence initial production in the second half of 2023 timeframe.</w:t>
      </w:r>
    </w:p>
    <w:p>
      <w:pPr>
        <w:spacing w:after="0" w:line="30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Our experience has shown that chip manufacturers in the PRC and throughout Asia demand equipment that meets their specific technical requirements and generally prefer to build relationships with local suppliers. We will continue to seek to leverage our local presence in the PRC and South Korea through our subsidiaries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November 18, 2021, ACM Shanghai successfully completed its initial public offering of shares of ACM Shanghai in the PRC, which we refer to as the STAR IPO, and its shares began trading on the Shanghai Stock Exchange’s Sci-Tech innovAtion boaRd, known as the STAR Market, which we refer to as the STAR Listing, as described under “Item 7.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 and Product Offerings</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Wet Cleaning Equipment for Front End Production Processes</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Chip fabricators can use our single-wafer wet-cleaning tools in numerous steps to improve product yield in the front-end production process, during which individual devices are patterned in a chip prior to being interconnected on a wafer. Our wet-cleaning equipment has been developed using our proprietary SAPS, TEBO and Tahoe technologies, which allow our tools to remove random defects from a wafer surface effectively, without damaging a wafer or its features, even at increasingly advanced process nodes (the minimum line widths on a chip) of 22nm or less. We use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 millimeter, or mm, silicon wafers, but we also offer solutions for 150mm and 200mm wafers and for nonstandard substrates, including compound semiconductor, quartz, sapphire, glass and plastics.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SAPS Technology, Applications and Equipment</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SAPS Technology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in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20nm and below. These trials show that SAPS technology has an even greater relative advantage over conventional jet spray technology for cleaning defects between 50 and 65nm in size, and we expect the relative benefits of SAPS will continue to apply in cleaning even smaller defect sizes.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SAPS Applications</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SAPS megasonic cleaning technology can be applied during the chip fabrication process to clean wafer surfaces and interconnects. It also can be used to clean, and lengthen the lifetime, of recycled test wafers.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 w:name="page10"/>
    <w:bookmarkEnd w:id="9"/>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spacing w:after="0" w:line="270" w:lineRule="auto"/>
        <w:rPr>
          <w:sz w:val="20"/>
          <w:szCs w:val="20"/>
          <w:color w:val="auto"/>
        </w:rPr>
      </w:pPr>
      <w:r>
        <w:rPr>
          <w:rFonts w:ascii="Arial" w:cs="Arial" w:eastAsia="Arial" w:hAnsi="Arial"/>
          <w:sz w:val="16"/>
          <w:szCs w:val="16"/>
          <w:i w:val="1"/>
          <w:iCs w:val="1"/>
          <w:color w:val="auto"/>
        </w:rPr>
        <w:t xml:space="preserve">Wafer Surfaces. </w:t>
      </w:r>
      <w:r>
        <w:rPr>
          <w:rFonts w:ascii="Arial" w:cs="Arial" w:eastAsia="Arial" w:hAnsi="Arial"/>
          <w:sz w:val="16"/>
          <w:szCs w:val="16"/>
          <w:color w:val="auto"/>
        </w:rPr>
        <w:t>SAPS technology can enhance removal of random defects following planarization and deposition, which are among the most important, and most repeated, steps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fabrication process:</w:t>
      </w:r>
    </w:p>
    <w:p>
      <w:pPr>
        <w:spacing w:after="0" w:line="156" w:lineRule="exact"/>
        <w:rPr>
          <w:sz w:val="20"/>
          <w:szCs w:val="20"/>
          <w:color w:val="auto"/>
        </w:rPr>
      </w:pPr>
    </w:p>
    <w:p>
      <w:pPr>
        <w:jc w:val="both"/>
        <w:ind w:left="425" w:right="20" w:hanging="425"/>
        <w:spacing w:after="0" w:line="252" w:lineRule="auto"/>
        <w:tabs>
          <w:tab w:leader="none" w:pos="42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Post CMP</w:t>
      </w:r>
      <w:r>
        <w:rPr>
          <w:rFonts w:ascii="Arial" w:cs="Arial" w:eastAsia="Arial" w:hAnsi="Arial"/>
          <w:sz w:val="16"/>
          <w:szCs w:val="16"/>
          <w:color w:val="auto"/>
        </w:rPr>
        <w:t>: Chemical mechanical planarization, or CMP, uses an abrasive chemical slurry following other fabrication processes, such as deposition and etching,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achieve a smooth wafer surface in preparation for subsequent processing steps. SAPS technology can be applied following each CMP process to remove residual random defects deposited or formed during CMP.</w:t>
      </w:r>
    </w:p>
    <w:p>
      <w:pPr>
        <w:spacing w:after="0" w:line="1" w:lineRule="exact"/>
        <w:rPr>
          <w:rFonts w:ascii="Arial" w:cs="Arial" w:eastAsia="Arial" w:hAnsi="Arial"/>
          <w:sz w:val="16"/>
          <w:szCs w:val="16"/>
          <w:color w:val="auto"/>
        </w:rPr>
      </w:pPr>
    </w:p>
    <w:p>
      <w:pPr>
        <w:jc w:val="both"/>
        <w:ind w:left="425" w:hanging="425"/>
        <w:spacing w:after="0" w:line="304" w:lineRule="auto"/>
        <w:tabs>
          <w:tab w:leader="none" w:pos="425"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Post Hard Mask Deposition: </w:t>
      </w:r>
      <w:r>
        <w:rPr>
          <w:rFonts w:ascii="Arial" w:cs="Arial" w:eastAsia="Arial" w:hAnsi="Arial"/>
          <w:sz w:val="14"/>
          <w:szCs w:val="14"/>
          <w:color w:val="auto"/>
        </w:rPr>
        <w:t>As part of the photolithographical patterning process, a mask is applied with each deposition of a material layer to prevent etching of material</w:t>
      </w:r>
      <w:r>
        <w:rPr>
          <w:rFonts w:ascii="Arial" w:cs="Arial" w:eastAsia="Arial" w:hAnsi="Arial"/>
          <w:sz w:val="14"/>
          <w:szCs w:val="14"/>
          <w:i w:val="1"/>
          <w:iCs w:val="1"/>
          <w:color w:val="auto"/>
        </w:rPr>
        <w:t xml:space="preserve"> </w:t>
      </w:r>
      <w:r>
        <w:rPr>
          <w:rFonts w:ascii="Arial" w:cs="Arial" w:eastAsia="Arial" w:hAnsi="Arial"/>
          <w:sz w:val="14"/>
          <w:szCs w:val="14"/>
          <w:color w:val="auto"/>
        </w:rPr>
        <w:t>intended to be retained. Hard masks have been developed to etch high aspect-ratio features of advanced chips that traditional masks cannot tolerate. SAPS technology can be applied following each deposition step involving hard masks that use nitride, oxide or carbon-based materials to achieve higher etch selectivity and resolution.</w:t>
      </w:r>
    </w:p>
    <w:p>
      <w:pPr>
        <w:spacing w:after="0" w:line="137" w:lineRule="exact"/>
        <w:rPr>
          <w:sz w:val="20"/>
          <w:szCs w:val="20"/>
          <w:color w:val="auto"/>
        </w:rPr>
      </w:pPr>
    </w:p>
    <w:p>
      <w:pPr>
        <w:jc w:val="both"/>
        <w:ind w:left="5"/>
        <w:spacing w:after="0" w:line="295" w:lineRule="auto"/>
        <w:rPr>
          <w:sz w:val="20"/>
          <w:szCs w:val="20"/>
          <w:color w:val="auto"/>
        </w:rPr>
      </w:pPr>
      <w:r>
        <w:rPr>
          <w:rFonts w:ascii="Arial" w:cs="Arial" w:eastAsia="Arial" w:hAnsi="Arial"/>
          <w:sz w:val="14"/>
          <w:szCs w:val="14"/>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43"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i w:val="1"/>
          <w:iCs w:val="1"/>
          <w:color w:val="auto"/>
        </w:rPr>
        <w:t>Interconnects and Barrier Metals</w:t>
      </w:r>
      <w:r>
        <w:rPr>
          <w:rFonts w:ascii="Arial" w:cs="Arial" w:eastAsia="Arial" w:hAnsi="Arial"/>
          <w:sz w:val="16"/>
          <w:szCs w:val="16"/>
          <w:color w:val="auto"/>
        </w:rPr>
        <w:t>. Each successive advanced process node has led to finer feature sizes of interconnects such as contacts, which form electrical pathways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168" w:lineRule="exact"/>
        <w:rPr>
          <w:sz w:val="20"/>
          <w:szCs w:val="20"/>
          <w:color w:val="auto"/>
        </w:rPr>
      </w:pPr>
    </w:p>
    <w:p>
      <w:pPr>
        <w:ind w:left="425" w:right="20" w:hanging="425"/>
        <w:spacing w:after="0" w:line="255" w:lineRule="auto"/>
        <w:tabs>
          <w:tab w:leader="none" w:pos="42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Post Contact/Via Etch: </w:t>
      </w:r>
      <w:r>
        <w:rPr>
          <w:rFonts w:ascii="Arial" w:cs="Arial" w:eastAsia="Arial" w:hAnsi="Arial"/>
          <w:sz w:val="16"/>
          <w:szCs w:val="16"/>
          <w:color w:val="auto"/>
        </w:rPr>
        <w:t>Wet etching processes are commonly used to create patterns of high-density contacts and vias. SAPS technology can be applied after each such</w:t>
      </w:r>
      <w:r>
        <w:rPr>
          <w:rFonts w:ascii="Arial" w:cs="Arial" w:eastAsia="Arial" w:hAnsi="Arial"/>
          <w:sz w:val="16"/>
          <w:szCs w:val="16"/>
          <w:i w:val="1"/>
          <w:iCs w:val="1"/>
          <w:color w:val="auto"/>
        </w:rPr>
        <w:t xml:space="preserve"> </w:t>
      </w:r>
      <w:r>
        <w:rPr>
          <w:rFonts w:ascii="Arial" w:cs="Arial" w:eastAsia="Arial" w:hAnsi="Arial"/>
          <w:sz w:val="16"/>
          <w:szCs w:val="16"/>
          <w:color w:val="auto"/>
        </w:rPr>
        <w:t>etching process to remove random defects that could otherwise lead to electrical shorts.</w:t>
      </w:r>
    </w:p>
    <w:p>
      <w:pPr>
        <w:ind w:left="425" w:right="20" w:hanging="425"/>
        <w:spacing w:after="0" w:line="288" w:lineRule="auto"/>
        <w:tabs>
          <w:tab w:leader="none" w:pos="425"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Pre Barrier-Metal Deposition</w:t>
      </w:r>
      <w:r>
        <w:rPr>
          <w:rFonts w:ascii="Arial" w:cs="Arial" w:eastAsia="Arial" w:hAnsi="Arial"/>
          <w:sz w:val="15"/>
          <w:szCs w:val="15"/>
          <w:color w:val="auto"/>
        </w:rPr>
        <w:t>: Copper wiring requires metal diffusion barriers at the top of via holes to prevent electrical leakage. SAPS technology can be applied prior</w:t>
      </w:r>
      <w:r>
        <w:rPr>
          <w:rFonts w:ascii="Arial" w:cs="Arial" w:eastAsia="Arial" w:hAnsi="Arial"/>
          <w:sz w:val="15"/>
          <w:szCs w:val="15"/>
          <w:i w:val="1"/>
          <w:iCs w:val="1"/>
          <w:color w:val="auto"/>
        </w:rPr>
        <w:t xml:space="preserve"> </w:t>
      </w:r>
      <w:r>
        <w:rPr>
          <w:rFonts w:ascii="Arial" w:cs="Arial" w:eastAsia="Arial" w:hAnsi="Arial"/>
          <w:sz w:val="15"/>
          <w:szCs w:val="15"/>
          <w:color w:val="auto"/>
        </w:rPr>
        <w:t>to deposition of barrier metal to remove residual oxidized copper, which otherwise would adhere poorly to the barrier and impair performance.</w:t>
      </w:r>
    </w:p>
    <w:p>
      <w:pPr>
        <w:spacing w:after="0" w:line="145"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54"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i w:val="1"/>
          <w:iCs w:val="1"/>
          <w:color w:val="auto"/>
        </w:rPr>
        <w:t xml:space="preserve">Recycled Test Wafers. </w:t>
      </w:r>
      <w:r>
        <w:rPr>
          <w:rFonts w:ascii="Arial" w:cs="Arial" w:eastAsia="Arial" w:hAnsi="Arial"/>
          <w:sz w:val="16"/>
          <w:szCs w:val="16"/>
          <w:color w:val="auto"/>
        </w:rPr>
        <w:t>In addition to using silicon wafers for chip production, chip manufacturers routinely process wafers through a limited portion of the front-end fabrication</w:t>
      </w:r>
      <w:r>
        <w:rPr>
          <w:rFonts w:ascii="Arial" w:cs="Arial" w:eastAsia="Arial" w:hAnsi="Arial"/>
          <w:sz w:val="16"/>
          <w:szCs w:val="16"/>
          <w:i w:val="1"/>
          <w:iCs w:val="1"/>
          <w:color w:val="auto"/>
        </w:rPr>
        <w:t xml:space="preserve"> </w:t>
      </w:r>
      <w:r>
        <w:rPr>
          <w:rFonts w:ascii="Arial" w:cs="Arial" w:eastAsia="Arial" w:hAnsi="Arial"/>
          <w:sz w:val="16"/>
          <w:szCs w:val="16"/>
          <w:color w:val="auto"/>
        </w:rPr>
        <w:t>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33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6"/>
          <w:szCs w:val="16"/>
          <w:u w:val="single" w:color="auto"/>
          <w:color w:val="auto"/>
        </w:rPr>
        <w:t>SAPS Equipment</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offer two principal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972820" cy="949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2820" cy="94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SAPS II (released in 2011). </w:t>
      </w:r>
      <w:r>
        <w:rPr>
          <w:rFonts w:ascii="Arial" w:cs="Arial" w:eastAsia="Arial" w:hAnsi="Arial"/>
          <w:sz w:val="16"/>
          <w:szCs w:val="16"/>
          <w:color w:val="auto"/>
        </w:rPr>
        <w:t>Highlights of our SAPS II equipment include:</w:t>
      </w:r>
    </w:p>
    <w:p>
      <w:pPr>
        <w:spacing w:after="0" w:line="196" w:lineRule="exact"/>
        <w:rPr>
          <w:sz w:val="20"/>
          <w:szCs w:val="20"/>
          <w:color w:val="auto"/>
        </w:rPr>
      </w:pPr>
    </w:p>
    <w:p>
      <w:pPr>
        <w:ind w:left="2960" w:hanging="257"/>
        <w:spacing w:after="0"/>
        <w:tabs>
          <w:tab w:leader="none" w:pos="2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 to 8 chambers, providing throughput of up to 225 wafers per hour;</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double-sided cleaning capability, with up to 5 cleaning chemicals for process flexibility;</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2-chemical recycling capability for reduced chemical consumption;</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image wafer detection method for lowering wafer breakage rates; and</w:t>
      </w:r>
    </w:p>
    <w:p>
      <w:pPr>
        <w:spacing w:after="0" w:line="196" w:lineRule="exact"/>
        <w:rPr>
          <w:rFonts w:ascii="Arial" w:cs="Arial" w:eastAsia="Arial" w:hAnsi="Arial"/>
          <w:sz w:val="16"/>
          <w:szCs w:val="16"/>
          <w:color w:val="auto"/>
        </w:rPr>
      </w:pPr>
    </w:p>
    <w:p>
      <w:pPr>
        <w:ind w:left="2980" w:hanging="277"/>
        <w:spacing w:after="0" w:line="270" w:lineRule="auto"/>
        <w:tabs>
          <w:tab w:leader="none" w:pos="2973"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-1461135</wp:posOffset>
            </wp:positionV>
            <wp:extent cx="1130935" cy="1056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0935" cy="105600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SAPS V (released in 2014). </w:t>
      </w:r>
      <w:r>
        <w:rPr>
          <w:rFonts w:ascii="Arial" w:cs="Arial" w:eastAsia="Arial" w:hAnsi="Arial"/>
          <w:sz w:val="16"/>
          <w:szCs w:val="16"/>
          <w:color w:val="auto"/>
        </w:rPr>
        <w:t>SAPS V includes SAPS II features with the following upgrades:</w:t>
      </w:r>
    </w:p>
    <w:p>
      <w:pPr>
        <w:spacing w:after="0" w:line="196" w:lineRule="exact"/>
        <w:rPr>
          <w:sz w:val="20"/>
          <w:szCs w:val="20"/>
          <w:color w:val="auto"/>
        </w:rPr>
      </w:pPr>
    </w:p>
    <w:p>
      <w:pPr>
        <w:ind w:left="2920" w:hanging="217"/>
        <w:spacing w:after="0"/>
        <w:tabs>
          <w:tab w:leader="none" w:pos="2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compact design, with footprint of 2.55m x 5.1m x 2.85m (WxDxH), requiring limited clean room floor space;</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 to 12 chambers, providing throughput of up to 375 wafers per hour;</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chemical supply system integrated into mainframe;</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inline mixing method replaces tank auto changing, reducing process time; and</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-1073785</wp:posOffset>
            </wp:positionV>
            <wp:extent cx="1176655" cy="1025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6655" cy="102552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TEBO Technology, Applications and Equipment</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TEBO Technology</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developed TEBO technology for application in wet wafer cleaning during the fabrication of 2D and 3D wafers with fine feature sizes. TEBO technology facilitates effective cleaning even with patterned features too small or fragile to be addressed by conventional jet spray and megasonic cleaning technologies.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right="20"/>
        <w:spacing w:after="0" w:line="253"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70"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68" w:lineRule="exact"/>
        <w:rPr>
          <w:sz w:val="20"/>
          <w:szCs w:val="20"/>
          <w:color w:val="auto"/>
        </w:rPr>
      </w:pPr>
    </w:p>
    <w:p>
      <w:pPr>
        <w:jc w:val="both"/>
        <w:ind w:left="5"/>
        <w:spacing w:after="0" w:line="271" w:lineRule="auto"/>
        <w:rPr>
          <w:sz w:val="20"/>
          <w:szCs w:val="20"/>
          <w:color w:val="auto"/>
        </w:rPr>
      </w:pPr>
      <w:r>
        <w:rPr>
          <w:rFonts w:ascii="Arial" w:cs="Arial" w:eastAsia="Arial" w:hAnsi="Arial"/>
          <w:sz w:val="15"/>
          <w:szCs w:val="15"/>
          <w:color w:val="auto"/>
        </w:rPr>
        <w:t>We have demonstrated the damage-free or low-damage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 Field Effect Transistors or FinFET, DRAM, 3D NAND and 3D cross point memory, and we expect it will be applicable to other 3D architectures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157" w:lineRule="exact"/>
        <w:rPr>
          <w:sz w:val="20"/>
          <w:szCs w:val="20"/>
          <w:color w:val="auto"/>
        </w:rPr>
      </w:pPr>
    </w:p>
    <w:p>
      <w:pPr>
        <w:ind w:left="425"/>
        <w:spacing w:after="0"/>
        <w:rPr>
          <w:sz w:val="20"/>
          <w:szCs w:val="20"/>
          <w:color w:val="auto"/>
        </w:rPr>
      </w:pPr>
      <w:r>
        <w:rPr>
          <w:rFonts w:ascii="Arial" w:cs="Arial" w:eastAsia="Arial" w:hAnsi="Arial"/>
          <w:sz w:val="16"/>
          <w:szCs w:val="16"/>
          <w:u w:val="single" w:color="auto"/>
          <w:color w:val="auto"/>
        </w:rPr>
        <w:t>TEBO Applications</w:t>
      </w:r>
    </w:p>
    <w:p>
      <w:pPr>
        <w:spacing w:after="0" w:line="196"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1" w:lineRule="exact"/>
        <w:rPr>
          <w:sz w:val="20"/>
          <w:szCs w:val="20"/>
          <w:color w:val="auto"/>
        </w:rPr>
      </w:pPr>
    </w:p>
    <w:p>
      <w:pPr>
        <w:ind w:left="425" w:right="20" w:hanging="425"/>
        <w:spacing w:after="0" w:line="255" w:lineRule="auto"/>
        <w:tabs>
          <w:tab w:leader="none" w:pos="42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Memory Chips: </w:t>
      </w:r>
      <w:r>
        <w:rPr>
          <w:rFonts w:ascii="Arial" w:cs="Arial" w:eastAsia="Arial" w:hAnsi="Arial"/>
          <w:sz w:val="16"/>
          <w:szCs w:val="16"/>
          <w:color w:val="auto"/>
        </w:rPr>
        <w:t>We estimate that TEBO technology can be applied in as many as 50 steps in the fabrication of a DRAM chip, consisting of up to 10 steps in cleaning ISO</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structures, 20 steps in cleaning buried gates, and 20 steps in cleaning high aspect-ratio storage nodes and stacked films.</w:t>
      </w:r>
    </w:p>
    <w:p>
      <w:pPr>
        <w:spacing w:after="0" w:line="168" w:lineRule="exact"/>
        <w:rPr>
          <w:rFonts w:ascii="Arial" w:cs="Arial" w:eastAsia="Arial" w:hAnsi="Arial"/>
          <w:sz w:val="16"/>
          <w:szCs w:val="16"/>
          <w:color w:val="auto"/>
        </w:rPr>
      </w:pPr>
    </w:p>
    <w:p>
      <w:pPr>
        <w:ind w:left="425" w:hanging="425"/>
        <w:spacing w:after="0"/>
        <w:tabs>
          <w:tab w:leader="none" w:pos="425"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Logic Chips: </w:t>
      </w:r>
      <w:r>
        <w:rPr>
          <w:rFonts w:ascii="Arial" w:cs="Arial" w:eastAsia="Arial" w:hAnsi="Arial"/>
          <w:sz w:val="15"/>
          <w:szCs w:val="15"/>
          <w:color w:val="auto"/>
        </w:rPr>
        <w:t>In the fabrication process for a logic chip with a FinFET structure, we estimate that TEBO technology can be used in 15 or more cleaning steps.</w:t>
      </w:r>
    </w:p>
    <w:p>
      <w:pPr>
        <w:spacing w:after="0" w:line="208" w:lineRule="exact"/>
        <w:rPr>
          <w:sz w:val="20"/>
          <w:szCs w:val="20"/>
          <w:color w:val="auto"/>
        </w:rPr>
      </w:pPr>
    </w:p>
    <w:p>
      <w:pPr>
        <w:jc w:val="both"/>
        <w:ind w:left="5"/>
        <w:spacing w:after="0" w:line="270" w:lineRule="auto"/>
        <w:rPr>
          <w:sz w:val="20"/>
          <w:szCs w:val="20"/>
          <w:color w:val="auto"/>
        </w:rPr>
      </w:pPr>
      <w:r>
        <w:rPr>
          <w:rFonts w:ascii="Arial" w:cs="Arial" w:eastAsia="Arial" w:hAnsi="Arial"/>
          <w:sz w:val="16"/>
          <w:szCs w:val="16"/>
          <w:color w:val="auto"/>
        </w:rPr>
        <w:t>For purposes of solving inside pattern surface conditions for memory or logic chips, TEBO technology uses environmentally friendly dilute chemicals such as RCA SC-1 and hydrogen gas doped functional water.</w:t>
      </w:r>
    </w:p>
    <w:p>
      <w:pPr>
        <w:spacing w:after="0" w:line="156" w:lineRule="exact"/>
        <w:rPr>
          <w:sz w:val="20"/>
          <w:szCs w:val="20"/>
          <w:color w:val="auto"/>
        </w:rPr>
      </w:pPr>
    </w:p>
    <w:p>
      <w:pPr>
        <w:ind w:left="425"/>
        <w:spacing w:after="0"/>
        <w:rPr>
          <w:sz w:val="20"/>
          <w:szCs w:val="20"/>
          <w:color w:val="auto"/>
        </w:rPr>
      </w:pPr>
      <w:r>
        <w:rPr>
          <w:rFonts w:ascii="Arial" w:cs="Arial" w:eastAsia="Arial" w:hAnsi="Arial"/>
          <w:sz w:val="16"/>
          <w:szCs w:val="16"/>
          <w:u w:val="single" w:color="auto"/>
          <w:color w:val="auto"/>
        </w:rPr>
        <w:t>TEBO Equipment</w:t>
      </w:r>
    </w:p>
    <w:p>
      <w:pPr>
        <w:spacing w:after="0" w:line="196" w:lineRule="exact"/>
        <w:rPr>
          <w:sz w:val="20"/>
          <w:szCs w:val="20"/>
          <w:color w:val="auto"/>
        </w:rPr>
      </w:pPr>
    </w:p>
    <w:p>
      <w:pPr>
        <w:jc w:val="both"/>
        <w:ind w:left="5" w:right="20"/>
        <w:spacing w:after="0" w:line="253" w:lineRule="auto"/>
        <w:rPr>
          <w:sz w:val="20"/>
          <w:szCs w:val="20"/>
          <w:color w:val="auto"/>
        </w:rPr>
      </w:pPr>
      <w:r>
        <w:rPr>
          <w:rFonts w:ascii="Arial" w:cs="Arial" w:eastAsia="Arial" w:hAnsi="Arial"/>
          <w:sz w:val="16"/>
          <w:szCs w:val="16"/>
          <w:color w:val="auto"/>
        </w:rPr>
        <w:t>We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of 28nm or less. TEBO equipment solves the problem of pattern damage caused by transient cavitation in conventional jet spray and megasonic cleaning processes, providing better particle removal efficiency with limited material loss or roughing. TEBO equipment is being evaluated by a select group of leading memory and logic chip customers.</w:t>
      </w:r>
    </w:p>
    <w:p>
      <w:pPr>
        <w:spacing w:after="0" w:line="33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Each model of TEBO equipment includes:</w:t>
      </w:r>
    </w:p>
    <w:p>
      <w:pPr>
        <w:spacing w:after="0" w:line="196" w:lineRule="exact"/>
        <w:rPr>
          <w:sz w:val="20"/>
          <w:szCs w:val="20"/>
          <w:color w:val="auto"/>
        </w:rPr>
      </w:pPr>
    </w:p>
    <w:p>
      <w:pPr>
        <w:ind w:left="3000" w:hanging="297"/>
        <w:spacing w:after="0"/>
        <w:tabs>
          <w:tab w:leader="none" w:pos="3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equipment front-end module, or EFEM, which moves wafers from chamber to chamber.</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one or more chamber modules, each equipped with a TEBO megasonic generator system.</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electrical module to provide power for the tool; and</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-831850</wp:posOffset>
            </wp:positionV>
            <wp:extent cx="1002665" cy="942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2665" cy="94234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Ultra C TEBO II (released in 2016). </w:t>
      </w:r>
      <w:r>
        <w:rPr>
          <w:rFonts w:ascii="Arial" w:cs="Arial" w:eastAsia="Arial" w:hAnsi="Arial"/>
          <w:sz w:val="16"/>
          <w:szCs w:val="16"/>
          <w:color w:val="auto"/>
        </w:rPr>
        <w:t>Highlights of our Ultra C TEBO II equipment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1206500" cy="1025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6500" cy="1025525"/>
                    </a:xfrm>
                    <a:prstGeom prst="rect">
                      <a:avLst/>
                    </a:prstGeom>
                    <a:noFill/>
                  </pic:spPr>
                </pic:pic>
              </a:graphicData>
            </a:graphic>
          </wp:anchor>
        </w:drawing>
      </w:r>
    </w:p>
    <w:p>
      <w:pPr>
        <w:spacing w:after="0" w:line="224" w:lineRule="exact"/>
        <w:rPr>
          <w:sz w:val="20"/>
          <w:szCs w:val="20"/>
          <w:color w:val="auto"/>
        </w:rPr>
      </w:pPr>
    </w:p>
    <w:p>
      <w:pPr>
        <w:ind w:left="3000" w:hanging="297"/>
        <w:spacing w:after="0"/>
        <w:tabs>
          <w:tab w:leader="none" w:pos="3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compact design, with footprint of 2.25m x 2.25m x 2.85m (WxDxH);</w:t>
      </w:r>
    </w:p>
    <w:p>
      <w:pPr>
        <w:spacing w:after="0" w:line="196" w:lineRule="exact"/>
        <w:rPr>
          <w:rFonts w:ascii="Arial" w:cs="Arial" w:eastAsia="Arial" w:hAnsi="Arial"/>
          <w:sz w:val="16"/>
          <w:szCs w:val="16"/>
          <w:color w:val="auto"/>
        </w:rPr>
      </w:pPr>
    </w:p>
    <w:p>
      <w:pPr>
        <w:ind w:left="2980" w:right="20" w:hanging="277"/>
        <w:spacing w:after="0" w:line="270" w:lineRule="auto"/>
        <w:tabs>
          <w:tab w:leader="none" w:pos="2911"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 to 8 chambers with an upgraded transport system and optimized robotic scheduler, providing throughput of up to 300 wafers per hour.</w:t>
      </w:r>
    </w:p>
    <w:p>
      <w:pPr>
        <w:spacing w:after="0" w:line="156" w:lineRule="exact"/>
        <w:rPr>
          <w:rFonts w:ascii="Arial" w:cs="Arial" w:eastAsia="Arial" w:hAnsi="Arial"/>
          <w:sz w:val="16"/>
          <w:szCs w:val="16"/>
          <w:color w:val="auto"/>
        </w:rPr>
      </w:pPr>
    </w:p>
    <w:p>
      <w:pPr>
        <w:ind w:left="3000" w:hanging="297"/>
        <w:spacing w:after="0"/>
        <w:tabs>
          <w:tab w:leader="none" w:pos="3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EFEM module consisting of 4 load ports, transfer robot and 1 process robot; and</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focus on dilute chemicals contributes to environmental sustainability and lower cost of ownership.</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Ultra C TEBO V (released in 2016). </w:t>
      </w:r>
      <w:r>
        <w:rPr>
          <w:rFonts w:ascii="Arial" w:cs="Arial" w:eastAsia="Arial" w:hAnsi="Arial"/>
          <w:sz w:val="16"/>
          <w:szCs w:val="16"/>
          <w:color w:val="auto"/>
        </w:rPr>
        <w:t>Highlights of our Ultra C TEBO V equipment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1206500" cy="1040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6500" cy="1040765"/>
                    </a:xfrm>
                    <a:prstGeom prst="rect">
                      <a:avLst/>
                    </a:prstGeom>
                    <a:noFill/>
                  </pic:spPr>
                </pic:pic>
              </a:graphicData>
            </a:graphic>
          </wp:anchor>
        </w:drawing>
      </w:r>
    </w:p>
    <w:p>
      <w:pPr>
        <w:spacing w:after="0" w:line="235" w:lineRule="exact"/>
        <w:rPr>
          <w:sz w:val="20"/>
          <w:szCs w:val="20"/>
          <w:color w:val="auto"/>
        </w:rPr>
      </w:pPr>
    </w:p>
    <w:p>
      <w:pPr>
        <w:ind w:left="3000" w:hanging="297"/>
        <w:spacing w:after="0"/>
        <w:tabs>
          <w:tab w:leader="none" w:pos="3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footprint of 2.45m x 5.30m x 2.85m (WxDxH).</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 to 12 chamber modules, providing throughput of up to 300 wafers per hour.</w:t>
      </w:r>
    </w:p>
    <w:p>
      <w:pPr>
        <w:spacing w:after="0" w:line="196" w:lineRule="exact"/>
        <w:rPr>
          <w:rFonts w:ascii="Arial" w:cs="Arial" w:eastAsia="Arial" w:hAnsi="Arial"/>
          <w:sz w:val="16"/>
          <w:szCs w:val="16"/>
          <w:color w:val="auto"/>
        </w:rPr>
      </w:pPr>
    </w:p>
    <w:p>
      <w:pPr>
        <w:ind w:left="3000" w:hanging="297"/>
        <w:spacing w:after="0"/>
        <w:tabs>
          <w:tab w:leader="none" w:pos="3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EFEM module consisting of 4 load ports, 1 transfer robot and 1 process robot: and</w:t>
      </w:r>
    </w:p>
    <w:p>
      <w:pPr>
        <w:spacing w:after="0" w:line="196" w:lineRule="exact"/>
        <w:rPr>
          <w:rFonts w:ascii="Arial" w:cs="Arial" w:eastAsia="Arial" w:hAnsi="Arial"/>
          <w:sz w:val="16"/>
          <w:szCs w:val="16"/>
          <w:color w:val="auto"/>
        </w:rPr>
      </w:pPr>
    </w:p>
    <w:p>
      <w:pPr>
        <w:ind w:left="2980" w:right="20" w:hanging="277"/>
        <w:spacing w:after="0" w:line="270" w:lineRule="auto"/>
        <w:tabs>
          <w:tab w:leader="none" w:pos="30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chemical delivery module for delivery of isopropyl alcohol, dilute hydrofluoric acid, RCA SC-1 solution, functional de-ionized water and carbon dioxide to each of the chambers.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Tahoe Overview</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Our Ultra-C Tahoe wafer cleaning tool can deliver high cleaning performance using significantly less sulfuric acid and hydrogen peroxide than is typically consumed by conventional high-temperature single-wafer cleaning tools. During normal single-wafer cleaning processes, only a fraction of the acid reacts with the wafer surface, while the majority is wasted as acid spins off the wafer and requires significant cost and effort to be recycled. Tahoe employs a proprietary hybrid approach in which the sulfuric acid cleaning steps are processed in batch mode, and the final stage cleaning are processed with single-wafer cleaning technologies. In addition to providing cost savings resulting from vastly reduced sulfuric acid consumption, Ultra-C Tahoe meets the needs of customers who face increased environmental regulations and demand new, more environmentally friendly tools. We delivered our first Ultra C Tahoe tool to a strategic customer in 2019.</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Advanced Packaging and other Back-End Processing Tools</w:t>
      </w:r>
    </w:p>
    <w:p>
      <w:pPr>
        <w:spacing w:after="0" w:line="20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leverage our technology and expertise to provide a range of single-wafer tools for back-end wafer assembly and packaging factories. We develop, manufacture and sell a wide range of advanced packaging tools, such as coaters, developers, photoresist strippers, scrubbers, wet etchers and copper-plating tools. We focus on providing custom-made, differentiated equipment that incorporates customer-requested features at a competitive price.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by reducing or eliminating the cleaning of shroud in the coater which increases the tool’s continuous production time. The Ultra C Coater is designed to deliver improved throughput and more efficient tool utilization while eliminating particle generation.</w:t>
      </w:r>
    </w:p>
    <w:p>
      <w:pPr>
        <w:spacing w:after="0" w:line="15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other advanced packaging tools include: Ultra ECP ap, which delivers a uniform metal layer to finished wafers prior to packaging; Ultra C Developer, which applies liquid developer to selected parts of photoresist to resolve an image; Ultra C PR Megasonic-Assisted Stripper, which removes photoresist; Ultra C Scrubber, which scrubs and cleans wafers; Ultra C Thin Wafer Scrubber, which addresses a sub-market of cleaning very thin wafers for certain Asian assembly factories; and Ultra C Wet Etcher, which etches silicon wafers and copper and titanium interconnects.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20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Since 2009 we have delivered more than 380 wet cleaning and other front-end processing tools, more than 290 of which were repeat orders or acceptances upon contractual performance obligations having been met and thereby generated revenue to us. The balance of the delivered tools is awaiting customer acceptance should contractual conditions be met.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generate most of our revenue from a limited number of customers as the result of our strategy of initially placing equipment with a small number of leading chip manufacturers that are driving technology trends and key capability implementation. In 2022, 43.8% of our revenue was derived from three customers: The Huali Huahong Group, a leading PRC-based foundry, accounted for 18.2% of our revenue; SMIC, a leading PRC-based foundry, accounted for 15.6% of our revenue, and YMTC, a leading PRC-based memory chip company, together with one of its subsidiaries, accounted for 10.0% of our revenue. In 2021, 48.9% of our revenue was derived from two customers: The Huali Huahong Group accounted for 28.1% of our revenue; and YMTC, together with one of its subsidiaries, accounted for 20.8% of our revenue. In 2020, 75.8% of our revenue was derived from three customers: The Huali Huahong Group accounted for 36.9% of our revenue; YMTC, together with one of its subsidiaries, accounted for 26.8% of our revenue; and SMIC accounted for 12.1% of our revenue.</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For our back-end wafer assembly and packaging customers, we focus on providing custom-made, differentiated equipment that incorporates a customer’s requested features at a competitive cost of ownership. Our customers for advanced packaging, wafer processing, and other back-end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market and sell our products worldwide using a combination of our direct sales force and third-party representatives. We employ direct sales teams in Asia, Europe and North America, and have located these teams near our customers, primarily in the PRC, South Korea, Taiwan and the United States. Each salesperson has specific local market expertise. We also employ field application engineers, who are typically co-located with our direct sales teams, to provide technical pre- 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supplement our direct sales teams, we have contacts with several independent sales representatives in the PRC, South Korea and Taiwan. We select these independent representatives based on their ability to provide effective field sales, marketing forecast and technical requirement updates for our products. In the case of representatives, our customers place purchase orders with us directly rather than with the representatives.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Our sales have historically been made using purchase orders with agreed technical specifications. Our sales terms and conditions are generally consistent with industry practice but may vary from customer to customer. We seek to obtain a purchase order two to six months ahead of the customer’s desired delivery date. Consistent with industry practice, we allow customers to reschedule or cancel orders at a certain cost to them on relatively short notice. Because of our relatively short delivery period and our practice of permitting rescheduling or cancellation, we believe that backlog is not a reliable indicator of our future revenue.</w:t>
      </w:r>
    </w:p>
    <w:p>
      <w:pPr>
        <w:spacing w:after="0" w:line="15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0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conduct a substantial majority of our product development, manufacturing, support and services in the PRC, with additional product development and subsystem production in South Korea. Substantially all of our tools are built to order at our manufacturing facilities in the Pudong region of Shanghai, which now encompass a total of 236,000 square feet of floor space for production capacity.</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In May 2020 ACM Shanghai, through its wholly owned subsidiary ACM Shengwei, entered into an agreement for a land use right in the Lingang region of Shanghai. In July 2020 ACM Shengwei began a multi-year construction project for a new development and production center. The planned 1,000,000 square foot facility will incorporate state-of-the-art manufacturing systems and automation technologies and will provide the floor space to support significantly more production capacity and related research and development activities when fully staffed and supplied. See “Item 2. Properties,” of Part I of this report.</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ECP, furnace and other technologies in our current portfolio, and enable us to design innovative products and solutions to address their needs.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Currently substantially all of our staff are able to work at both of our Shanghai facilities, and to date we have not experienced absenteeism of management or other key employees, other than certain of our executive officers being delayed in traveling between the PRC, our California office, and other global locations, and a significant number of ACM Shanghai employees missing work in late 2022 and early 2023 for one or several weeks due to COVID-19 related illness following relaxation of the PRC’s zero-COVID policies in December 2022. For additional information, see “Item 7. Management’s Discussion and Analysis of Financial Condition and Results of Operations—COVID-19 Pandemic,” of Part II of this report.</w:t>
      </w:r>
    </w:p>
    <w:p>
      <w:pPr>
        <w:spacing w:after="0" w:line="170"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5" w:name="page16"/>
    <w:bookmarkEnd w:id="15"/>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Research and Development</w:t>
      </w:r>
    </w:p>
    <w:p>
      <w:pPr>
        <w:spacing w:after="0" w:line="200"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w:t>
      </w:r>
    </w:p>
    <w:p>
      <w:pPr>
        <w:spacing w:after="0" w:line="168"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For the foreseeable future we are focusing on enhancing our Ultra C SAPS, TEBO, Tahoe, ECP, furnace and other tools and integrating additional capabilities to meet and anticipate requirements from our existing and potential customers. Our particular areas of focus include development of the following:</w:t>
      </w:r>
    </w:p>
    <w:p>
      <w:pPr>
        <w:ind w:left="425" w:hanging="425"/>
        <w:spacing w:after="0"/>
        <w:tabs>
          <w:tab w:leader="none" w:pos="4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and 3D NAND technologies.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cleaning steps for Ultra C TEBO cleaners for FinFET in logic chips, gates in DRAM, and deep vias in 3D NAND technologies.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cleaning steps for Ultra Tahoe cleaners for application in logic chips and for DRAM and 3D NAND technologies.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dry technologies such as supercritical CO2 dry and advanced IPA dry for DRAM, and logic technologies.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hardware, including new system platforms, new and additional chamber structures and new chemical blending systems;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software to integrate new functionalities to improve tool performance;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support for the ongoing evaluations and commercialization efforts and product extensions for the newly introduced PECVD and Track product categories.</w:t>
      </w:r>
    </w:p>
    <w:p>
      <w:pPr>
        <w:spacing w:after="0" w:line="6"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68"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Our research and development expense totaled $62.2 million or 16.0% of revenue in 2022, $34.2 million or 13.2% of revenue in 2021 and $19.1 million or 12.2% of revenue in 2020. We intend to continue to invest in research and development to support and enhance our existing cleaning products and to develop future product offerings to build and maintain our technology leadership position.</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Intellectual Property</w:t>
      </w:r>
    </w:p>
    <w:p>
      <w:pPr>
        <w:spacing w:after="0" w:line="200" w:lineRule="exact"/>
        <w:rPr>
          <w:sz w:val="20"/>
          <w:szCs w:val="20"/>
          <w:color w:val="auto"/>
        </w:rPr>
      </w:pPr>
    </w:p>
    <w:p>
      <w:pPr>
        <w:jc w:val="both"/>
        <w:ind w:left="5" w:right="20"/>
        <w:spacing w:after="0" w:line="298" w:lineRule="auto"/>
        <w:rPr>
          <w:sz w:val="20"/>
          <w:szCs w:val="20"/>
          <w:color w:val="auto"/>
        </w:rPr>
      </w:pPr>
      <w:r>
        <w:rPr>
          <w:rFonts w:ascii="Arial" w:cs="Arial" w:eastAsia="Arial" w:hAnsi="Arial"/>
          <w:sz w:val="14"/>
          <w:szCs w:val="14"/>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41" w:lineRule="exact"/>
        <w:rPr>
          <w:sz w:val="20"/>
          <w:szCs w:val="20"/>
          <w:color w:val="auto"/>
        </w:rPr>
      </w:pPr>
    </w:p>
    <w:p>
      <w:pPr>
        <w:jc w:val="both"/>
        <w:ind w:left="5"/>
        <w:spacing w:after="0" w:line="313" w:lineRule="auto"/>
        <w:rPr>
          <w:sz w:val="20"/>
          <w:szCs w:val="20"/>
          <w:color w:val="auto"/>
        </w:rPr>
      </w:pPr>
      <w:r>
        <w:rPr>
          <w:rFonts w:ascii="Arial" w:cs="Arial" w:eastAsia="Arial" w:hAnsi="Arial"/>
          <w:sz w:val="14"/>
          <w:szCs w:val="14"/>
          <w:color w:val="auto"/>
        </w:rPr>
        <w:t>We have aggressively pursued intellectual property since our founding in 1998. We focus our patent filing efforts in the United States, and, when justified by cost and strategic importance, we file corresponding foreign patent applications in strategic jurisdictions such as the European Union, the PRC, Japan, Singapore, South Korea, and Taiwan. Our patent strategy is designed to provide a balance between the need for coverage in our strategic markets and the need to maintain costs at a reasonable level.</w:t>
      </w:r>
    </w:p>
    <w:p>
      <w:pPr>
        <w:spacing w:after="0" w:line="130"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As of December 31, 2022, we had 41 issued patents, and 29 patents pending, in the United States. These patents carry expiration dates from 2027 through 2037. Many of the US patents and applications have also been filed internationally, in one or more of the European Union, Japan, PRC, Singapore, South Korea, and Taiwan. Specifically, we own patents in wafer cleaning, electro-polishing and plating, wafer preparation, and other semiconductor processing technologies. We have been issued more than 448 patents in the United States, the PRC, Japan, Korea, Singapore and Taiwan.</w:t>
      </w:r>
    </w:p>
    <w:p>
      <w:pPr>
        <w:spacing w:after="0" w:line="33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We manufacture advanced single-wafer cleaning systems equipped with our SAPS, TEBO and Tahoe technologies. Our wafer cleaning technologies are protected by US Patent Numbers 8580042, 8671961, 9070723, 9281177, 9492852, 9595457, 9633833, 10020208, 10910244, 11103898, 11037804, 11141762, 11462423, 11257667, and 11298727, as well as their corresponding international patents. We have 48 patents granted internationally protecting our SAPS technologies. We also have filed 11 international patent applications for key TEBO technologies, and 4 for Tahoe, in accordance with the Patent Cooperation Treaty, in anticipation of filing in the U.S. national phase.</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to the above core technologies, we have technologies for SFP and ECP that are used in certain of our tools. SFP is an integral part of the electro polishing process. Our technology was a breakthrough in electro-chemical-copper-planarization technology when it was first introduced, because it can polish, stress-free, copper layers used in copper low-K interconnects. Our innovations in SFP and ECP are reflected in US Patent Numbers 6638863, 8518224, 10227705, and 11008669, and their corresponding international counterparts.</w:t>
      </w:r>
    </w:p>
    <w:p>
      <w:pPr>
        <w:spacing w:after="0" w:line="16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8598039 titled “Barrier layer removal method and apparatus,” and US Patent Number 10615073 titled “method for removing barrier layer for minimizing sidewall recess.”</w:t>
      </w:r>
    </w:p>
    <w:p>
      <w:pPr>
        <w:spacing w:after="0" w:line="16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5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Additional information about the risks relating to our intellectual property is provided under “Item 1A. Risk Factors—Risks Related to Our Intellectual Property and Data Security.”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wafer cleaning and electrical plating products to the market, including Lam Research Corporation, NAURA Technology Group Co., Ltd., Mujin Electronics Co., Ltd., SCREEN SPE USA, LLC (a subsidiary of SCREEN Holdings Co., Ltd.), SEMES Co. Ltd., Tokyo Electron Ltd. and Kokusai Semiconductor Equipment Corporation. Key competitors for our newly-introduced PECVD and Track products include Lam Research Corporation, Applied Materials, Inc., KINGSEMI Co., Ltd. and Suzho Jingtuo Semiconductor Technology Co., Ltd.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 w:name="page18"/>
    <w:bookmarkEnd w:id="17"/>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6"/>
          <w:szCs w:val="16"/>
          <w:color w:val="auto"/>
        </w:rPr>
        <w:t>Compared to our company, our current and potential competitors may have:</w:t>
      </w:r>
    </w:p>
    <w:p>
      <w:pPr>
        <w:spacing w:after="0" w:line="17" w:lineRule="exact"/>
        <w:rPr>
          <w:sz w:val="20"/>
          <w:szCs w:val="20"/>
          <w:color w:val="auto"/>
        </w:rPr>
      </w:pPr>
    </w:p>
    <w:p>
      <w:pPr>
        <w:ind w:left="425" w:hanging="425"/>
        <w:spacing w:after="0"/>
        <w:tabs>
          <w:tab w:leader="none" w:pos="4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better established credibility and market reputations, longer operating histories, and broader product offerings;</w:t>
      </w:r>
    </w:p>
    <w:p>
      <w:pPr>
        <w:spacing w:after="0" w:line="6" w:lineRule="exact"/>
        <w:rPr>
          <w:rFonts w:ascii="Arial" w:cs="Arial" w:eastAsia="Arial" w:hAnsi="Arial"/>
          <w:sz w:val="16"/>
          <w:szCs w:val="16"/>
          <w:color w:val="auto"/>
        </w:rPr>
      </w:pPr>
    </w:p>
    <w:p>
      <w:pPr>
        <w:ind w:left="425" w:hanging="425"/>
        <w:spacing w:after="0" w:line="247" w:lineRule="auto"/>
        <w:tabs>
          <w:tab w:leader="none" w:pos="4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significantly greater financial, technical, marketing and other resources, which may allow them to pursue design, development, manufacturing, sales, marketing, distribution and service support of their products;</w:t>
      </w:r>
    </w:p>
    <w:p>
      <w:pPr>
        <w:spacing w:after="0" w:line="1" w:lineRule="exact"/>
        <w:rPr>
          <w:rFonts w:ascii="Arial" w:cs="Arial" w:eastAsia="Arial" w:hAnsi="Arial"/>
          <w:sz w:val="16"/>
          <w:szCs w:val="16"/>
          <w:color w:val="auto"/>
        </w:rPr>
      </w:pPr>
    </w:p>
    <w:p>
      <w:pPr>
        <w:ind w:left="425" w:hanging="425"/>
        <w:spacing w:after="0" w:line="247" w:lineRule="auto"/>
        <w:tabs>
          <w:tab w:leader="none" w:pos="4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more extensive customer and partner relationships, which may position them to identify and respond more successfully to market developments and changes in customer demands; and</w:t>
      </w:r>
    </w:p>
    <w:p>
      <w:pPr>
        <w:spacing w:after="0" w:line="1" w:lineRule="exact"/>
        <w:rPr>
          <w:rFonts w:ascii="Arial" w:cs="Arial" w:eastAsia="Arial" w:hAnsi="Arial"/>
          <w:sz w:val="16"/>
          <w:szCs w:val="16"/>
          <w:color w:val="auto"/>
        </w:rPr>
      </w:pPr>
    </w:p>
    <w:p>
      <w:pPr>
        <w:ind w:left="425" w:hanging="425"/>
        <w:spacing w:after="0" w:line="255" w:lineRule="auto"/>
        <w:tabs>
          <w:tab w:leader="none" w:pos="4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multiple product offerings, which may enable them to offer bundled discounts for customers purchasing multiple products or other incentives that we cannot match or offer.</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principal competitive factors in our market include:</w:t>
      </w:r>
    </w:p>
    <w:p>
      <w:pPr>
        <w:spacing w:after="0" w:line="17" w:lineRule="exact"/>
        <w:rPr>
          <w:sz w:val="20"/>
          <w:szCs w:val="20"/>
          <w:color w:val="auto"/>
        </w:rPr>
      </w:pPr>
    </w:p>
    <w:p>
      <w:pPr>
        <w:ind w:left="425" w:right="20" w:hanging="425"/>
        <w:spacing w:after="0" w:line="247" w:lineRule="auto"/>
        <w:tabs>
          <w:tab w:leader="none" w:pos="4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1" w:lineRule="exact"/>
        <w:rPr>
          <w:rFonts w:ascii="Arial" w:cs="Arial" w:eastAsia="Arial" w:hAnsi="Arial"/>
          <w:sz w:val="16"/>
          <w:szCs w:val="16"/>
          <w:color w:val="auto"/>
        </w:rPr>
      </w:pPr>
    </w:p>
    <w:p>
      <w:pPr>
        <w:ind w:left="425" w:hanging="425"/>
        <w:spacing w:after="0"/>
        <w:tabs>
          <w:tab w:leader="none" w:pos="4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gap filling capability, the deposited film thickness uniformity within wafer and wafer to wafer, particle generated on the wafer during the processes;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service support capability and spare parts delivery time; innovation and development of functionality and features that are must-haves for advanced fabrication nodes;</w:t>
      </w:r>
    </w:p>
    <w:p>
      <w:pPr>
        <w:spacing w:after="0" w:line="29" w:lineRule="exact"/>
        <w:rPr>
          <w:rFonts w:ascii="Arial" w:cs="Arial" w:eastAsia="Arial" w:hAnsi="Arial"/>
          <w:sz w:val="14"/>
          <w:szCs w:val="14"/>
          <w:color w:val="auto"/>
        </w:rPr>
      </w:pPr>
    </w:p>
    <w:p>
      <w:pPr>
        <w:ind w:left="425" w:hanging="425"/>
        <w:spacing w:after="0"/>
        <w:tabs>
          <w:tab w:leader="none" w:pos="4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anticipate customer requirements, especially for advanced process nodes of less than 45nm; ability to identify new process applications;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brand recognition and reputation;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185"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In addition, semiconductor manufacturers must make a substantial investment to qualify and integrate new equipment into semiconductor production lines. Some manufacturers began fabricating chips for the 5nm node in 2020 and the 3nm node in 2022.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71" w:lineRule="exact"/>
        <w:rPr>
          <w:sz w:val="20"/>
          <w:szCs w:val="20"/>
          <w:color w:val="auto"/>
        </w:rPr>
      </w:pPr>
    </w:p>
    <w:p>
      <w:pPr>
        <w:jc w:val="both"/>
        <w:ind w:left="5"/>
        <w:spacing w:after="0" w:line="291" w:lineRule="auto"/>
        <w:rPr>
          <w:sz w:val="20"/>
          <w:szCs w:val="20"/>
          <w:color w:val="auto"/>
        </w:rPr>
      </w:pPr>
      <w:r>
        <w:rPr>
          <w:rFonts w:ascii="Arial" w:cs="Arial" w:eastAsia="Arial" w:hAnsi="Arial"/>
          <w:sz w:val="14"/>
          <w:szCs w:val="14"/>
          <w:color w:val="auto"/>
        </w:rPr>
        <w:t>We intend to address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TEBO and Tahoe technologies, which we believe offer better performance, much less chemical consumption, and lower cost of consumables, including at advanced process nodes of 22nm or less.</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Human Capital</w:t>
      </w:r>
    </w:p>
    <w:p>
      <w:pPr>
        <w:spacing w:after="0" w:line="200"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As of December 31, 2022, we had 1,209 full-time equivalent employees, of whom 110 were in administration, 253 were in manufacturing, 519 were in research and development, and 327 were in sales and marketing and customer services. Of these employees, 1,077 were located in mainland China and the Taiwan region, 119 were located in Korea and 13 were based in the United States. We have never had a work stoppage, and none of our employees are represented by a labor organization or subject to any collective bargaining arrangements. We consider our employee relations to be good.</w:t>
      </w:r>
    </w:p>
    <w:p>
      <w:pPr>
        <w:spacing w:after="0" w:line="33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compete in the highly competitive semiconductor equipment industry, with operations principally in the PRC.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our corporate philosophy of talent development and career opportunities, and compensation and benefits.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Recruitment, Retention and Benefits</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To attract and retain qualified employees and key talent, we offer total compensation packages that are competitive with comparable companies, particularly in the PRC and, specifically, Shanghai.</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provide training and development programs to our employees, and we have trained many of our key engineers and managers for more than a decade. Retention of these key employees is critical to secure our future growth and technology development. To assist in employee retention and recruitment, we offer employee housing in the Lingang region of Shanghai in connection with the completion of ACM Shanghai’s housing facility in Lingang, where we are in the process of building a new research and development and production center.</w:t>
      </w:r>
    </w:p>
    <w:p>
      <w:pPr>
        <w:spacing w:after="0" w:line="35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Health and Safety, Pandemic Response</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When it comes to employee safety, we are committed to providing a safe work environment for our employees that meets or exceeds local environmental, health, and safety laws and regulations. As a result of the COVID-19 pandemic, we have augmented certain of our normal business practices to ensure that we promote health and safety for our employees. We have established safety policies and protocols, and we regularly update our employees with respect to any changes. A majority of our workforce provide services that cannot be performed remotely, and we have prioritized the health of those individuals that continue to work at our facilities. We have provided personal protective equipment and cleaning supplies. We require masks to be worn in our facilities and have prohibited all non-essential domestic and international travel for all employees. We have also provided general information updates and support for our employees to ensure that they have resources and information to protect their health and that of those around them, including their families and co-workers.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Following its initial outbreak in December 2019, COVID–19, or the coronavirus, spread across the PRC, the United States and globally. The COVID–19 outbreak has affected our business and operating results since the first quarter of 2020. Since that time, travel between our offices in the United States and our facilities in the PRC has been and will likely continue to be restricted, which has and may continue to impact our ability to effectively operate our company and to oversee our operations. The COVID–19 situation continues to evolve, and it is impossible for us to predict the effect and ultimate impact of the COVID–19 outbreak on our business operations and results. In December 2022, the PRC government relaxed its zero-COVID policies, which resulted in large scale COVID-19 infections throughout China, including Shanghai. A significant number of ACM Shanghai employees were also infected, and in many cases missed work for one or several weeks, which caused administrative and operational challenges in late 2022 and early 2023. We continue to monitor the impact of the COVID-19 pandemic on all aspects of our business, including our operations, customers, suppliers and projects. While the ongoing regulatory measures instituted or recommended in response to COVID–19 are expected to be temporary, the duration of the business disruptions, and related financial impact, of the outbreak cannot be estimated at this time.</w:t>
      </w:r>
    </w:p>
    <w:p>
      <w:pPr>
        <w:spacing w:after="0" w:line="160" w:lineRule="exact"/>
        <w:rPr>
          <w:sz w:val="20"/>
          <w:szCs w:val="20"/>
          <w:color w:val="auto"/>
        </w:rPr>
      </w:pPr>
    </w:p>
    <w:p>
      <w:pPr>
        <w:jc w:val="both"/>
        <w:spacing w:after="0" w:line="196" w:lineRule="exact"/>
        <w:rPr>
          <w:sz w:val="20"/>
          <w:szCs w:val="20"/>
          <w:color w:val="auto"/>
        </w:rPr>
      </w:pPr>
      <w:r>
        <w:rPr>
          <w:rFonts w:ascii="Arial" w:cs="Arial" w:eastAsia="Arial" w:hAnsi="Arial"/>
          <w:sz w:val="16"/>
          <w:szCs w:val="16"/>
          <w:color w:val="auto"/>
        </w:rPr>
        <w:t>See “Item 7. Management’s Discussion and Analysis of Financial Condition and Results of Operations—COVID</w:t>
      </w:r>
      <w:r>
        <w:rPr>
          <w:rFonts w:ascii="MS PGothic" w:cs="MS PGothic" w:eastAsia="MS PGothic" w:hAnsi="MS PGothic"/>
          <w:sz w:val="16"/>
          <w:szCs w:val="16"/>
          <w:color w:val="auto"/>
        </w:rPr>
        <w:t>‑</w:t>
      </w:r>
      <w:r>
        <w:rPr>
          <w:rFonts w:ascii="Arial" w:cs="Arial" w:eastAsia="Arial" w:hAnsi="Arial"/>
          <w:sz w:val="16"/>
          <w:szCs w:val="16"/>
          <w:color w:val="auto"/>
        </w:rPr>
        <w:t>19 Pandemic” of Part II of this report for additional discussion of our expectations and estimates related to the COVID-19 Pandemic.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Severe weather events, including earthquakes, fires, floods, heat waves, hurricanes and other environmental disasters, could pose a threat to our manufacturing and research and development activities through physical damage to our operating facilities or equipment or disruption of power supply or telecommunications infrastructure. The frequency and intensity of severe weather events are reportedly increasing throughout the world as part of broader climate changes. Global weather pattern changes may also pose long-term risks of physical impacts to our business. We maintain disaster recovery and business continuity plans that would be implemented to help us recover in the event of severe weather events that interrupt our business. See “Item 1A. Risk Factors—General—Our production facilities could be damaged or disrupted by a natural disaster, war, terrorist attacks or other catastrophic events.”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Concerns about climate change have resulted in various laws and regulations that are intended to limit carbon emissions and address other environmental concerns. In recent years, the PRC, where our production facilities are located, has undertaken comprehensive sustainability initiatives that are requiring companies to meet new environmental standards and deal with higher energy and other production costs. Environmental laws and regulations may impose new or unexpected cost either directly through, for example, higher energy costs or indirectly through increased costs of compliance or of failing to comply with these laws and regulations. These laws and regulations might increase the cost of construction, maintenance and operation of our new research and development center and factory in the Lingang region of Shanghai.</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do not currently expect that existing or pending climate change laws and regulations will be material to our results of operations in the foreseeable future. Climate change could, however, have a direct effect on our customer base of semiconductor fabricators, whose operations typically require copious quantities of power and water and a number of chemicals. Chip fabrication operations often result in significant amounts of wastewater, which can contain a number of harmful contaminants, including antimony, arsenic, hydrofluoric acid and hydrogen peroxide, that historically have resulted in groundwater pollution and related violations of environmental laws. Moreover, water and chemical demands for semiconductor fabrication are expected to increase with the production of more advanced chips at smaller process nodes. As a result, some leading chip fabricators have begun to invest in conservation and treatment technologies for water and chemicals.</w:t>
      </w:r>
    </w:p>
    <w:p>
      <w:pPr>
        <w:spacing w:after="0" w:line="157"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We have designed some of our tools to require significantly reduced levels of environmentally harmful chemicals, which helps customers face increased environmental laws and regulations. SAPS and TEBO technologies use environmentally friendly dilute chemicals, such as dilute hydrofluoric acid, RCA SC-1 solution, ozonated de-ionized water and functional de-ionized water with dissolved hydrogen. In interconnect and barrier metals applications based on SAPS technology, for example, these chemical solutions take the place of chemicals such as piranha solution, a high-temperature mixture of sulfuric acid and hydrogen peroxide used by conventional wet wafer cleaning processes. Similarly, Tahoe technology delivers high cleaning performance using significantly less sulfuric acid and hydrogen peroxide than is typically consumed by conventional high-temperature single-wafer cleaning tools. For additional information, see “—Our Technology and Product Offerings—Wet Cleaning Equipment for Front End Production Processes.”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00"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color w:val="auto"/>
        </w:rPr>
        <w:t>We are required to file annual, quarterly and current reports, proxy statements and other information with the U.S. Securities and Exchange Commission, or the SEC. The SEC maintains a website at www.sec.gov that contains reports, proxy and information statements, and other information regarding issuers that file electronically with the SEC.</w:t>
      </w:r>
    </w:p>
    <w:p>
      <w:pPr>
        <w:spacing w:after="0" w:line="11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 www.acmrcsh.com as soon as reasonably practicable after such reports are electronically filed with or furnished to the SEC.</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Investors should note that we announce material information to our investors and others using filings with the SEC, press releases, public conference calls, webcasts or our website (www.acmrcsh.com),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www.acmrcsh.com. The information on our website is not, and shall not be deemed to be, a part hereof or incorporated into this or any of our other filings with the SEC.</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8. Financial Statements and Supplementary Data”,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isk</w:t>
      </w:r>
      <w:r>
        <w:rPr>
          <w:rFonts w:ascii="Arial" w:cs="Arial" w:eastAsia="Arial" w:hAnsi="Arial"/>
          <w:sz w:val="16"/>
          <w:szCs w:val="16"/>
          <w:b w:val="1"/>
          <w:bCs w:val="1"/>
          <w:color w:val="auto"/>
        </w:rPr>
        <w:t xml:space="preserve"> F</w:t>
      </w:r>
      <w:r>
        <w:rPr>
          <w:rFonts w:ascii="Arial" w:cs="Arial" w:eastAsia="Arial" w:hAnsi="Arial"/>
          <w:sz w:val="10"/>
          <w:szCs w:val="10"/>
          <w:b w:val="1"/>
          <w:bCs w:val="1"/>
          <w:color w:val="auto"/>
        </w:rPr>
        <w:t>actor</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ummary</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i w:val="1"/>
          <w:iCs w:val="1"/>
          <w:color w:val="auto"/>
        </w:rPr>
        <w:t>Our business is subject to a number of risks, including risks that may prevent us from achieving our business objectives or may adversely affect our business, financial condition, results of operations, cash flows and prospects. The risks are discussed more fully below and include, but are not limited to, the risks summarized below.</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International Aspects of Our Business</w:t>
      </w:r>
    </w:p>
    <w:p>
      <w:pPr>
        <w:spacing w:after="0" w:line="21" w:lineRule="exact"/>
        <w:rPr>
          <w:sz w:val="20"/>
          <w:szCs w:val="20"/>
          <w:color w:val="auto"/>
        </w:rPr>
      </w:pPr>
    </w:p>
    <w:p>
      <w:pPr>
        <w:jc w:val="both"/>
        <w:ind w:left="560" w:hanging="280"/>
        <w:spacing w:after="0" w:line="283" w:lineRule="auto"/>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 w:lineRule="exact"/>
        <w:rPr>
          <w:rFonts w:ascii="Arial" w:cs="Arial" w:eastAsia="Arial" w:hAnsi="Arial"/>
          <w:sz w:val="14"/>
          <w:szCs w:val="14"/>
          <w:color w:val="auto"/>
        </w:rPr>
      </w:pPr>
    </w:p>
    <w:p>
      <w:pPr>
        <w:ind w:left="560" w:hanging="280"/>
        <w:spacing w:after="0" w:line="247"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 w:lineRule="exact"/>
        <w:rPr>
          <w:rFonts w:ascii="Arial" w:cs="Arial" w:eastAsia="Arial" w:hAnsi="Arial"/>
          <w:sz w:val="16"/>
          <w:szCs w:val="16"/>
          <w:color w:val="auto"/>
        </w:rPr>
      </w:pPr>
    </w:p>
    <w:p>
      <w:pPr>
        <w:jc w:val="both"/>
        <w:ind w:left="560" w:right="20" w:hanging="280"/>
        <w:spacing w:after="0" w:line="258"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PRC central government may determine to exert additional control over offerings conducted overseas or foreign investment in PRC-based issuers, which could result in a material change in operations of ACM Shanghai and cause significant declines in the value of ACM Research Class A common stock, or make them worthless;</w:t>
      </w:r>
    </w:p>
    <w:p>
      <w:pPr>
        <w:ind w:left="560" w:hanging="280"/>
        <w:spacing w:after="0" w:line="264" w:lineRule="auto"/>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we are unable to comply with recent and proposed legislation and regulations regarding improved access to audit and other information and audit inspections of accounting firms, including registered public accounting firms, such as our prior audit firm, operating in the PRC, we could be adversely affected;</w:t>
      </w:r>
    </w:p>
    <w:p>
      <w:pPr>
        <w:ind w:left="560" w:hanging="280"/>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may be difficult for overseas regulators to conduct investigations or collect evidence within the PRC;</w:t>
      </w:r>
    </w:p>
    <w:p>
      <w:pPr>
        <w:spacing w:after="0" w:line="6" w:lineRule="exact"/>
        <w:rPr>
          <w:rFonts w:ascii="Arial" w:cs="Arial" w:eastAsia="Arial" w:hAnsi="Arial"/>
          <w:sz w:val="16"/>
          <w:szCs w:val="16"/>
          <w:color w:val="auto"/>
        </w:rPr>
      </w:pPr>
    </w:p>
    <w:p>
      <w:pPr>
        <w:ind w:left="560" w:right="20" w:hanging="280"/>
        <w:spacing w:after="0" w:line="255"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of our assets are located outside of the United States and certain of our directors and officers reside outside of the United States, which may make it difficult for you to enforce your rights based on the U.S. federal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Our Industry</w:t>
      </w:r>
    </w:p>
    <w:p>
      <w:pPr>
        <w:spacing w:after="0" w:line="21" w:lineRule="exact"/>
        <w:rPr>
          <w:sz w:val="20"/>
          <w:szCs w:val="20"/>
          <w:color w:val="auto"/>
        </w:rPr>
      </w:pPr>
    </w:p>
    <w:p>
      <w:pPr>
        <w:ind w:left="560" w:hanging="280"/>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potential future needs for additional capital that may not be available at all or on terms acceptable to us;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cyclicality in the semiconductor industry that may lead to substantial variations in demand for our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dependence on a small number of customers for a substantial portion of our revenue;</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industry manufacturers of chips adopting our SAPS, TEBO, Tahoe, ECP, furnace and other technologies;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SAPS, TEBO, Tahoe, ECP, furnace and other technologies not achieving widespread market acceptance;</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continue to enhance our existing single-wafer wet cleaning tools and identifying and entering new product markets;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establish and maintain a reputation for credibility and product quality;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60" w:hanging="280"/>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expand our customer base;</w:t>
      </w:r>
    </w:p>
    <w:p>
      <w:pPr>
        <w:spacing w:after="0" w:line="17" w:lineRule="exact"/>
        <w:rPr>
          <w:rFonts w:ascii="Arial" w:cs="Arial" w:eastAsia="Arial" w:hAnsi="Arial"/>
          <w:sz w:val="16"/>
          <w:szCs w:val="16"/>
          <w:color w:val="auto"/>
        </w:rPr>
      </w:pPr>
    </w:p>
    <w:p>
      <w:pPr>
        <w:ind w:left="560" w:hanging="280"/>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long and unpredictable sales cycle, including our incurrence of significant expenses long before we can recognize revenue from new products, if at all;</w:t>
      </w:r>
    </w:p>
    <w:p>
      <w:pPr>
        <w:spacing w:after="0" w:line="17" w:lineRule="exact"/>
        <w:rPr>
          <w:rFonts w:ascii="Arial" w:cs="Arial" w:eastAsia="Arial" w:hAnsi="Arial"/>
          <w:sz w:val="15"/>
          <w:szCs w:val="15"/>
          <w:color w:val="auto"/>
        </w:rPr>
      </w:pPr>
    </w:p>
    <w:p>
      <w:pPr>
        <w:ind w:left="560" w:hanging="280"/>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forecasting demand for our tools;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reliance on third parties to manufacture significant portions of our tools and our ability to manage our relationships with these parties;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shortage of components or subassemblies, which could result in delayed delivery of products to us or in increased costs to us;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dependence on a limited number of suppliers, including single source suppliers, for critical components and subassemblies;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dependence on our Chief Executive Officer and President and other senior management and key employees;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Risks</w:t>
      </w:r>
    </w:p>
    <w:p>
      <w:pPr>
        <w:spacing w:after="0" w:line="21" w:lineRule="exact"/>
        <w:rPr>
          <w:sz w:val="20"/>
          <w:szCs w:val="20"/>
          <w:color w:val="auto"/>
        </w:rPr>
      </w:pPr>
    </w:p>
    <w:p>
      <w:pPr>
        <w:ind w:left="560" w:right="20" w:hanging="280"/>
        <w:spacing w:after="0" w:line="247"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actions limiting our ability and the broader industry to import into the PRC items sourced from the U.S. or otherwise subject to control under the U.S. Export Administration Regulations (EAR), thereby impacting our ability to sell our tools to customers in the PRC;</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government trade policies that could limit the demand for our tools and increase the cost of our tools;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political and economic policies with respect to the PRC;</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PRC’s currency exchange control and government restrictions on investment repatriation may impact our ability to transfer funds outside of the PRC;</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STAR Listing</w:t>
      </w:r>
    </w:p>
    <w:p>
      <w:pPr>
        <w:spacing w:after="0" w:line="21" w:lineRule="exact"/>
        <w:rPr>
          <w:sz w:val="20"/>
          <w:szCs w:val="20"/>
          <w:color w:val="auto"/>
        </w:rPr>
      </w:pPr>
    </w:p>
    <w:p>
      <w:pPr>
        <w:ind w:left="560" w:hanging="280"/>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implement our strategy to expand our PRC operations;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achieve the results contemplated by our business strategy and our strategy for growth in the PRC and expectations related to the STAR Listing;</w:t>
      </w:r>
    </w:p>
    <w:p>
      <w:pPr>
        <w:spacing w:after="0" w:line="17" w:lineRule="exact"/>
        <w:rPr>
          <w:rFonts w:ascii="Arial" w:cs="Arial" w:eastAsia="Arial" w:hAnsi="Arial"/>
          <w:sz w:val="15"/>
          <w:szCs w:val="15"/>
          <w:color w:val="auto"/>
        </w:rPr>
      </w:pPr>
    </w:p>
    <w:p>
      <w:pPr>
        <w:ind w:left="560" w:hanging="280"/>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 of ACM Shanghai’s status as a publicly traded company that is controlled, but less than wholly owned, by ACM Research;</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manage potentially inconsistent accounting and disclosure requirements of ACM Research and ACM Shanghai as a result of the STAR Listing;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 and Data Security</w:t>
      </w:r>
    </w:p>
    <w:p>
      <w:pPr>
        <w:spacing w:after="0" w:line="21" w:lineRule="exact"/>
        <w:rPr>
          <w:sz w:val="20"/>
          <w:szCs w:val="20"/>
          <w:color w:val="auto"/>
        </w:rPr>
      </w:pPr>
    </w:p>
    <w:p>
      <w:pPr>
        <w:ind w:left="560" w:hanging="280"/>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protect our intellectual property, including in the PRC;</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breaches of our cybersecurity systems;</w:t>
      </w:r>
    </w:p>
    <w:p>
      <w:pPr>
        <w:spacing w:after="0" w:line="181"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Risks Related to the COVID</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19 Pandemic</w:t>
      </w:r>
    </w:p>
    <w:p>
      <w:pPr>
        <w:spacing w:after="0" w:line="21" w:lineRule="exact"/>
        <w:rPr>
          <w:sz w:val="20"/>
          <w:szCs w:val="20"/>
          <w:color w:val="auto"/>
        </w:rPr>
      </w:pPr>
    </w:p>
    <w:p>
      <w:pPr>
        <w:ind w:left="560" w:hanging="280"/>
        <w:spacing w:after="0" w:line="247"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impacts on our global supply chain due to the COVID-19 pandemic, and our ability to successfully manage the demand, supply, and operational challenges associated with the global semiconductor shortage;</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impact of the COVID-19 pandemic on our currently planned projects and investments in the PRC;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Class A Common Stock</w:t>
      </w:r>
    </w:p>
    <w:p>
      <w:pPr>
        <w:spacing w:after="0" w:line="21" w:lineRule="exact"/>
        <w:rPr>
          <w:sz w:val="20"/>
          <w:szCs w:val="20"/>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material weaknesses identified with respect to our internal controls over financial reporting;</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volatility in the market price of Class A common stock;</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manipulative short sellers of our stock, which may drive down the market price of our Class A common stock and could result in litigation;</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difficulty to predict the effect of the STAR Listing and STAR IPO on the Class A common stock;</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dual class structure of Class A common stock, which has the effect of concentrating voting control with our executive officers and directors;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limited experience of our management team managing a public company.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International Aspects of Our Business</w:t>
      </w:r>
    </w:p>
    <w:p>
      <w:pPr>
        <w:spacing w:after="0" w:line="2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43"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PRC central government authorities have taken steps to preclude, or significantly discourage, certain PRC companies from listing on U.S. and other exchanges outside the PRC. Investments activities in the PRC by non-PRC investors are principally governed by the Encouraged Industries Catalog for Foreign Investment (2020 version) and the Special Administrative Measures for Foreign Investment Access (Negative List 2021), both of which were promulgated by the PRC’s Ministry of Commerce, or MOFCOM, and National Development and Reform Commission. These regulations set forth the industries in which foreign investments are encouraged, restricted and prohibited.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Industries that are not listed in any of these three categories are generally open to foreign investment unless otherwise specifically restricted by other PRC rules and regulations.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our operations do not fall within any industry that is restricted or prohibited under these regulations and that the regulations therefore do not apply to us.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PRC-based companies that seek to list their shares in the United States but are subject to PRC restrictions on investments by non-PRC investors sometimes use a special purpose vehicle known as a VIE created in an off-shore jurisdiction such as the Cayman Islands. In these structures, a VIE enters into a series of contractual arrangements with the PRC-based operating company and its PRC-based shareholders that afford those shareholders, rather than the shareholders of the VIE, effective control over the finances and operations of the operating company. The VIE, effectively a shell company, issues share that are listed for trading on a U.S. exchange, but the enterprise is controlled by the legacy PRC-based shareholders and is subject to PRC laws and regulations. ACM Research is not a VIE or other special purpose, or shell, company, and its relationship with ACM Shanghai does not involve the types of contractual arrangements existing between a VIE and a PRC-based operating company. ACM Research is a Delaware corporation founded in California in 1998 that formed ACM Shanghai to conduct business operations in the PRC. ACM Research controls the operations of ACM Shanghai through its direct ownership of ACM Shanghai shares, and it also conducts sales and marketing activities focused on sales of ACM Shanghai products in North America, Europe and certain regions in Asia outside mainland China.</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We do not believe that our corporate structure or any other matters relating to our business operations currently require that ACM Shanghai obtain any permissions or approvals from the China Securities Regulatory Commission, or CSRC, or any other PRC central government authority in connection with ACM’s listing, or offering for sale in the future, shares of our Class A common stock in the United States. We, including ACM Shanghai, therefore have never solicited any permission or approval from any PRC central government authority, and thus no such permissions or approvals have been received or denied, in connection with ACM Research’s seeking and maintaining the listing of our Class A common stock in the United States. In the event that we inadvertently conclude that permissions or approvals are not required, or either the CSRC or another PRC central government authority were to determine that existing PRC laws or regulations require that ACM Shanghai obtain the authority’s permission or approval to continue ACM Research’s listing of Class A common stock in the United States or if those existing PRC laws and regulations, or interpretations thereof, were to change to require such permission or approval, ACM Shanghai could be unable to obtain any such permission or approval or could be able to obtain such permission or approval only on terms and conditions that impose material new operating or other restrictions and limitations on ACM Shanghai. In such circumstances, it would materially and adversely affect the value of our Class A common stock, which may decline in value or become worthless. In addition, ACM Shanghai could face sanctions by the CSRC or other PRC central government authorities or pressure from the PRC government in various business matters for failure to obtain such permission or approval. Such potential sanctions or pressure may include fines and penalties on ACM Shanghai’s operations in the PRC, limitations on its operating privileges in the PRC, delays in or restrictions on the transfer of proceeds from a public offering of ACM Research securities in the United States to ACM Shanghai, restrictions on or prohibition of the payments or remittance of dividends by ACM Shanghai to ACM Research, or other actions that could have a material and adverse effect on our business, financial condition, results of operations, reputation and prospects, as well as the trading price of ACM Research Class A common stock, which could decline in value or become worthless.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of ACM Shanghai or ACM Research. We cannot assure you, however, that future changes in PRC laws and regulations will not materially and adversely affect our PRC-based operations. For example:</w:t>
      </w:r>
    </w:p>
    <w:p>
      <w:pPr>
        <w:spacing w:after="0" w:line="168" w:lineRule="exact"/>
        <w:rPr>
          <w:sz w:val="20"/>
          <w:szCs w:val="20"/>
          <w:color w:val="auto"/>
        </w:rPr>
      </w:pPr>
    </w:p>
    <w:p>
      <w:pPr>
        <w:jc w:val="both"/>
        <w:ind w:left="860" w:hanging="437"/>
        <w:spacing w:after="0" w:line="268" w:lineRule="auto"/>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Our commercial success depends in part on our ability to obtain and maintain patent and trade secret protection for our intellectual property, including our SAPS, TEBO, Tahoe, ECP, furnace and other technologies and the design of our Ultra C equipment. See “—Risks Related to Our Intellectual Property and Data Security—</w:t>
      </w:r>
      <w:r>
        <w:rPr>
          <w:rFonts w:ascii="Arial" w:cs="Arial" w:eastAsia="Arial" w:hAnsi="Arial"/>
          <w:sz w:val="15"/>
          <w:szCs w:val="15"/>
          <w:i w:val="1"/>
          <w:iCs w:val="1"/>
          <w:color w:val="auto"/>
        </w:rPr>
        <w:t>Our success depends on our ability to protect our intellectual property, including our SAPS, TEBO, Tahoe, ECP, furnace and other</w:t>
      </w:r>
      <w:r>
        <w:rPr>
          <w:rFonts w:ascii="Arial" w:cs="Arial" w:eastAsia="Arial" w:hAnsi="Arial"/>
          <w:sz w:val="15"/>
          <w:szCs w:val="15"/>
          <w:color w:val="auto"/>
        </w:rPr>
        <w:t xml:space="preserve"> </w:t>
      </w:r>
      <w:r>
        <w:rPr>
          <w:rFonts w:ascii="Arial" w:cs="Arial" w:eastAsia="Arial" w:hAnsi="Arial"/>
          <w:sz w:val="15"/>
          <w:szCs w:val="15"/>
          <w:i w:val="1"/>
          <w:iCs w:val="1"/>
          <w:color w:val="auto"/>
        </w:rPr>
        <w:t>technologies</w:t>
      </w:r>
      <w:r>
        <w:rPr>
          <w:rFonts w:ascii="Arial" w:cs="Arial" w:eastAsia="Arial" w:hAnsi="Arial"/>
          <w:sz w:val="15"/>
          <w:szCs w:val="15"/>
          <w:color w:val="auto"/>
        </w:rPr>
        <w:t>.” in Item 1A, “Risk Factors” of Part I of this report. The significant majority of our intellectual property has been developed in the PRC and is owned</w:t>
      </w:r>
      <w:r>
        <w:rPr>
          <w:rFonts w:ascii="Arial" w:cs="Arial" w:eastAsia="Arial" w:hAnsi="Arial"/>
          <w:sz w:val="15"/>
          <w:szCs w:val="15"/>
          <w:i w:val="1"/>
          <w:iCs w:val="1"/>
          <w:color w:val="auto"/>
        </w:rPr>
        <w:t xml:space="preserve"> </w:t>
      </w:r>
      <w:r>
        <w:rPr>
          <w:rFonts w:ascii="Arial" w:cs="Arial" w:eastAsia="Arial" w:hAnsi="Arial"/>
          <w:sz w:val="15"/>
          <w:szCs w:val="15"/>
          <w:color w:val="auto"/>
        </w:rPr>
        <w:t>by ACM Shanghai. Implementation and enforcement of intellectual property-related laws in the PRC has historically been lacking due primarily to ambiguities in PRC intellectual property law. See “—Risks Related to Our Intellectual Property and Data Security—</w:t>
      </w:r>
      <w:r>
        <w:rPr>
          <w:rFonts w:ascii="Arial" w:cs="Arial" w:eastAsia="Arial" w:hAnsi="Arial"/>
          <w:sz w:val="15"/>
          <w:szCs w:val="15"/>
          <w:i w:val="1"/>
          <w:iCs w:val="1"/>
          <w:color w:val="auto"/>
        </w:rPr>
        <w:t>We may not be able to protect our intellectual property rights</w:t>
      </w:r>
      <w:r>
        <w:rPr>
          <w:rFonts w:ascii="Arial" w:cs="Arial" w:eastAsia="Arial" w:hAnsi="Arial"/>
          <w:sz w:val="15"/>
          <w:szCs w:val="15"/>
          <w:color w:val="auto"/>
        </w:rPr>
        <w:t xml:space="preserve"> </w:t>
      </w:r>
      <w:r>
        <w:rPr>
          <w:rFonts w:ascii="Arial" w:cs="Arial" w:eastAsia="Arial" w:hAnsi="Arial"/>
          <w:sz w:val="15"/>
          <w:szCs w:val="15"/>
          <w:i w:val="1"/>
          <w:iCs w:val="1"/>
          <w:color w:val="auto"/>
        </w:rPr>
        <w:t>throughout the world, including the PRC, which could materially, negatively affect our business</w:t>
      </w:r>
      <w:r>
        <w:rPr>
          <w:rFonts w:ascii="Arial" w:cs="Arial" w:eastAsia="Arial" w:hAnsi="Arial"/>
          <w:sz w:val="15"/>
          <w:szCs w:val="15"/>
          <w:color w:val="auto"/>
        </w:rPr>
        <w:t>” in Item 1A, “Risk Factors” of Part I of this report. In the event</w:t>
      </w:r>
      <w:r>
        <w:rPr>
          <w:rFonts w:ascii="Arial" w:cs="Arial" w:eastAsia="Arial" w:hAnsi="Arial"/>
          <w:sz w:val="15"/>
          <w:szCs w:val="15"/>
          <w:i w:val="1"/>
          <w:iCs w:val="1"/>
          <w:color w:val="auto"/>
        </w:rPr>
        <w:t xml:space="preserve"> </w:t>
      </w:r>
      <w:r>
        <w:rPr>
          <w:rFonts w:ascii="Arial" w:cs="Arial" w:eastAsia="Arial" w:hAnsi="Arial"/>
          <w:sz w:val="15"/>
          <w:szCs w:val="15"/>
          <w:color w:val="auto"/>
        </w:rPr>
        <w:t>PRC central government authorities were to significantly revise or revamp the current scope and structure of intellectual property protection in the PRC, our ability to protect and enforce our intellectual property rights for our key proprietary technologies may be adversely impacted and competitors may be able to match our technologies and tools in order to compete with us.</w:t>
      </w:r>
    </w:p>
    <w:p>
      <w:pPr>
        <w:spacing w:after="0" w:line="164" w:lineRule="exact"/>
        <w:rPr>
          <w:rFonts w:ascii="Arial" w:cs="Arial" w:eastAsia="Arial" w:hAnsi="Arial"/>
          <w:sz w:val="15"/>
          <w:szCs w:val="15"/>
          <w:color w:val="auto"/>
        </w:rPr>
      </w:pPr>
    </w:p>
    <w:p>
      <w:pPr>
        <w:jc w:val="both"/>
        <w:ind w:left="860" w:hanging="437"/>
        <w:spacing w:after="0" w:line="274" w:lineRule="auto"/>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Title Defect in Leased Premises</w:t>
      </w:r>
      <w:r>
        <w:rPr>
          <w:rFonts w:ascii="Arial" w:cs="Arial" w:eastAsia="Arial" w:hAnsi="Arial"/>
          <w:sz w:val="15"/>
          <w:szCs w:val="15"/>
          <w:color w:val="auto"/>
        </w:rPr>
        <w:t>. We conduct research and development, and service support operations at ACM Shanghai’s headquarters located in the Zhangjiang Hi Tech Park in Shanghai, which ACM Shanghai leases from Zhangjiang Group. Zhangjiang Group has not obtained a certificate of property title for the premises, although it has represented to ACM Shanghai that it has the right to rent the premises to ACM Shanghai. If any adjustment in local regional overall planning of Shanghai, or any other reason, results in the demolition of such premises, the premises could not continue to be leased to ACM Shanghai and the day-to-day production and operation of ACM Shanghai would be materially and adversely affected. See Item 2, “Properties” of Part I of this report.</w:t>
      </w:r>
    </w:p>
    <w:p>
      <w:pPr>
        <w:spacing w:after="0" w:line="155" w:lineRule="exact"/>
        <w:rPr>
          <w:rFonts w:ascii="Arial" w:cs="Arial" w:eastAsia="Arial" w:hAnsi="Arial"/>
          <w:sz w:val="15"/>
          <w:szCs w:val="15"/>
          <w:color w:val="auto"/>
        </w:rPr>
      </w:pPr>
    </w:p>
    <w:p>
      <w:pPr>
        <w:jc w:val="both"/>
        <w:ind w:left="860" w:hanging="437"/>
        <w:spacing w:after="0" w:line="192" w:lineRule="exact"/>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COVID-19 Pandemic</w:t>
      </w:r>
      <w:r>
        <w:rPr>
          <w:rFonts w:ascii="Arial" w:cs="Arial" w:eastAsia="Arial" w:hAnsi="Arial"/>
          <w:sz w:val="15"/>
          <w:szCs w:val="15"/>
          <w:color w:val="auto"/>
        </w:rPr>
        <w:t>. We conduct substantially all of our product development, manufacturing, support and services in the PRC, and those activities have been directly impacted by COVID-19 and related restrictions on transportation and public appearances, including implementation by PRC government authorities of “spot” and full-city quarantines in the city of Shanghai, where substantially all of our operations are located. Furthermore, a number of our key customers have substantial operations based in operations areas of the PRC, including in the City of Shanghai, which required us to defer, in the first quarter of 2022, shipments of finished products to those customers. A significant number of ACM Shanghai employees missed work in late 2022 and early 2023 for one or several weeks due to COVID-19 related illness following the relaxation of the PRC’s zero-COVID policies in December 2022. For additional information see “—Risks Related to the COVID-19 Pandemic—</w:t>
      </w:r>
      <w:r>
        <w:rPr>
          <w:rFonts w:ascii="Arial" w:cs="Arial" w:eastAsia="Arial" w:hAnsi="Arial"/>
          <w:sz w:val="15"/>
          <w:szCs w:val="15"/>
          <w:i w:val="1"/>
          <w:iCs w:val="1"/>
          <w:color w:val="auto"/>
        </w:rPr>
        <w:t>Substantially all of our operations, as well as significant operations of a number of our key customers, are located in areas of the PRC</w:t>
      </w:r>
      <w:r>
        <w:rPr>
          <w:rFonts w:ascii="Arial" w:cs="Arial" w:eastAsia="Arial" w:hAnsi="Arial"/>
          <w:sz w:val="15"/>
          <w:szCs w:val="15"/>
          <w:color w:val="auto"/>
        </w:rPr>
        <w:t xml:space="preserve"> </w:t>
      </w:r>
      <w:r>
        <w:rPr>
          <w:rFonts w:ascii="Arial" w:cs="Arial" w:eastAsia="Arial" w:hAnsi="Arial"/>
          <w:sz w:val="15"/>
          <w:szCs w:val="15"/>
          <w:i w:val="1"/>
          <w:iCs w:val="1"/>
          <w:color w:val="auto"/>
        </w:rPr>
        <w:t>impacted by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pandemic, and our operations have been, and may continue to be, adversely affected by the effects of PRC restrictions imposed as the result of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w:t>
      </w:r>
      <w:r>
        <w:rPr>
          <w:rFonts w:ascii="Arial" w:cs="Arial" w:eastAsia="Arial" w:hAnsi="Arial"/>
          <w:sz w:val="15"/>
          <w:szCs w:val="15"/>
          <w:color w:val="auto"/>
        </w:rPr>
        <w:t>” in Item 1A, “Risk Factors” of Part I of this report.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860" w:hanging="437"/>
        <w:spacing w:after="0" w:line="287" w:lineRule="auto"/>
        <w:tabs>
          <w:tab w:leader="none" w:pos="860"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Data Security</w:t>
      </w:r>
      <w:r>
        <w:rPr>
          <w:rFonts w:ascii="Arial" w:cs="Arial" w:eastAsia="Arial" w:hAnsi="Arial"/>
          <w:sz w:val="14"/>
          <w:szCs w:val="14"/>
          <w:color w:val="auto"/>
        </w:rPr>
        <w:t>. The Standing Committee of the National People’s Congress, or the Standing Committee, has promulgated the Cyber Security Law, which imposes requirements on entities who build and operate the PRC’s internet architecture or provide services in the PRC over the internet, and the Data Security Law, which imposes data security and privacy obligations on entities and individuals carrying out data activities. The Data Security Law also provides for a national security review procedure for data activities that may affect national security and imposes export restrictions on certain data an information. ACM Shanghai is not subject to the existing restrictions imposed by the Cyber Security Law or the Data Security Law, in part because its business operations do not involve the collection, processing or use of data or information involving personal privacy or private information of customers. In addition, ACM Shanghai is subject to oversight by the Cyberspace Administration of China, or the CAC, regarding data security. ACM Shanghai does not collect or maintain personal information except for routine personal information necessary to process payroll payments and other benefits and emergency contact information, and as a result, ACM Shanghai is not currently subject to significant restrictions or limitations in addressing and managing data security issues and complying with CAC regulations. To date, ACM Shanghai has not been involved in any investigations on cybersecurity review initiated by the CAC or any related PRC central government authority and has not received any inquiry, notice, warning, or sanction in such respect. However, cybersecurity is increasingly a focus of the PRC central government. If the CAC or other PRC central government authorities should in the future require ACM Shanghai to comply with these or additional, or more restrictive, PRC cybersecurity regulations, it could require ACM Shanghai to make changes to its operations, and any failure to satisfy or delay in meeting such requirements may subject ACM Shanghai to restrictions and penalties imposed by the CAC or other PRC regulatory authorities, which may include regulatory actions, fines and penalties on our operations in the PRC, which could materially harm our business, financial condition, results of operations, reputation and prospects.</w:t>
      </w:r>
    </w:p>
    <w:p>
      <w:pPr>
        <w:spacing w:after="0" w:line="152" w:lineRule="exact"/>
        <w:rPr>
          <w:rFonts w:ascii="Arial" w:cs="Arial" w:eastAsia="Arial" w:hAnsi="Arial"/>
          <w:sz w:val="14"/>
          <w:szCs w:val="14"/>
          <w:color w:val="auto"/>
        </w:rPr>
      </w:pPr>
    </w:p>
    <w:p>
      <w:pPr>
        <w:jc w:val="both"/>
        <w:ind w:left="860" w:hanging="398"/>
        <w:spacing w:after="0" w:line="266" w:lineRule="auto"/>
        <w:tabs>
          <w:tab w:leader="none" w:pos="860" w:val="left"/>
        </w:tabs>
        <w:numPr>
          <w:ilvl w:val="1"/>
          <w:numId w:val="25"/>
        </w:numPr>
        <w:rPr>
          <w:rFonts w:ascii="Arial" w:cs="Arial" w:eastAsia="Arial" w:hAnsi="Arial"/>
          <w:sz w:val="15"/>
          <w:szCs w:val="15"/>
          <w:color w:val="auto"/>
        </w:rPr>
      </w:pPr>
      <w:r>
        <w:rPr>
          <w:rFonts w:ascii="Arial" w:cs="Arial" w:eastAsia="Arial" w:hAnsi="Arial"/>
          <w:sz w:val="15"/>
          <w:szCs w:val="15"/>
          <w:u w:val="single" w:color="auto"/>
          <w:color w:val="auto"/>
        </w:rPr>
        <w:t>Anti-Monopoly</w:t>
      </w:r>
      <w:r>
        <w:rPr>
          <w:rFonts w:ascii="Arial" w:cs="Arial" w:eastAsia="Arial" w:hAnsi="Arial"/>
          <w:sz w:val="15"/>
          <w:szCs w:val="15"/>
          <w:color w:val="auto"/>
        </w:rPr>
        <w:t>. A number of PRC laws and regulations have established procedures and requirements that could make merger and acquisition activities in China by foreign investors more time consuming and complex. These laws and regulations, which include the Anti-Monopoly Law and the Rules of the Ministry of Commerce on Implementation of Security Review System of Mergers and Acquisitions of Domestic Enterprises by Foreign Investors, impose requirements that in some instances that MOFCOM be notified in advance of, for example, any change-of-control transaction in which a foreign investor takes control of a PRC domestic enterprise. In addition, such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In February 2021, the Anti-Monopoly Committee of the State Council published the Anti-Monopoly Guidelines for the Internet Platform Economy Sector, which stipulate that any concentration of undertakings involving VIEs is subject to anti-monopoly review. Those Guidelines provide more stringent rules for Internet platform operators, including regulations on the use of data and algorithms, technology and platform to commit abusive acts. The Measures for the Security Review for Foreign Investment, which was promulgated jointly by National Development and Reform Commission and MOFCOM effective January 18, 2021, and the Standing Committee on Amending the Anti-Monopoly Law of the People’s Republic of China, which was promulgated by the Standing Committee effective August 1, 2022, delineated provisions concerning the security review procedures on foreign investment, including the types of investments subject to review and the scopes and procedures of the review. ACM Shanghai does not have the concentration of business operators stipulated in the Anti-Monopoly Law, and our operations and activities to date have not otherwise subjected us to restrictive provisions or limitations set forth in applicable PRC laws and regulations govern merger and acquisition activities. Among other things, ACM Shanghai’s business operations do not constitute identified “national defense and security” concerns associated with the arms industry, any industry ancillary to the arms industry, or any other field related to national defense security. We cannot assure you, however, that future changes in PRC laws and regulations governing mergers and acquisitions, including activities in the PRC by foreign investors, will not extend or otherwise modify existing requirements, which could materially and adversely affect our PRC-based operations or our ability to expand by investments or acquisitions.</w:t>
      </w:r>
    </w:p>
    <w:p>
      <w:pPr>
        <w:spacing w:after="0" w:line="167" w:lineRule="exact"/>
        <w:rPr>
          <w:rFonts w:ascii="Arial" w:cs="Arial" w:eastAsia="Arial" w:hAnsi="Arial"/>
          <w:sz w:val="15"/>
          <w:szCs w:val="15"/>
          <w:color w:val="auto"/>
        </w:rPr>
      </w:pPr>
    </w:p>
    <w:p>
      <w:pPr>
        <w:jc w:val="both"/>
        <w:ind w:left="860" w:right="20" w:hanging="437"/>
        <w:spacing w:after="0" w:line="255"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Permits</w:t>
      </w:r>
      <w:r>
        <w:rPr>
          <w:rFonts w:ascii="Arial" w:cs="Arial" w:eastAsia="Arial" w:hAnsi="Arial"/>
          <w:sz w:val="16"/>
          <w:szCs w:val="16"/>
          <w:color w:val="auto"/>
        </w:rPr>
        <w:t>. In the ordinary course of business, ACM Shanghai has obtained all of the permits and licenses it believes are necessary for it to operate in the PRC. ACM Shanghai may be adversely affected, however, by the complexity, uncertainties and changes in PRC laws and regulations applicable to, or otherwise affecting, the semiconductor equipment industry and related businesses, and any lack of requisite approvals, licenses or permits applicable to ACM Shanghai’s business may have a material adverse effect on its business and results of operations.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860" w:hanging="437"/>
        <w:spacing w:after="0" w:line="289" w:lineRule="auto"/>
        <w:tabs>
          <w:tab w:leader="none" w:pos="860" w:val="left"/>
        </w:tabs>
        <w:numPr>
          <w:ilvl w:val="0"/>
          <w:numId w:val="26"/>
        </w:numPr>
        <w:rPr>
          <w:rFonts w:ascii="Arial" w:cs="Arial" w:eastAsia="Arial" w:hAnsi="Arial"/>
          <w:sz w:val="14"/>
          <w:szCs w:val="14"/>
          <w:color w:val="auto"/>
        </w:rPr>
      </w:pPr>
      <w:r>
        <w:rPr>
          <w:rFonts w:ascii="Arial" w:cs="Arial" w:eastAsia="Arial" w:hAnsi="Arial"/>
          <w:sz w:val="14"/>
          <w:szCs w:val="14"/>
          <w:u w:val="single" w:color="auto"/>
          <w:color w:val="auto"/>
        </w:rPr>
        <w:t>Trade Policies</w:t>
      </w:r>
      <w:r>
        <w:rPr>
          <w:rFonts w:ascii="Arial" w:cs="Arial" w:eastAsia="Arial" w:hAnsi="Arial"/>
          <w:sz w:val="14"/>
          <w:szCs w:val="14"/>
          <w:color w:val="auto"/>
        </w:rPr>
        <w:t>. Since 2018, general trade tensions between the United States and the PRC have escalated. See “—Regulatory Risks—</w:t>
      </w:r>
      <w:r>
        <w:rPr>
          <w:rFonts w:ascii="Arial" w:cs="Arial" w:eastAsia="Arial" w:hAnsi="Arial"/>
          <w:sz w:val="14"/>
          <w:szCs w:val="14"/>
          <w:i w:val="1"/>
          <w:iCs w:val="1"/>
          <w:color w:val="auto"/>
        </w:rPr>
        <w:t>Changes in government trade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policies could limit the demand for our tools and increase the cost of our tools” </w:t>
      </w:r>
      <w:r>
        <w:rPr>
          <w:rFonts w:ascii="Arial" w:cs="Arial" w:eastAsia="Arial" w:hAnsi="Arial"/>
          <w:sz w:val="14"/>
          <w:szCs w:val="14"/>
          <w:color w:val="auto"/>
        </w:rPr>
        <w:t>in Item 1A, “Risk Factors” of Part I of this report. The imposition of tariffs by the</w:t>
      </w:r>
      <w:r>
        <w:rPr>
          <w:rFonts w:ascii="Arial" w:cs="Arial" w:eastAsia="Arial" w:hAnsi="Arial"/>
          <w:sz w:val="14"/>
          <w:szCs w:val="14"/>
          <w:i w:val="1"/>
          <w:iCs w:val="1"/>
          <w:color w:val="auto"/>
        </w:rPr>
        <w:t xml:space="preserve"> </w:t>
      </w:r>
      <w:r>
        <w:rPr>
          <w:rFonts w:ascii="Arial" w:cs="Arial" w:eastAsia="Arial" w:hAnsi="Arial"/>
          <w:sz w:val="14"/>
          <w:szCs w:val="14"/>
          <w:color w:val="auto"/>
        </w:rPr>
        <w:t>U.S. and PRC governments and the surrounding economic uncertainty may negatively impact the semiconductor industry, including by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of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Moreover, by imposing industrial policies and other economic measures, such as control of foreign exchange, taxation and foreign investment, the PRC central government exerts considerable direct and indirect influence on the development of the PRC economy. Other political, economic and social factors may also lead to further legal and regulatory changes and reforms, which may adversely affect our operations and business development.</w:t>
      </w:r>
    </w:p>
    <w:p>
      <w:pPr>
        <w:spacing w:after="0" w:line="167" w:lineRule="exact"/>
        <w:rPr>
          <w:sz w:val="20"/>
          <w:szCs w:val="20"/>
          <w:color w:val="auto"/>
        </w:rPr>
      </w:pPr>
    </w:p>
    <w:p>
      <w:pPr>
        <w:jc w:val="both"/>
        <w:ind w:right="20"/>
        <w:spacing w:after="0" w:line="440" w:lineRule="auto"/>
        <w:rPr>
          <w:sz w:val="20"/>
          <w:szCs w:val="20"/>
          <w:color w:val="auto"/>
        </w:rPr>
      </w:pPr>
      <w:r>
        <w:rPr>
          <w:rFonts w:ascii="Arial" w:cs="Arial" w:eastAsia="Arial" w:hAnsi="Arial"/>
          <w:sz w:val="12"/>
          <w:szCs w:val="12"/>
          <w:b w:val="1"/>
          <w:bCs w:val="1"/>
          <w:i w:val="1"/>
          <w:iCs w:val="1"/>
          <w:color w:val="auto"/>
        </w:rPr>
        <w:t>The PRC central government may determine to exert additional control over offerings conducted overseas or foreign investment in PRC-based issuers, which could result in a material change in operations of ACM Shanghai and cause significant declines in the value of ACM Research Class A common stock, or make them worthless.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PRC central government may determine to exert additional control over securities offerings conducted overseas and/or foreign investment in PRC-based issuers, which could result in a material adverse change in operations of ACM Shanghai and cause the value of ACM Research Class A common stock to significantly decline or become worthless. See also “—</w:t>
      </w:r>
      <w:r>
        <w:rPr>
          <w:rFonts w:ascii="Arial" w:cs="Arial" w:eastAsia="Arial" w:hAnsi="Arial"/>
          <w:sz w:val="15"/>
          <w:szCs w:val="15"/>
          <w:i w:val="1"/>
          <w:iCs w:val="1"/>
          <w:color w:val="auto"/>
        </w:rPr>
        <w:t>If any PRC central government authority were to determine that existing PRC laws or regulations require that ACM Shanghai obtain the authority’s</w:t>
      </w:r>
      <w:r>
        <w:rPr>
          <w:rFonts w:ascii="Arial" w:cs="Arial" w:eastAsia="Arial" w:hAnsi="Arial"/>
          <w:sz w:val="15"/>
          <w:szCs w:val="15"/>
          <w:color w:val="auto"/>
        </w:rPr>
        <w:t xml:space="preserve"> </w:t>
      </w:r>
      <w:r>
        <w:rPr>
          <w:rFonts w:ascii="Arial" w:cs="Arial" w:eastAsia="Arial" w:hAnsi="Arial"/>
          <w:sz w:val="15"/>
          <w:szCs w:val="15"/>
          <w:i w:val="1"/>
          <w:iCs w:val="1"/>
          <w:color w:val="auto"/>
        </w:rPr>
        <w:t>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r>
        <w:rPr>
          <w:rFonts w:ascii="Arial" w:cs="Arial" w:eastAsia="Arial" w:hAnsi="Arial"/>
          <w:sz w:val="15"/>
          <w:szCs w:val="15"/>
          <w:color w:val="auto"/>
        </w:rPr>
        <w:t>” above.</w:t>
      </w:r>
    </w:p>
    <w:p>
      <w:pPr>
        <w:spacing w:after="0" w:line="158"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b w:val="1"/>
          <w:bCs w:val="1"/>
          <w:i w:val="1"/>
          <w:iCs w:val="1"/>
          <w:color w:val="auto"/>
        </w:rPr>
        <w:t>We could be adversely affected if we are unable to comply with recent and proposed legislation and regulations regarding improved access to audit and other information and audit inspections of accounting firms, including registered public accounting firms, such as our prior audit firm, operating in the PRC.</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one of the companies named in the SEC’s “Conclusive list of issuers identified under the HFCAA.” BDO China had been our independent registered public accounting firm in recent years, including for the year ended December 31, 2021, and is not inspected by the PCAOB.</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HFCA Act, which became law in December 2020, includes requirements for the SEC to identify issuers whose audit work is performed by auditors that the PCAOB is unable to inspect or investigate completely because of a restriction imposed by a non-U.S. authority in any non-U.S. jurisdiction. The HFCA Act also requires that, to the extent that the PCAOB has been unable to inspect an issuer’s auditor for two consecutive years, the SEC shall prohibit the issuer’s securities registered in the United States from being traded on any national securities exchange or over-the-counter market in the United States.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860" w:hanging="437"/>
        <w:spacing w:after="0" w:line="249"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March 24, 2021, the SEC adopted interim final amendments to implement congressionally mandated submission and disclosure required of the HFCA Act, and on December 2, 2021, the SEC adopted final amendments to finalize rules implementing the submission and disclosures in the HFCA Act. These final amendments apply to registrants that the SEC identifies as having filed an Annual Report on Form 10-K (or certain other forms) with an audit report issued by a registered public accounting firm that is located in a foreign jurisdiction and that the PCAOB has determined it is unable to inspect or investigate completely because of a position taken by any non-U.S. authority.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4" w:lineRule="exact"/>
        <w:rPr>
          <w:rFonts w:ascii="Arial" w:cs="Arial" w:eastAsia="Arial" w:hAnsi="Arial"/>
          <w:sz w:val="16"/>
          <w:szCs w:val="16"/>
          <w:color w:val="auto"/>
        </w:rPr>
      </w:pPr>
    </w:p>
    <w:p>
      <w:pPr>
        <w:jc w:val="both"/>
        <w:ind w:left="860" w:hanging="437"/>
        <w:spacing w:after="0" w:line="283" w:lineRule="auto"/>
        <w:tabs>
          <w:tab w:leader="none" w:pos="8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Furthermore, on June 22, 2021, the U.S. Senate passed the Accelerating Holding Foreign Companies Accountable Act, which was enacted under the Consolidated Appropriations Act, 2023, on December 29, 2022, as further described below, and which amended the HFCA Act to require the SEC to prohibit an issuer’s securities from trading on any national securities exchange or over-the-counter market in the United States if the PCAOB has been unable to inspect an issuer’s auditor for two, rather than three, consecutive years.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any non-U.S. jurisdiction.</w:t>
      </w:r>
    </w:p>
    <w:p>
      <w:pPr>
        <w:spacing w:after="0" w:line="1" w:lineRule="exact"/>
        <w:rPr>
          <w:rFonts w:ascii="Arial" w:cs="Arial" w:eastAsia="Arial" w:hAnsi="Arial"/>
          <w:sz w:val="14"/>
          <w:szCs w:val="14"/>
          <w:color w:val="auto"/>
        </w:rPr>
      </w:pPr>
    </w:p>
    <w:p>
      <w:pPr>
        <w:jc w:val="both"/>
        <w:ind w:left="860" w:hanging="437"/>
        <w:spacing w:after="0" w:line="247"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December 16, 2021, the PCAOB designated China and Hong Kong as jurisdictions where the PCAOB was not allowed to conduct full and complete audit inspections and identified firms registered in such jurisdictions, including BDO China. Pursuant to each annual determination by the PCAOB, the SEC will, on an annual basis, identify issuers that have used non-inspected audit firms.</w:t>
      </w:r>
    </w:p>
    <w:p>
      <w:pPr>
        <w:spacing w:after="0" w:line="1" w:lineRule="exact"/>
        <w:rPr>
          <w:rFonts w:ascii="Arial" w:cs="Arial" w:eastAsia="Arial" w:hAnsi="Arial"/>
          <w:sz w:val="16"/>
          <w:szCs w:val="16"/>
          <w:color w:val="auto"/>
        </w:rPr>
      </w:pPr>
    </w:p>
    <w:p>
      <w:pPr>
        <w:ind w:left="860" w:hanging="437"/>
        <w:spacing w:after="0" w:line="264" w:lineRule="auto"/>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 March 8, 2022, the SEC published its first “Provisional list of issuers identified under the HFCAA.” Our company was identified on the SEC’s provisional list after we filed our Annual Report on Form 10-K for the year ended December 31, 2021, which included an audit report issued by BDO China.</w:t>
      </w:r>
    </w:p>
    <w:p>
      <w:pPr>
        <w:ind w:left="860" w:hanging="437"/>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March 30, 2022, our company was transferred to the SEC’s “Conclusive list of issuers identified under the HFCAA.”</w:t>
      </w:r>
    </w:p>
    <w:p>
      <w:pPr>
        <w:spacing w:after="0" w:line="6" w:lineRule="exact"/>
        <w:rPr>
          <w:rFonts w:ascii="Arial" w:cs="Arial" w:eastAsia="Arial" w:hAnsi="Arial"/>
          <w:sz w:val="16"/>
          <w:szCs w:val="16"/>
          <w:color w:val="auto"/>
        </w:rPr>
      </w:pPr>
    </w:p>
    <w:p>
      <w:pPr>
        <w:jc w:val="both"/>
        <w:ind w:left="860" w:hanging="437"/>
        <w:spacing w:after="0" w:line="264" w:lineRule="auto"/>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 August 26, 2022, the PCAOB signed a Statement of Protocol, or SOP, Agreement with the CSRC and China’s Ministry of Finance. The SOP, together with two protocol agreements governing inspections and investigation, establishes a specific, accountable framework to make possible complete inspections and investigations by the PCAOB of audit firms based in China and Hong Kong, as required under U.S. law. Pursuant to the fact sheet with respect to the SOP disclosed by the SEC, the PCAOB has sole discretion to select the audit firms, engagements and potential violations that it inspects or investigates and has the ability to transfer information to the SEC in the normal course. PCAOB inspectors and investigators can view all audit documentation without redaction, and the PCAOB can retain any audit information it reviews as needed to support the findings of its inspections and investigations. In addition, the SOP allows the PCAOB to interview and take testimony of personnel associated with the audits that the PCAOB inspects or investigates.</w:t>
      </w:r>
    </w:p>
    <w:p>
      <w:pPr>
        <w:spacing w:after="0" w:line="1" w:lineRule="exact"/>
        <w:rPr>
          <w:rFonts w:ascii="Arial" w:cs="Arial" w:eastAsia="Arial" w:hAnsi="Arial"/>
          <w:sz w:val="15"/>
          <w:szCs w:val="15"/>
          <w:color w:val="auto"/>
        </w:rPr>
      </w:pPr>
    </w:p>
    <w:p>
      <w:pPr>
        <w:jc w:val="both"/>
        <w:ind w:left="860" w:hanging="437"/>
        <w:spacing w:after="0" w:line="283" w:lineRule="auto"/>
        <w:tabs>
          <w:tab w:leader="none" w:pos="8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December 15, 2022, the PCAOB announced that it was able to secure complete access to inspect and investigate PCAOB-registered public accounting firms headquartered in the PRC and Hong Kong in 2022 and vacated its previous December 16, 2021 determination to the contrary. However, whether the PCAOB will continue to be able to satisfactorily conduct inspections of PCAOB-registered public accounting firms headquartered in the PRC and Hong Kong is subject to uncertainty and depends on a number of factors out of our, and our auditor’s, control. PRC authorities will need to ensure that the PCAOB continues to have full access for inspections and investigations in 2023 and beyond. Each year, the PCAOB will determine whether it can inspect and investigate completely audit firms in the PRC and Hong Kong, among other jurisdictions. If the PRC authorities do not allow the PCAOB complete access for inspections and investigations for two consecutive years, the SEC would prohibit trading in the securities of issuers engaging those audit firms, as required under the HFCA Act.</w:t>
      </w:r>
    </w:p>
    <w:p>
      <w:pPr>
        <w:spacing w:after="0" w:line="1" w:lineRule="exact"/>
        <w:rPr>
          <w:rFonts w:ascii="Arial" w:cs="Arial" w:eastAsia="Arial" w:hAnsi="Arial"/>
          <w:sz w:val="14"/>
          <w:szCs w:val="14"/>
          <w:color w:val="auto"/>
        </w:rPr>
      </w:pPr>
    </w:p>
    <w:p>
      <w:pPr>
        <w:jc w:val="both"/>
        <w:ind w:left="860" w:right="20" w:hanging="437"/>
        <w:spacing w:after="0" w:line="270" w:lineRule="auto"/>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Per current regulations, if ACM Research were to appear for two consecutive years on the “Conclusive list of issuers identified under the HFCAA”, the value of our securities may significantly decline or become worthless, and our securities would be prohibited from trading and may eventually be delisted. It also remains unclear what further actions the SEC, the PCAOB or Nasdaq may take to address these issues and what impact those actions will have on U.S. companies, such as ours, that have significant operations in the PRC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spacing w:after="0" w:line="155" w:lineRule="exact"/>
        <w:rPr>
          <w:sz w:val="20"/>
          <w:szCs w:val="20"/>
          <w:color w:val="auto"/>
        </w:rPr>
      </w:pPr>
    </w:p>
    <w:p>
      <w:pPr>
        <w:jc w:val="both"/>
        <w:ind w:right="20" w:firstLine="40"/>
        <w:spacing w:after="0" w:line="255" w:lineRule="auto"/>
        <w:rPr>
          <w:sz w:val="20"/>
          <w:szCs w:val="20"/>
          <w:color w:val="auto"/>
        </w:rPr>
      </w:pPr>
      <w:r>
        <w:rPr>
          <w:rFonts w:ascii="Arial" w:cs="Arial" w:eastAsia="Arial" w:hAnsi="Arial"/>
          <w:sz w:val="16"/>
          <w:szCs w:val="16"/>
          <w:color w:val="auto"/>
        </w:rPr>
        <w:t>Notwithstanding the foregoing, on June 30, 2022, stockholders of ACM Research ratified the appointment of Armanino LLP as our independent auditor for the fiscal year ended December 31, 2022. Armanino LLP is neither headquartered in the PRC or Hong Kong nor was it subject to the determinations announced by the PCAOB on December 16, 2021, which determinations were vacated by the PCAOB on December 15, 2022, and subsequent to the filing of this report, we do not believe ACM Research will appear on the “Conclusive list of issuers identified under the HFCAA” for a second time.</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It may be difficult for overseas regulators to conduct investigations or collect evidence within the PRC.</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Stockholder claims or regulatory investigations that are common in the United States generally are difficult to pursue as a matter of law or practicality in the PRC. For example, in the PRC, there are significant legal and other obstacles to providing information needed for regulatory investigations or litigation initiated outside of the PRC. Although the authorities in the PRC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implementing rules under Article 177 have yet to be promulgated, the inability for an overseas securities regulator to directly conduct investigation or evidence collection activities within the PRC may further increase difficulties faced by you in protecting your interests.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Because certain of our assets are located outside of the United States and certain of our directors and officers reside outside of the United States, it may be difficult for you to enforce your rights based on the U.S. federal securities laws against such assets or officers and directors or to enforce a judgment of a United States court against assets or officers and directors in the PRC.</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While ACM Research is a Delaware corporation, certain of our officers and directors are nonresidents of the United States, and certain of our assets are located in the PRC, and the operations of ACM Shanghai are conducted in the PRC. It may, therefore, not be possible to effect service of process on such persons in the United States, and it may be difficult to enforce any judgments rendered against them or any of our assets that are located overseas. Moreover, there is doubt whether courts in the PRC would enforce (a) judgments of United States courts against ACM Shanghai, our directors or officers based on the civil liability provisions of the securities laws of the United States or any state, or (b) in original actions brought in the PRC, liabilities against us or any nonresidents based upon the securities laws of the United States or any state.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Substantially all of our sales in 2022, 2021 and 2020 were made to customers outside the United States. Our manufacturing center has been located in Shanghai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60" w:right="20" w:hanging="280"/>
        <w:spacing w:after="0" w:line="255"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imposition of, or adverse changes in, foreign laws or regulatory requirements, such as work stoppages and travel restrictions imposed in connection with the COVID-19 pandemic;</w:t>
      </w: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need to comply with the import laws and regulations of various foreign jurisdictions, including a range of U.S. import laws;</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potentially adverse tax consequences, including withholding tax rules that may limit the repatriation of our earnings, and higher effective income tax rates in foreign countries where we conduct business;</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competition from local suppliers with which potential customers may prefer to do business;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seasonal reduction in business activity, such as during the Lunar New Year in parts of Asia and in other periods in various individual countries;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increased exposure to foreign currency exchange rates;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reduced protection for intellectual property;</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longer sales cycles and reliance on indirect sales in certain regions;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increased length of time for shipping and acceptance of our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greater difficulty in responding to customer requests for maintenance and spare parts on a timely basis;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greater difficulty in enforcing contracts and accounts receivable collection and longer collection periods;</w:t>
      </w:r>
    </w:p>
    <w:p>
      <w:pPr>
        <w:spacing w:after="0" w:line="6" w:lineRule="exact"/>
        <w:rPr>
          <w:rFonts w:ascii="Arial" w:cs="Arial" w:eastAsia="Arial" w:hAnsi="Arial"/>
          <w:sz w:val="16"/>
          <w:szCs w:val="16"/>
          <w:color w:val="auto"/>
        </w:rPr>
      </w:pPr>
    </w:p>
    <w:p>
      <w:pPr>
        <w:ind w:left="560" w:hanging="280"/>
        <w:spacing w:after="0" w:line="247"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 and the increased travel, infrastructure and legal and compliance costs associated with multiple international locations;</w:t>
      </w:r>
    </w:p>
    <w:p>
      <w:pPr>
        <w:spacing w:after="0" w:line="1" w:lineRule="exact"/>
        <w:rPr>
          <w:rFonts w:ascii="Arial" w:cs="Arial" w:eastAsia="Arial" w:hAnsi="Arial"/>
          <w:sz w:val="16"/>
          <w:szCs w:val="16"/>
          <w:color w:val="auto"/>
        </w:rPr>
      </w:pPr>
    </w:p>
    <w:p>
      <w:pPr>
        <w:ind w:left="560" w:hanging="280"/>
        <w:spacing w:after="0" w:line="247"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1" w:lineRule="exact"/>
        <w:rPr>
          <w:rFonts w:ascii="Arial" w:cs="Arial" w:eastAsia="Arial" w:hAnsi="Arial"/>
          <w:sz w:val="16"/>
          <w:szCs w:val="16"/>
          <w:color w:val="auto"/>
        </w:rPr>
      </w:pPr>
    </w:p>
    <w:p>
      <w:pPr>
        <w:ind w:left="560" w:right="20" w:hanging="280"/>
        <w:spacing w:after="0" w:line="255"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6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particular, the Asian market is extremely competitive, and chip manufacturers may be aggressive in seeking price concessions from suppliers, including chip equipment manufacturers.</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 in foreign currency exchange rates may adversely affect our results of operations and financial position.</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South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15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The exacerbation or further continuation of currently challenging global systemic economic and financial conditions could adversely affect our business, results of operations and financial condition.</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Any prolonged slowdown in the PRC, United States or global economy may have a negative impact on our business, results of operations and financial condition. Market reactions to the global outbreak of COVID-19 have negatively affected the world’s financial markets since March 2020, and a continuation of those reactions may cause a potential slowdown of the local, regional and global economy. Financial and other markets in the United States and worldwide have experienced significant volatility reflecting uncertainty over, among other things, (a) the long-term effects of the expansionary monetary and fiscal policies adopted by the central banks and financial authorities of some of the world’s leading economies, including the United States and the PRC, (b) unrest in Ukraine, the Middle East and Africa, and (c) the rising level of inflation in major industrial countries, including the United States, and worries that efforts to curb inflation may result in an economic recession. General inflation, including rising energy prices, interest rates and wages, could adversely impact our business by increasing our operating and borrowing costs as well as limiting the amount of capital available for customers to purchase our products. This economic turmoil has had, and could continue to have, a number of repercussions on our business, including significant decreases in orders from our customers, business slowdowns or cessations at key suppliers resulting in delays in our product deliveries, increased raw material prices leading to increased production costs that we may not be able to pass onto customers, and business challenges at customers resulting in the inability to obtain credit to finance purchases of our products or even insolvency, and counterparty failures negatively impacting our operations and sales. Any systemic economic or financial crisis could cause revenues for the semiconductor industry as a whole to decline dramatically, which could materially and adversely affect our results of operations.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Our Industry</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We may need to raise funds in the future, depending on many factors, including:</w:t>
      </w:r>
    </w:p>
    <w:p>
      <w:pPr>
        <w:spacing w:after="0" w:line="17" w:lineRule="exact"/>
        <w:rPr>
          <w:sz w:val="20"/>
          <w:szCs w:val="20"/>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sales growth;</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of applying our existing technologies to new or enhanced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of developing new technologies and introducing new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w:t>
      </w:r>
    </w:p>
    <w:p>
      <w:pPr>
        <w:spacing w:after="0" w:line="6" w:lineRule="exact"/>
        <w:rPr>
          <w:rFonts w:ascii="Arial" w:cs="Arial" w:eastAsia="Arial" w:hAnsi="Arial"/>
          <w:sz w:val="16"/>
          <w:szCs w:val="16"/>
          <w:color w:val="auto"/>
        </w:rPr>
      </w:pPr>
    </w:p>
    <w:p>
      <w:pPr>
        <w:ind w:left="560" w:hanging="280"/>
        <w:spacing w:after="0" w:line="247"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associated with our expansion, including capital expenditures and Lingang-related land purchases and deposits, and with increasing our sales and marketing and service and support efforts, and with expanding our geographic operations;</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continue to obtain governmental subsidies for developmental projects in the future;</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future debt repayment obligations;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and timing of any future acquisitions.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Proceeds received by ACM Shanghai from the initial placements of shares with PRC investors and from the STAR IPO, in connection with the STAR Listing, of ACM Shanghai shares on the STAR Market will be used to grow and support our PRC operations. Those proceeds generally are not available for distribution to ACM Research. Under existing PRC laws and regulations, it may be difficult, if not impossible, for ACM Research to be able to receive dividends comprised of funds generated by ACM Shanghai and, even if such dividends can be paid from the PRC to the United States, any such dividends can be paid to ACM Research only if other holders of ACM Shanghai shares receive their pro rata dividends. As a result, it is unlikely that funds raised or generated by ACM Shanghai will be readily distributable to ACM Research.</w:t>
      </w:r>
    </w:p>
    <w:p>
      <w:pPr>
        <w:spacing w:after="0" w:line="141"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can be difficult to predict and can fluctuate substantially, which could result in volatility in the price of Class A common stock.</w:t>
      </w:r>
    </w:p>
    <w:p>
      <w:pPr>
        <w:spacing w:after="0" w:line="208"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2" w:lineRule="exact"/>
        <w:rPr>
          <w:sz w:val="20"/>
          <w:szCs w:val="20"/>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cyclicality of the semiconductor industry and the related impact on the purchase of equipment used in the manufacture of chips;</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purchases of our tools by chip fabricators, which order types of tools based on multi-year capital plans under which the number and dollar amount of tool purchases can vary significantly from year to year;</w:t>
      </w:r>
    </w:p>
    <w:p>
      <w:pPr>
        <w:spacing w:after="0" w:line="1" w:lineRule="exact"/>
        <w:rPr>
          <w:rFonts w:ascii="Arial" w:cs="Arial" w:eastAsia="Arial" w:hAnsi="Arial"/>
          <w:sz w:val="16"/>
          <w:szCs w:val="16"/>
          <w:color w:val="auto"/>
        </w:rPr>
      </w:pPr>
    </w:p>
    <w:p>
      <w:pPr>
        <w:ind w:left="560" w:right="20" w:hanging="280"/>
        <w:spacing w:after="0" w:line="264" w:lineRule="auto"/>
        <w:tabs>
          <w:tab w:leader="none" w:pos="5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significant expenditures required to customize our products often exceed the deposits received from our customers;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lead time required to manufacture our tools;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recognizing revenue due to the timing of shipment and acceptance of our tools;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sell additional tools to existing customers;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changes in customer specifications or requirements;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length of our product sales cycle;</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our product mix, including the mix of systems, upgrades, spare parts and service;</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our product releases or upgrades or announcements of product releases or upgrades by us or our competitors, including changes in customer orders in anticipation of new products or product enhancements;</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enhance our tools with new and better functionality that meet customer requirements and changing industry trends;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constraints on our suppliers’ capacity;</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sell our tools to Chinese customers due to regulatory restrictions, including the addition of our customers to the Entity List;</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of other suppliers to provide sufficient quantities of their tools to our Chinese customers which may indirectly impact the production plans of our customers and result in a reduction of demand for our tools;</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investments in research and development related to releasing new applications of our technologies and new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delays in the development and manufacture of our new products and upgraded versions of our products and the market acceptance of these products when introduced;</w:t>
      </w:r>
    </w:p>
    <w:p>
      <w:pPr>
        <w:spacing w:after="0" w:line="29" w:lineRule="exact"/>
        <w:rPr>
          <w:rFonts w:ascii="Arial" w:cs="Arial" w:eastAsia="Arial" w:hAnsi="Arial"/>
          <w:sz w:val="14"/>
          <w:szCs w:val="14"/>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control costs, including operating expenses and the costs of the components and subassemblies used in our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costs related to the acquisition and integration of product lines, technologies or businesses;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or Lunar,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15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 For example, certain industry analysts, such as Gartner, forecast a downturn in 2023 for global WFE investments, as further described in “Item 1. Business”. We cannot reasonably estimate the duration or impact of such a downturn, and it could have a material adverse effect on our business and the value of our Class A common stock.</w:t>
      </w:r>
    </w:p>
    <w:p>
      <w:pPr>
        <w:spacing w:after="0" w:line="173"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PRC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4"/>
          <w:szCs w:val="14"/>
          <w:b w:val="1"/>
          <w:bCs w:val="1"/>
          <w:i w:val="1"/>
          <w:iCs w:val="1"/>
          <w:color w:val="auto"/>
        </w:rPr>
        <w:t>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The chip manufacturing industry is highly concentrated, and we derive most of our revenue from a limited number of customers. A total of three customers accounted for 43.8% of our revenue in 2022, two customers accounted for 48.9% of our revenue in 2021, and three customers accounted for 75.8% of our revenue in 2020.</w:t>
      </w:r>
    </w:p>
    <w:p>
      <w:pPr>
        <w:spacing w:after="0" w:line="13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98" w:lineRule="auto"/>
        <w:rPr>
          <w:sz w:val="20"/>
          <w:szCs w:val="20"/>
          <w:color w:val="auto"/>
        </w:rPr>
      </w:pPr>
      <w:r>
        <w:rPr>
          <w:rFonts w:ascii="Arial" w:cs="Arial" w:eastAsia="Arial" w:hAnsi="Arial"/>
          <w:sz w:val="14"/>
          <w:szCs w:val="14"/>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41"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will depend on industry chip manufacturers adopting our SAPS, TEBO, Tahoe, ECP, furnace and other technologies.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TEBO, Tahoe, ECP, furnace and other technologies.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SAPS, TEBO, Tahoe, ECP, furnace and other technologies do not achieve widespread market acceptance, we will not be able to compete effectively.</w:t>
      </w:r>
    </w:p>
    <w:p>
      <w:pPr>
        <w:spacing w:after="0" w:line="20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commercial success of our tools will depend, in part, on gaining substantial market acceptance by chip manufacturers. Our ability to gain acceptance for our products will depend upon a number of factors, including:</w:t>
      </w:r>
    </w:p>
    <w:p>
      <w:pPr>
        <w:ind w:left="560" w:right="20" w:hanging="280"/>
        <w:spacing w:after="0" w:line="247"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demonstrate the differentiated, innovative nature of our SAPS, TEBO, Tahoe, ECP, furnace and other technologies and the advantages of our tools over those of our competitors;</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compatibility of our tools with existing or potential customers’ manufacturing processes and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level of customer service available to support our products;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experiences our customers have with our products.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Tahoe, ECP, furnace and other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3" w:lineRule="exact"/>
        <w:rPr>
          <w:sz w:val="20"/>
          <w:szCs w:val="20"/>
          <w:color w:val="auto"/>
        </w:rPr>
      </w:pPr>
    </w:p>
    <w:p>
      <w:pPr>
        <w:ind w:left="560" w:hanging="280"/>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accurate anticipation of market requirements, changes in technology and evolving standards;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and availability of suppliers and third-party manufacturers to manufacture and deliver the critical components and subassemblies of our tools in a timely manner;</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market acceptance of our customers’ products, and the lifecycle of those products;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deliver products in a timely manner within our customers’ product planning and deployment cycle.</w:t>
      </w:r>
    </w:p>
    <w:p>
      <w:pPr>
        <w:spacing w:after="0" w:line="18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will depend on our ability to identify and enter new product markets.</w:t>
      </w:r>
    </w:p>
    <w:p>
      <w:pPr>
        <w:spacing w:after="0" w:line="19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We expect to spend a significant amount of time and resources identifying new product markets in addition to the market for cleaning solutions and in developing new products for entry into these markets.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14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17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156"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chip equipment industry is highly competitive, and we face substantial competition throughout the world in each of the markets we serve. Many of our current and potential competitors have, among other things:</w:t>
      </w:r>
    </w:p>
    <w:p>
      <w:pPr>
        <w:ind w:left="560" w:hanging="280"/>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greater financial, technical, sales and marketing, manufacturing, distribution and other resources;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established credibility and market reputations;</w:t>
      </w:r>
    </w:p>
    <w:p>
      <w:pPr>
        <w:spacing w:after="0" w:line="17"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longer operating histories;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broader product offerings;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more extensive service offerings, including the ability to have large inventories of spare parts available near, or even at, customer locations;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local sales forces;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more extensive geographic coverage.</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accordance with industry practice, our sales are on a purchase order basis, which we seek to obtain three to four months in advance of the expected product delivery date. Until a purchase order is received, we do not have a binding purchase commitment. Our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4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a significant amount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duration or ultimate success of our sales cycle depends on factors such as:</w:t>
      </w:r>
    </w:p>
    <w:p>
      <w:pPr>
        <w:spacing w:after="0" w:line="17" w:lineRule="exact"/>
        <w:rPr>
          <w:sz w:val="20"/>
          <w:szCs w:val="20"/>
          <w:color w:val="auto"/>
        </w:rPr>
      </w:pPr>
    </w:p>
    <w:p>
      <w:pPr>
        <w:ind w:left="560" w:hanging="28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efforts by our sales force;</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complexity of our customers’ manufacturing processes and the compatibility of our tools with those processes;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customers’ internal technical capabilities and sophistication;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customers’ capital spending plans and processes, including budgetary constraints, internal approvals, extended negotiations or administrative delays.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Difficulties in forecasting demand for our tools may lead to periodic inventory shortages or excess spending on inventory items that may not be used.</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 failure to prevent inventory shortages or accurately predict customers’ needs could result in decreased revenue and gross margins and harm our business.</w:t>
      </w:r>
    </w:p>
    <w:p>
      <w:pPr>
        <w:spacing w:after="0" w:line="19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tools contain defects or do not meet customer specifications, we could lose customers and revenue.</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Highly complex tools such as ours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1" w:lineRule="exact"/>
        <w:rPr>
          <w:sz w:val="20"/>
          <w:szCs w:val="20"/>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customers may delay or reject acceptance of our tools that contain defects or fail to meet their specifications;</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suffer customer dissatisfaction, negative publicity and reputational damage, resulting in reduced orders or otherwise damaging our ability to retain existing customers and attract new customers;</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incur substantial costs as a result of warranty claims or service obligations or in order to enhance the reliability of our tools;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attention of our technical and management resources may be diverted;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required to replace defective systems or invest significant capital to resolve these problems;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required to write off inventory and other assets related to our tools.</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Warranty claims in excess of our estimates could adversely affect our business.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We have provided warranties against manufacturing defects of our tools that range from 12 to 36 months in duration. Our product warranty requires us to provide labor and parts necessary to repair defects. As of December 31, 2022, we had accrued $8.8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15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reliance on third parties and lack of control could result in shortages or quality assurance problems. In addition, supply chain constraints have intensified due to a variety of factors, including the ongoing COVID-19 pandemic and the June 2022 truck driver strike in South Korea, where certain of our operations and customers are located. See also “—Our supply chain may be materially adversely impacted due to global events, including continuing COVID-19 outbreaks, transportation delays and the armed conflict in Ukraine.” These issues and our ability to manage increased demand could delay shipments of our tools, increase our testing or production costs or lead to costly failure claims.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1" w:lineRule="exact"/>
        <w:rPr>
          <w:sz w:val="20"/>
          <w:szCs w:val="20"/>
          <w:color w:val="auto"/>
        </w:rPr>
      </w:pPr>
    </w:p>
    <w:p>
      <w:pPr>
        <w:ind w:left="560" w:hanging="28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price increases;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capacity shortages or other inability to meet any increase in demand for our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reduced control over manufacturing process for components and subassemblies and delivery schedules;</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increased exposure to potential misappropriation of our intellectual property;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limited warranties on subassemblies and components supplied to us.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167" w:lineRule="exact"/>
        <w:rPr>
          <w:sz w:val="20"/>
          <w:szCs w:val="20"/>
          <w:color w:val="auto"/>
        </w:rPr>
      </w:pPr>
    </w:p>
    <w:p>
      <w:pPr>
        <w:jc w:val="both"/>
        <w:ind w:right="20"/>
        <w:spacing w:after="0" w:line="196" w:lineRule="exact"/>
        <w:rPr>
          <w:sz w:val="20"/>
          <w:szCs w:val="20"/>
          <w:color w:val="auto"/>
        </w:rPr>
      </w:pPr>
      <w:r>
        <w:rPr>
          <w:rFonts w:ascii="Arial" w:cs="Arial" w:eastAsia="Arial" w:hAnsi="Arial"/>
          <w:sz w:val="16"/>
          <w:szCs w:val="16"/>
          <w:b w:val="1"/>
          <w:bCs w:val="1"/>
          <w:i w:val="1"/>
          <w:iCs w:val="1"/>
          <w:color w:val="auto"/>
        </w:rPr>
        <w:t>Our supply chain may be materially adversely impacted due to global events, including continuing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19 outbreaks, transportation delays and the armed conflict in Ukraine.</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rely upon the facilities of our global suppliers with operations in the PRC, Japan, Taiwan and the United States to support our business. We source the substantial majority of our components from Asia, and as a result, our supply chain can be adversely affected by a variety of global events, including COVID-19 restrictions (see “Risks Related to the COVID-19 Pandemic—Substantially all of our operations, as well as significant operations of a number of our key customers, are located in areas of the PRC impacted by the COVID-19 pandemic, and our operations have been, and may continue to be, adversely affected by the effects of PRC restrictions imposed as the result of COVID-19”), transportation delays, including those related to the June 2022 truck driver strike in South Korea resulting from escalated fuel prices, and the armed conflict in Ukraine. As a result of these types of global events and resulting governmental and business reactions, our suppliers may not have the materials, capacity, or capability to supply our components according to our schedule and specifications. Further, there may be logistics issues, including our ability and our supply chain’s ability to quickly ramp up production, labor issues and transportation demands that may cause further delays. Supply chain constraints have intensified due to COVID-19 and may further intensify due to other global events, contributing to existing global shortages coupled with increased demand in the supply of semiconductors. The unavailability of any component or supplier could result in production delays, underutilized facilities, and loss of access to critical raw materials and parts for producing and supporting our tools, and could impact our ongoing capacity expansion and our ability to fulfill our product delivery obligations.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These types of disruptions and governmental restrictions may also result in the inability of our customers to obtain materials necessary for their full production, which could also result in reduced demand for our products. While disruptions and governmental restrictions, as well as related general limitations on movement around the world, are expected to be temporary, the duration of the production and supply chain disruption, and related financial impact, cannot be estimated at this time. Should the production and distribution closures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may reduce or even halt those customers’ production and result in a decrease in the demand for our products.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ability of our manufacturers to supply our tools is dependent, in part, upon the availability of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17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Ninebell Co., Ltd., or Ninebell, as the principal supplier of robotic delivery system subassemblies used in our single-wafer cleaning equipment; and Advanced Electric Co. Inc., as a key supplier of valves used in our single-wafer cleaning equipment. An adverse change to our relationship with any of these suppliers would disrupt our production of single-wafer cleaning equipment and could cause substantial harm to our business.</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68"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business will depend on our ability to manage any future growth.</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experienced rapid growth in our business recently due, in part, to an expansion of our product offerings and an increase in the number of customers that we serve. For example, our headcount grew by 38% in 2022, 62% in 2021, and 50% in 2020.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5" w:lineRule="exact"/>
        <w:rPr>
          <w:sz w:val="20"/>
          <w:szCs w:val="20"/>
          <w:color w:val="auto"/>
        </w:rPr>
      </w:pPr>
    </w:p>
    <w:p>
      <w:pPr>
        <w:ind w:left="560" w:right="20" w:hanging="280"/>
        <w:spacing w:after="0" w:line="247" w:lineRule="auto"/>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hire, train, integrate and manage additional qualified engineers for research and development activities, sales and marketing personnel, service and support personnel and financial and information technology personnel;</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manage multiple relationships with our customers, suppliers and other third parties;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continue to enhance our information technology infrastructure, systems and controls.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organizational structure has become more complex, including as a result of the STAR Listing and the STAR IPO. We will need to continue to scale and adapt our operational, financial and management controls, as well as our reporting systems and procedures, at both ACM Research and ACM Shanghai. The continued expansion of our infrastructure will require us to commit substantial financial, operational and management resources before our revenue increases and without any assurances that our revenue will increase.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highly dependent on our Chief Executive Officer and President and other senior management and key employees.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Our success largely depends on the skills, experience and continued efforts of our management, technical and sales personnel, including in particular Dr. David H. Wang, the Chair of the Board, Chief Executive Officer and President of ACM Research. All of our senior management are at-will employees, which means either we or the employee may terminate their employment at any time. If one or more of our other senior management personnel were unable or unwilling to continue their employment with us, we may not be able to replace them in a timely manner. Moreover, in connection with the STAR Listing and the STAR IPO, ACM Shanghai is now managed by a group of officers separate from those of ACM Research and those officers owe fiduciary duties to the various stakeholders of ACM Shanghai. We do not have employment or retention agreements with, or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The loss of Dr. Wang or other key management personnel, including our Chief Financial Officer, could significantly delay or prevent the achievement of our business objectives.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certain U.S. and state net operating loss carryforwards may be limited under applicable tax laws.</w:t>
      </w:r>
    </w:p>
    <w:p>
      <w:pPr>
        <w:spacing w:after="0" w:line="19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of December 31, 2022, we had net operating loss carryforward amounts, or NOLs, of $4.4 million for U.S. federal income tax purposes and $0.5 million for U.S. state income tax purposes. As of December 31, 2021, we had NOLs of $56.1 million for U.S. federal income tax purposes and $0.5 million for U.S. state income tax purposes. The federal and state NOLs will expire at various dates in the future.</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our follow-on public offering in August 2019, and any future equity issuances.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that we pursue in the future, whether or not consummated, could result in other operating and financial difficulties.</w:t>
      </w:r>
    </w:p>
    <w:p>
      <w:pPr>
        <w:spacing w:after="0" w:line="196"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3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2" w:lineRule="exact"/>
        <w:rPr>
          <w:sz w:val="20"/>
          <w:szCs w:val="20"/>
          <w:color w:val="auto"/>
        </w:rPr>
      </w:pP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acquired product lines, technologies or businesses may not improve our financial and strategic position as planned;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may determine we have overpaid for the product lines, technologies or businesses, or that the economic conditions underlying our acquisition have changed;</w:t>
      </w:r>
    </w:p>
    <w:p>
      <w:pPr>
        <w:spacing w:after="0" w:line="17" w:lineRule="exact"/>
        <w:rPr>
          <w:rFonts w:ascii="Arial" w:cs="Arial" w:eastAsia="Arial" w:hAnsi="Arial"/>
          <w:sz w:val="15"/>
          <w:szCs w:val="15"/>
          <w:color w:val="auto"/>
        </w:rPr>
      </w:pP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have difficulty integrating the operations and personnel of the acquired company;</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have difficulty retaining the employees with the technical skills needed to enhance and provide services with respect to the acquired product lines or technologies;</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acquisition may be viewed negatively by customers, employees, suppliers, financial markets or investors;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have difficulty incorporating the acquired product lines or technologies with our existing technologies;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encounter a competitive response, including price competition or intellectual property litigation;</w:t>
      </w:r>
    </w:p>
    <w:p>
      <w:pPr>
        <w:spacing w:after="0" w:line="6" w:lineRule="exact"/>
        <w:rPr>
          <w:rFonts w:ascii="Arial" w:cs="Arial" w:eastAsia="Arial" w:hAnsi="Arial"/>
          <w:sz w:val="16"/>
          <w:szCs w:val="16"/>
          <w:color w:val="auto"/>
        </w:rPr>
      </w:pPr>
    </w:p>
    <w:p>
      <w:pPr>
        <w:ind w:left="560" w:right="20" w:hanging="280"/>
        <w:spacing w:after="0" w:line="264" w:lineRule="auto"/>
        <w:tabs>
          <w:tab w:leader="none" w:pos="5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may encounter difficulties related to required CFIUS approval (see also “-Regulatory Risks-Certain of our investments may be subject to review by and approval from CFIUS, which may prevent us from taking advantage of investment opportunities that would otherwise be advantageous to our stockholders”);</w:t>
      </w: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incur one-time write-offs, such as acquired in-process research and development costs, and restructuring charges;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acquire goodwill and other intangible assets that are subject to impairment tests, which could result in future impairment charges;</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ongoing business and management’s attention may be disrupted or diverted by transition or integration issues and the complexity of managing geographically or culturally diverse enterprises; and</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due diligence process may fail to identify significant existing issues with the target business.</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1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decline in demand for our products;</w:t>
      </w:r>
    </w:p>
    <w:p>
      <w:pPr>
        <w:spacing w:after="0" w:line="17"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in reserves on accounts receivable due to our customers’ inability to pay us;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in reserves on inventory balances due to excess or obsolete inventory as a result of our inability to sell such inventory;</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valuation allowances on deferred tax assets;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restructuring charges;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asset impairments including the potential impairment of goodwill and other intangible assets;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decline in the value of our investments;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decline in the value of certain facilities we lease to less than our residual value guarantee with the lessor;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challenges maintaining reliable and uninterrupted sources of supply.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Risks</w:t>
      </w:r>
    </w:p>
    <w:p>
      <w:pPr>
        <w:spacing w:after="0" w:line="20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Our ability to sell our tools to customers in the PRC has been impacted, and will likely continue to be materially and adversely impacted, by export license requirements, other regulatory changes, or other actions taken by the U.S. or other governmental agencies.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recently imposed, and may continue to impose, additional restrictions under the EAR on certain exports to the PRC, including restrictions targeting the semiconductor manufacturing industry in the PRC. Many of these restrictions were imposed through licensing requirements with a presumption of denial. These types of restrictions may impact the operations of ACM Shanghai.</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the new regulations, BIS imposed a series of restrictions on exports of designated products and exports for specified end uses and end users in connection with the supercomputer, artificial intelligence, integrated circuit (IC) and semiconductor manufacturing sectors in the PRC. These new restrictions have impacted the procurement by ACM Shanghai of certain items from the U.S. for use in manufacturing its products and, depending on the details of the final implementation of these new restrictions and associated licensing policies, will likely continue to limit to an undetermined extent ACM Shanghai’s ability to supply its products to certain end users and for certain end uses in the PRC.</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Alongside these new restrictions, BIS has also continued to designate additional PRC entities, many involved in the semiconductor manufacturing industry, on restricted party lists under the EAR, such as the Entity List and the Unverified List. These designations impose licensing requirements for the supply of products to such entities. In most cases, any items subject to the EAR, including foreign produced products with specified U.S. content, now require an export license from BIS before they can be supplied to the newly listed PRC entities, regardless of their export classification. In December 2020, SMIC, one of the largest chip manufacturers in the PRC and one of our key customers, was one of numerous entities added to the Entity List. Challenges faced by SMIC and its key suppliers as a result of the listing have indirectly impacted SMIC’s demand for, and ACM Shanghai’s ability to supply, ACM Shanghai products. More recently, in October 2022, YMTC, a leading PRC memory chip company and one of our key customers,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In December 2022, YMTC was moved from the Unverified List to the Entity List. Challenges faced by YMTC and its key suppliers as a result of the listing could indirectly impact YMTC’s demand for, or ACM Shanghai’s ability to supply, ACM Shanghai products.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Also in October 2022, BIS announced new rules that significantly expanded U.S. export controls as applied to advanced IC products, related manufacturing equipment and technology, and supercomputers, where the destination or ultimate end user is based in the PRC. In the case of semiconductor manufacturing equipment, the new rules require an export license for the export, re-export, or transfer to or within the PRC of additional types of semiconductor manufacturing equipment, items for use in manufacturing designated types of semiconductor manufacturing equipment, and semiconductor manufacturing equipment for use at certain IC manufacturing and development facilities in the PRC. License applications for these exports are reviewed under a presumption of denial. In addition, BIS imposed new restrictions by which U.S. persons anywhere in the world are effectively barred from engaging in certain activities related to the development and production of semiconductors at PRC fabrication facilities meeting specified criteria, even if no items subject to the EAR are involved.</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ACM Shanghai has determined that several of its customers have PRC-based facilities that meet the restricted criteria, and has also determined that several of its products may meet the parameters of export control classification numbers, or ECCNs, affected by the restrictions. Accordingly, depending on the details of the final implementation of these new restrictions and associated licensing policies, ACM may not be able to import, or may face substantial restrictions in importing, parts from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their supply chains more broadly to comply with the new regulations.</w:t>
      </w:r>
    </w:p>
    <w:p>
      <w:pPr>
        <w:spacing w:after="0" w:line="17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We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three months ended December 31, 2022. We anticipate these factors will continue to have an adverse impact on ACM Shanghai’s shipments and sales in future periods.</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cannot be certain what additional actions the U.S. government may take with respect to PRC entities, or whether such actions will impact our relationships with our PRC-based customers. Additional actions could take the form of further revisions to the Entity List or Unverified List, new export restrictions, additional tariffs or other trade restrictions. It is also possible that other countries could adopt similar semiconductor-focused export controls to align with the October 2022 U.S. actions. Press reports indicate that two countries involved in ACM Shanghai’s current supply chain, Japan and the Netherlands, are currently considering similar measures. The introduction of multilateral semiconductor-focused export controls could further negatively impact ACM Shanghai’s supply chain from potentially affected countries and, indirectly, the ability of our customers in the PRC to scale their production. We are unable to predict the duration of the restrictions imposed by the U.S. government or the effects of any future governmental actions by the U.S. or other countries that may impact our relationships with our PRC-based customers, any of which could have a long-term adverse effect on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government trade policies could limit the demand for our tools and increase the cost of our tools.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General trade tensions between the United States and the PRC escalated beginning in 2018. In each of July, August and September 2018, June and September 2019, and February 2020, the U.S. government imposed a round of new or higher tariffs on specified imported products originating from the PRC in response to what the U.S. government characterized as unfair trade practices. The PRC government responded to each of these rounds of U.S. tariff changes by imposing new or higher tariffs on specified products imported from the United States. Higher tariffs and additional rounds of tariffs have been suggested or threatened by U.S. and PRC officials.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The imposition of heightened tariffs on imports by both the U.S. and PRC governments and the surrounding economic uncertainty may negatively impact the semiconductor industry, including by reducing the demand of fabricators for capital equipment such as our tools. Further changes in trade policy, including by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of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w:t>
      </w:r>
    </w:p>
    <w:p>
      <w:pPr>
        <w:spacing w:after="0" w:line="15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Substantially all of our operations are conducted in the PRC, and a substantial majority of our revenue is sourced from the PRC. Accordingly, our financial condition and results of operations are affected to a significant extent by economic, political and legal developments in the PRC.</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57"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political and economic policies with respect to the PRC may make it difficult for us to release the benefit of our investments.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November 12, 2020, then-U.S. President Trump issued an executive order, or the Order, establishing a new sanctions program designed to prohibit U.S. persons from entering into transactions in certain publicly traded securities, as well as derivatives and securities designed to provide investment exposure to such securities, of any “Communist Chinese military company,” or CCMC, as designated by the U.S. Department of Defense, or DOD, or the U.S. Secretary of the Treasury. Continued ownership of such securities by U.S. persons would be prohibited after a one-year divestment period from the time of designation of the issuer. A number of PRC issuers have been designated under this program and more could be added.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On December 3, 2020, SMIC was designated as a CCMC by the DOD, which was subsequently removed as of June 3, 2021. If SMIC had remained on the list at December 3, 2021, ACM Shanghai’s continued possession of SMIC securities could have subjected ACM Shanghai and ACM Research to penalties. Certain implementation matters related to the scope of, and compliance with, the Order have not yet been resolved, and the ultimate application and enforcement of the Order may change due to, among other things, the change in the U.S. Presidential administration.</w:t>
      </w:r>
    </w:p>
    <w:p>
      <w:pPr>
        <w:spacing w:after="0" w:line="16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In addition, SMIC may be designated as a CCMC in the future, or we may seek to conduct business transactions with entities on the CCMC list in the future. Although the Order does not prohibit commercial relations with CCMC companies other than the securities transactions noted above, certain other export restrictions have been imposed under the Export Administration Regulations on some CCMC companies. These and any similar future U.S. government restrictions on our suppliers or customers may adversely affect our business operations in the PRC, overall company results or our financial condition.</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The PRC’s currency exchange control and government restrictions on investment repatriation may impact our ability to transfer funds outside of the PRC, which could materially and adversely affect our ability to grow, make investments or acquisitions that could benefit our business, otherwise fund and conduct our business, or pay dividends on our common stock.</w:t>
      </w:r>
    </w:p>
    <w:p>
      <w:pPr>
        <w:spacing w:after="0" w:line="16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generate substantially all of our revenue through ACM Shanghai, our PRC subsidiary. PRC statutory laws and regulations permit payments of dividends by ACM Shanghai only out of its retained earnings, which are determined in accordance with PRC accounting standards and regulations that differ from U.S. generally accepted accounting principles. The PRC regulations and ACM Shanghai’s articles of association require annual appropriations of 10% of net after-tax profits to be set aside, prior to payment of dividends, as a reserve or surplus fund, which restricts ACM Shanghai’s ability to transfer a portion of its net assets to us. Such reserved funds can only be used for specific purposes and are not transferable to ACM in the form of loans, advances or cash dividends.</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As a result of these and other restrictions under PRC laws and regulations as well as restrictions under ACM Shanghai’s bank loan agreements, we may be significantly restricted in our ability to transfer a portion of ACM Shanghai’s net assets to ACM or other subsidiaries of ACM. We have no assurance that PRC governmental authorities in the future will not limit further or eliminate the ability of ACM Shanghai to purchase foreign currencies and transfer such funds to ACM to meet its liquidity or other business needs. Any inability to access funds in the PRC, if and when needed for use outside of the PRC, could have a material and adverse effect on our liquidity and our business.</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Certain of our investments may be subject to review by and approval from CFIUS, which may prevent us from taking advantage of investment opportunities that would otherwise be advantageous to our stockholders.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Certain of our investments may be subject to review by and approval from the U.S. Committee on Foreign Investment in the U.S., or CFIUS. In the event that CFIUS reviews one or more of our investments, there can be no assurances that we will be able to maintain or proceed with such investments on terms acceptable to us. Additionally, CFIUS may seek to impose limitations on one or more such investments that may prevent us from maintaining or pursuing investment opportunities that we otherwise would have maintained or pursued, which could adversely affect the performance of our investments and thus our overall performance. Certain of our stockholders may be non-U.S. investors, and in the aggregate, may comprise a substantial portion of our net asset value, which may increase the risks of such limitations being imposed in connection with investments pursued or made by us. Legislative and regulatory changes, including changes to agency practice, in the future may negatively impact our ability to realize value from certain existing and future investments, including by limiting exit opportunities or causing us to favor buyers that we believe are less likely to require CFIUS review, even in circumstances where other buyers may offer better terms or more consideration.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The U.S. Government is reportedly considering an outbound investment review mechanism, which may prevent us from taking advantage of investment opportunities outside the United States that could otherwise be advantageous to our stockholders.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U.S. Government is reportedly considering imposing an outbound investment review mechanism similar to CFIUS that would review foreign investments made from the United States. It is not yet clear what form the mechanism would take, but reports suggest it could come quickly in the form of an Executive Order, or could be passed as part of legislation from Congress. In the event that such a review mechanism is implemented, it is possible that certain of our investments may require review or notification to the U.S. Government, and could be subject to mitigation or other restrictions. If implemented, similar to CFIUS reviews, there can be no assurances that we will be able to maintain or proceed with investments on terms acceptable to us. Such a mechanism could negatively impact our ability to realize value from certain existing and future investments, including by limiting exit opportunities or causing us to favor buyers that we believe are lower risk for the possible outbound investment reviews, even in circumstances where other buyers may offer better terms or more consideration. Furthermore, because the requirements have not yet been established, the range or extent of possible effects that could flow from such a measure cannot be determined with any degree of certainty at this time. It is possible that the outbound investment review mechanism could adversely affect our business, financial condition, and operating results.</w:t>
      </w:r>
    </w:p>
    <w:p>
      <w:pPr>
        <w:spacing w:after="0" w:line="16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products are subject to import and export controls in jurisdictions in which we distribute or sell our products. Import and export controls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or a denial or curtailment of exporting privileges.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expend resources to seek necessary government authorizations or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4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We are subject to various domestic and international anti-corruption laws, such as the U.S. Foreign Corrupt Practices Act, as well as similar anti-bribery and anti-kickback laws and regulations in the United States and other jurisdictions.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STAR Listing</w:t>
      </w:r>
    </w:p>
    <w:p>
      <w:pPr>
        <w:spacing w:after="0" w:line="20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We may not achieve the results contemplated by our business strategy and our strategy for growth in the PRC may not result in increases in the price of Class A common stock.</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cannot assure you that we will realize any or all of our anticipated benefits of the STAR Listing and the STAR IPO, which may not have the anticipated effects of including the strengthening of our market position and operations in the PRC. ACM Shanghai continues to have broad discretion in the use of the proceeds from the initial sales of shares to investors and the proceeds from the STAR IPO, and it may not spend or invest those proceeds in a manner that results in our operating success or with which ACM Research stockholders agree. Our failure to successfully leverage the completion of the STAR Listing and the STAR IPO to expand our PRC business could result in a decrease in the price of the Class A common stock, and we cannot assure you that the success of ACM Shanghai will have an attendant positive effect on the price of the Class A common stock.</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PRC companies are critical to the global semiconductor industry, and our current business is substantially concentrated in the PRC market. Our inability to build, or any delay in growing, our PRC-based operations would materially and adversely limit our operations and operating results, including our revenue growth.</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ACM Shanghai’s status as a publicly traded company that is controlled, but less than wholly owned, by ACM Research could have an adverse effect on us.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November 2021, we completed the STAR Listing and STAR IPO with respect to shares of ACM Shanghai. ACM Shanghai is our principal operating company and, prior to the STAR Listing process, was a wholly owned subsidiary of ACM Research. As the result of actions taken in connection with the STAR Listing and the STAR IPO, ACM Shanghai is no longer a wholly owned subsidiary of ACM Research, and the interests of ACM Shanghai may diverge from the interests of ACM Research and its other subsidiaries in the future. We may face conflicts of interest in managing, financing or engaging in transactions with ACM Shanghai, or allocating business opportunities between our subsidiaries, including future arrangements for operating subsidiaries other than ACM Shanghai to license and use our intellectual property. Substantially all of our intellectual property has been developed in the PRC and is owned by ACM Shanghai. As we expand our global operations through operating subsidiaries outside of the PRC, those operating subsidiaries may need to license intellectual property from ACM Shanghai in order to operate, and there can be no assurance that conflicts of interest will not preclude those operating subsidiaries from licensing the required intellectual property from ACM Shanghai on reasonable terms or at all.</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ACM Research retains majority ownership of ACM Shanghai since the STAR IPO, but ACM Shanghai is managed by a separate board of directors and officers and those directors and officers will owe fiduciary duties to the various stakeholders of ACM Shanghai, including shareholders other than ACM Research. In the operation of ACM Shanghai’s business, there may be situations that arise whereby the directors and officers of ACM Shanghai, in the exercise of their fiduciary duties, take actions that may be contrary to the best interests of ACM Research.</w:t>
      </w:r>
    </w:p>
    <w:p>
      <w:pPr>
        <w:spacing w:after="0" w:line="16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the future, ACM Shanghai may issue options, restricted shares and other forms of share-based compensation to its directors, officers and employees, which could dilute ACM Research’s ownership in ACM Shanghai. In addition, ACM Shanghai may engage in capital raising activities in the future that could further dilute ACM Research’s ownership interest.</w:t>
      </w:r>
    </w:p>
    <w:p>
      <w:pPr>
        <w:spacing w:after="0" w:line="1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i w:val="1"/>
          <w:iCs w:val="1"/>
          <w:color w:val="auto"/>
        </w:rPr>
        <w:t>ACM Research and ACM Shanghai both are public reporting companies but each is subject to separate, and potentially inconsistent, accounting and disclosure requirements, which may lead to investor confusion or uncertainty that could cause decreased demand for, or fluctuations in the price of, one or both of the companies’ publicly traded shares.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Since ACM Shanghai completed the STAR Listing and the STAR IPO in November 2021, it has been subject to accounting, disclosure and other regulatory requirements of the STAR Market. At the same time, ACM Research remains subject to accounting, disclosure and other regulatory requirements of the SEC and the Nasdaq Global Market, or Nasdaq. As a result, ACM Research and ACM Shanghai periodically will disclose information simultaneously pursuant to differing laws and regulations. Even though substantially all of the operations of ACM Research are currently conducted through ACM Shanghai, the information disclosed by the two companies will differ, and may differ materially from time to time, due to the distinct, and potentially inconsistent, accounting standards applicable to the two companies and disclosure requirements imposed by securities regulatory authorities, as well as differences in language, culture and expression habit, in composition of investors in the United States and PRC, and in the capital markets of the United States and the PRC.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Differing disclosures could lead to confusion or uncertainty among investors in the publicly traded shares of one or both companies. Differences between the price of ACM Shanghai shares on the STAR Market and the price of ACM Research Class A common stock on Nasdaq could lead to increased volatility, as some investors seek to arbitrage price differences. Moreover, such volatility could be exacerbated by the fact that ACM Shanghai shares currently represent substantially all of the assets of ACM Research.</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 and Data Security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protect our intellectual property, including our SAPS, TEBO, Tahoe, ECP, furnace and other technologies.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TEBO, Tahoe, ECP, furnace and other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7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jc w:val="both"/>
        <w:ind w:left="560" w:right="20" w:hanging="280"/>
        <w:spacing w:after="0" w:line="247" w:lineRule="auto"/>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 w:lineRule="exact"/>
        <w:rPr>
          <w:rFonts w:ascii="Arial" w:cs="Arial" w:eastAsia="Arial" w:hAnsi="Arial"/>
          <w:sz w:val="16"/>
          <w:szCs w:val="16"/>
          <w:color w:val="auto"/>
        </w:rPr>
      </w:pPr>
    </w:p>
    <w:p>
      <w:pPr>
        <w:ind w:left="560" w:hanging="280"/>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Patent applications may not result in any patents being issued.</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Patents that may be issued may be challenged, invalidated, modified, revoked, circumvented, found to be unenforceable or otherwise may not provide any competitive advantage.</w:t>
      </w:r>
    </w:p>
    <w:p>
      <w:pPr>
        <w:spacing w:after="0" w:line="1"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competitors may seek or may have already obtained patents that will limit, interfere with, or eliminate our ability to make, use and sell our potential product candidates.</w:t>
      </w:r>
    </w:p>
    <w:p>
      <w:pPr>
        <w:spacing w:after="0" w:line="1" w:lineRule="exact"/>
        <w:rPr>
          <w:rFonts w:ascii="Arial" w:cs="Arial" w:eastAsia="Arial" w:hAnsi="Arial"/>
          <w:sz w:val="16"/>
          <w:szCs w:val="16"/>
          <w:color w:val="auto"/>
        </w:rPr>
      </w:pPr>
    </w:p>
    <w:p>
      <w:pPr>
        <w:ind w:left="560" w:right="20" w:hanging="280"/>
        <w:spacing w:after="0" w:line="255" w:lineRule="auto"/>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6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involved in lawsuits to protect or enforce our patents, which could be expensive, time consuming and unsuccessful.</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rights throughout the world, including the PRC, which could materially, negatively affect our business.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significant majority of our intellectual property has been developed in the PRC and is owned by ACM Shanghai. Implementation and enforcement of intellectual property-related laws in the PRC has historically been lacking due primarily to ambiguities in PRC intellectual property law. Accordingly, protection of intellectual property and proprietary rights in the PRC may not be as effective as in the United States or other countries. As a result, third parties could illegally use the technologies and proprietary processes that we have developed and compete with us, which could negatively affect any competitive advantage we enjoy, dilute our brand and harm our operating results. Litigation may be necessary to enforce our intellectual property rights, and given the relative unpredictability of the PRC’s legal system and potential difficulties enforcing a court judgment in the PRC, there is no guarantee litigation would result in an outcome favorable to us.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14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15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Any potential intellectual property claims or litigation commenced against us could:</w:t>
      </w:r>
    </w:p>
    <w:p>
      <w:pPr>
        <w:spacing w:after="0" w:line="17" w:lineRule="exact"/>
        <w:rPr>
          <w:sz w:val="20"/>
          <w:szCs w:val="20"/>
          <w:color w:val="auto"/>
        </w:rPr>
      </w:pPr>
    </w:p>
    <w:p>
      <w:pPr>
        <w:ind w:left="560" w:hanging="280"/>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 time consuming and expensive to defend, whether or not meritorious;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force us to stop selling products or using technology that allegedly infringes the third party’s intellectual property rights;</w:t>
      </w:r>
    </w:p>
    <w:p>
      <w:pPr>
        <w:spacing w:after="0" w:line="17"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delay shipments of our products;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us to pay damages or settlement fees to the party claiming infringement;</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us to attempt to obtain a license to the relevant intellectual property, which may not be available on reasonable terms or at all;</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force us to attempt to redesign products that contain the allegedly infringing technology, which could be expensive or which we may be unable to do;</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us to indemnify our customers, suppliers or other third parties for any loss caused by their use of our technology that allegedly infringes the third party’s intellectual property rights; or</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divert the attention of our technical and managerial resources.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156"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111" w:lineRule="exact"/>
        <w:rPr>
          <w:sz w:val="20"/>
          <w:szCs w:val="20"/>
          <w:color w:val="auto"/>
        </w:rPr>
      </w:pPr>
    </w:p>
    <w:p>
      <w:pPr>
        <w:jc w:val="both"/>
        <w:spacing w:after="0" w:line="191" w:lineRule="exact"/>
        <w:rPr>
          <w:sz w:val="20"/>
          <w:szCs w:val="20"/>
          <w:color w:val="auto"/>
        </w:rPr>
      </w:pPr>
      <w:r>
        <w:rPr>
          <w:rFonts w:ascii="Arial" w:cs="Arial" w:eastAsia="Arial" w:hAnsi="Arial"/>
          <w:sz w:val="14"/>
          <w:szCs w:val="14"/>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Additionally, we face potential heightened cybersecurity risks during the COVID-19 pandemic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4"/>
          <w:szCs w:val="14"/>
          <w:color w:val="auto"/>
        </w:rPr>
        <w:t>‑</w:t>
      </w:r>
      <w:r>
        <w:rPr>
          <w:rFonts w:ascii="Arial" w:cs="Arial" w:eastAsia="Arial" w:hAnsi="Arial"/>
          <w:sz w:val="14"/>
          <w:szCs w:val="14"/>
          <w:color w:val="auto"/>
        </w:rPr>
        <w:t>19 pandemic increases. These heightened cybersecurity risks may increase our vulnerability to cyber-attacks and cause disruptions to our internal control procedures.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17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Risks Related to the COVID</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19 Pandemic</w:t>
      </w:r>
    </w:p>
    <w:p>
      <w:pPr>
        <w:spacing w:after="0" w:line="200" w:lineRule="exact"/>
        <w:rPr>
          <w:sz w:val="20"/>
          <w:szCs w:val="20"/>
          <w:color w:val="auto"/>
        </w:rPr>
      </w:pPr>
    </w:p>
    <w:p>
      <w:pPr>
        <w:jc w:val="both"/>
        <w:spacing w:after="0" w:line="196" w:lineRule="exact"/>
        <w:rPr>
          <w:sz w:val="20"/>
          <w:szCs w:val="20"/>
          <w:color w:val="auto"/>
        </w:rPr>
      </w:pPr>
      <w:r>
        <w:rPr>
          <w:rFonts w:ascii="Arial" w:cs="Arial" w:eastAsia="Arial" w:hAnsi="Arial"/>
          <w:sz w:val="16"/>
          <w:szCs w:val="16"/>
          <w:i w:val="1"/>
          <w:iCs w:val="1"/>
          <w:color w:val="auto"/>
        </w:rPr>
        <w:t>The outbreak of COVID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19, the coronavirus, continues both in the United States and globally, and related government and private sector responsive actions are adversely affecting our business operations.</w:t>
      </w:r>
    </w:p>
    <w:p>
      <w:pPr>
        <w:spacing w:after="0" w:line="179" w:lineRule="exact"/>
        <w:rPr>
          <w:sz w:val="20"/>
          <w:szCs w:val="20"/>
          <w:color w:val="auto"/>
        </w:rPr>
      </w:pPr>
    </w:p>
    <w:p>
      <w:pPr>
        <w:jc w:val="both"/>
        <w:spacing w:after="0" w:line="192" w:lineRule="exact"/>
        <w:rPr>
          <w:sz w:val="20"/>
          <w:szCs w:val="20"/>
          <w:color w:val="auto"/>
        </w:rPr>
      </w:pPr>
      <w:r>
        <w:rPr>
          <w:rFonts w:ascii="Arial" w:cs="Arial" w:eastAsia="Arial" w:hAnsi="Arial"/>
          <w:sz w:val="15"/>
          <w:szCs w:val="15"/>
          <w:i w:val="1"/>
          <w:iCs w:val="1"/>
          <w:color w:val="auto"/>
        </w:rPr>
        <w:t>We have set forth below key risks from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pandemic that we have identified or experienced to date. The situation continues to evolve, however, and it is impossible to predict the effect and ongoing impact of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pandemic on our business operations and results. While the quarantine, social distancing and other regulatory measures instituted or recommended in response to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were expected to be temporary, such measures have remained in effect, and have changed, over the last year, and the duration of the business disruptions, and related financial impact, cannot be estimated at this time.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pandemic could ultimately reduce demand for our products and our customers’ chips and have a material adverse impact on our business, operating results and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196" w:lineRule="exact"/>
        <w:rPr>
          <w:sz w:val="20"/>
          <w:szCs w:val="20"/>
          <w:color w:val="auto"/>
        </w:rPr>
      </w:pPr>
      <w:r>
        <w:rPr>
          <w:rFonts w:ascii="Arial" w:cs="Arial" w:eastAsia="Arial" w:hAnsi="Arial"/>
          <w:sz w:val="14"/>
          <w:szCs w:val="14"/>
          <w:b w:val="1"/>
          <w:bCs w:val="1"/>
          <w:i w:val="1"/>
          <w:iCs w:val="1"/>
          <w:color w:val="auto"/>
        </w:rPr>
        <w:t>Substantially all of our operations, as well as significant operations of a number of our key customers, are located in areas of the PRC impacted by the COVID</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19 pandemic, and our operations have been, and may continue to be, adversely affected by the effects of PRC restrictions imposed as the result of COVID</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19.</w:t>
      </w:r>
    </w:p>
    <w:p>
      <w:pPr>
        <w:spacing w:after="0" w:line="180"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We conduct substantially all of our product development, manufacturing, support and services in the PRC, and those activities have been directly impacted by COVID-19 and related restrictions on transportation and public appearances. In March 2022 several regions in China began to experience elevated levels of COVID-19 infections, and the PRC government instituted policies to restrict the spread of the virus, which are referred to as zero-COVID policies. The policies began with an increase of “spot quarantines,” under which a positive polymerase chain reaction, or PCR, or other tests would result in the quarantining of individual buildings, groups of buildings, or even full neighborhoods. The policies were later expanded to full-city restrictions, including in the City of Shanghai, where substantially all of our operations are located. COVID-19 related restrictions in Shanghai began to limit employee access to, and logistics activities of, our offices and production facilities in the Pudong district of Shanghai during in the first quarter of 2022, and therefore limited our ability to ship finished products to customers and to produce new products. Spot quarantines in mid-March 2022 began to impact a number of our employees and led to a closure of our administrative and R&amp;D offices in Zhangjiang in the Pudong district. A subsequent restriction that encompassed the entire Pudong region of Shanghai was imposed in late March 2022 and impacted the operation of our Chuansha production facility.</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addition, in December 2022, the PRC government relaxed its zero-COVID policies, which resulted in large scale COVID-19 infections throughout China, including Shanghai. A significant number of ACM Shanghai employees were also infected, and in many cases missed work for one or several weeks, which caused administrative and operational challenges in late 2022 and early 2023. We cannot assure you that illnesses of ACM Shanghai employees, or of its customers, suppliers or other third parties, may not result in closures, reductions of PRC operations or production, or additional administrative inefficiencies in the upcoming months or quarters.</w:t>
      </w:r>
    </w:p>
    <w:p>
      <w:pPr>
        <w:spacing w:after="0" w:line="154"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b w:val="1"/>
          <w:bCs w:val="1"/>
          <w:i w:val="1"/>
          <w:iCs w:val="1"/>
          <w:color w:val="auto"/>
        </w:rPr>
        <w:t>As the result of COVID-19 related restrictions in Shanghai, ACM Research’s indirect subsidiary ACM Shengwei may be unable to achieve certain performance milestones required by its Grant Contract for State-owned Construction Land Use Right in Shanghai City, and our liquidity, financial position and business would be adversely affected if ACM Shengwei is subject to penalties or loses its rights to the use of the granted land and any partially completed facilities on the land.</w:t>
      </w:r>
    </w:p>
    <w:p>
      <w:pPr>
        <w:spacing w:after="0" w:line="13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2020 ACM Shanghai, through its wholly-owned subsidiary ACM Shengwei, entered into a Grant Contract for State-owned Construction Land Use Right in Shanghai City (Category of R&amp;D Headquarters and Industrial Projects), or the Grant Agreement, with the China (Shanghai) Pilot Free Trade Zone Lin-gang Special Area Administration, or the Grantor, in connection with ACM Shengwei’s obtaining of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or the Delivery Date.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connection with the Land Use Right, ACM Shengwei paid a performance deposit of RMB 12.3 million ($1.9 million) to secure its achievement of certain milestones, consisting of: (a) the start of construction within 6 months after the Delivery Date (60% of the performance deposit); (b) the completion of construction within 30 months after the Delivery Date (20% of the performance deposit), or Construction Completion Milestone; and (c) the start of production within 42 months after the Delivery Date (20% of the performance deposit), or Production Start Milestone. If the achievement of the Construction Completion Milestone or the Production Start Milestone is delayed or abandoned, ACM Shengwei may be subject to penalties and may lose its rights to both the use of the granted land and any partially completed facilities on that land.</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As a result of COVID-19 related restrictions, ACM Shengwei has experienced delays and did not meet the Construction Completion Milestone. In December 2022, prior to the Construction Completion Milestone, ACM Shengwei successfully filed and received a six-month extension with respect to both the Construction Completion Milestone and the Production Start Milestone, which extended such milestones to July 9, 2023 and July 9, 2024, respectively. ACM Shengwei expects to receive a new grant agreement, Version 3.0, by the end of March 2023. There is no guarantee that ACM Shengwei will be able to meet the agreed to timeline, in which the portion of the performance deposit related to achieving the Construction Completion Milestone or the performance deposit related to achieving the Production Start Milestone may be subject to forfeiture. Additionally, if achievement of the Construction Completion Milestone is delayed for more than one year, the Grantor is entitled to terminate the Grant Agreement and take back the Land Use Right, in exchange for a refund of the grant fees for the remaining land use term after deducting the deposit agreed under the Grant Agreement and refund the deposit related to the Production Start Milestone. We cannot guarantee that the refund of the fees will reflect fair market value of the Land Use Right or that they would cover the expended costs of ACM Shengwei with respect to the Grant Agreement and the Land Use Right. Moreover, loss of the deposit, or more significantly, the Land Use Right could significantly negatively impact our liquidity, financial position and business.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1" w:name="page52"/>
    <w:bookmarkEnd w:id="51"/>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spacing w:after="0" w:line="184" w:lineRule="exact"/>
        <w:rPr>
          <w:sz w:val="20"/>
          <w:szCs w:val="20"/>
          <w:color w:val="auto"/>
        </w:rPr>
      </w:pPr>
      <w:r>
        <w:rPr>
          <w:rFonts w:ascii="Arial" w:cs="Arial" w:eastAsia="Arial" w:hAnsi="Arial"/>
          <w:sz w:val="16"/>
          <w:szCs w:val="16"/>
          <w:b w:val="1"/>
          <w:bCs w:val="1"/>
          <w:i w:val="1"/>
          <w:iCs w:val="1"/>
          <w:color w:val="auto"/>
        </w:rPr>
        <w:t>The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19 pandemic could negatively impact our currently planned projects and investments in the PRC.</w:t>
      </w:r>
    </w:p>
    <w:p>
      <w:pPr>
        <w:spacing w:after="0" w:line="196" w:lineRule="exact"/>
        <w:rPr>
          <w:sz w:val="20"/>
          <w:szCs w:val="20"/>
          <w:color w:val="auto"/>
        </w:rPr>
      </w:pPr>
    </w:p>
    <w:p>
      <w:pPr>
        <w:jc w:val="both"/>
        <w:ind w:left="5"/>
        <w:spacing w:after="0" w:line="192" w:lineRule="exact"/>
        <w:rPr>
          <w:sz w:val="20"/>
          <w:szCs w:val="20"/>
          <w:color w:val="auto"/>
        </w:rPr>
      </w:pPr>
      <w:r>
        <w:rPr>
          <w:rFonts w:ascii="Arial" w:cs="Arial" w:eastAsia="Arial" w:hAnsi="Arial"/>
          <w:sz w:val="15"/>
          <w:szCs w:val="15"/>
          <w:color w:val="auto"/>
        </w:rPr>
        <w:t>Our strategy includes a number of plans to support the growth of our core business. In November 2021 we completed the STAR Listing and STAR IPO with respect to shares of ACM Shanghai, in May 2020 ACM Shanghai, through its wholly owned subsidiary ACM Shengwei, entered into an agreement for a land use right in the Lingang region of Shanghai, and in July 2020 ACM Shengwei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activities. The extent to which COVID-19 impacts these projects will depend on future developments that are highly uncertain and cannot be predicted. If the disruptions posed by COVID</w:t>
      </w:r>
      <w:r>
        <w:rPr>
          <w:rFonts w:ascii="MS PGothic" w:cs="MS PGothic" w:eastAsia="MS PGothic" w:hAnsi="MS PGothic"/>
          <w:sz w:val="15"/>
          <w:szCs w:val="15"/>
          <w:color w:val="auto"/>
        </w:rPr>
        <w:t>‑</w:t>
      </w:r>
      <w:r>
        <w:rPr>
          <w:rFonts w:ascii="Arial" w:cs="Arial" w:eastAsia="Arial" w:hAnsi="Arial"/>
          <w:sz w:val="15"/>
          <w:szCs w:val="15"/>
          <w:color w:val="auto"/>
        </w:rPr>
        <w:t>19 and related government measures, or other matters of global concern, continue for an extensive period of time, our ability to consummate one or both of these planned projects could be materially adversely affected.</w:t>
      </w:r>
    </w:p>
    <w:p>
      <w:pPr>
        <w:spacing w:after="0" w:line="182" w:lineRule="exact"/>
        <w:rPr>
          <w:sz w:val="20"/>
          <w:szCs w:val="20"/>
          <w:color w:val="auto"/>
        </w:rPr>
      </w:pPr>
    </w:p>
    <w:p>
      <w:pPr>
        <w:jc w:val="both"/>
        <w:ind w:left="5"/>
        <w:spacing w:after="0" w:line="193" w:lineRule="exact"/>
        <w:rPr>
          <w:sz w:val="20"/>
          <w:szCs w:val="20"/>
          <w:color w:val="auto"/>
        </w:rPr>
      </w:pPr>
      <w:r>
        <w:rPr>
          <w:rFonts w:ascii="Arial" w:cs="Arial" w:eastAsia="Arial" w:hAnsi="Arial"/>
          <w:sz w:val="16"/>
          <w:szCs w:val="16"/>
          <w:color w:val="auto"/>
        </w:rPr>
        <w:t>In September 2019 ACM Shanghai entered into a partnership agreement for the purposes of engaging in equity venture capital investments in strategic emerging and high-tech industries with a focus on the semiconductor industry. We cannot predict the ongoing effect that the COVID</w:t>
      </w:r>
      <w:r>
        <w:rPr>
          <w:rFonts w:ascii="MS PGothic" w:cs="MS PGothic" w:eastAsia="MS PGothic" w:hAnsi="MS PGothic"/>
          <w:sz w:val="16"/>
          <w:szCs w:val="16"/>
          <w:color w:val="auto"/>
        </w:rPr>
        <w:t>‑</w:t>
      </w:r>
      <w:r>
        <w:rPr>
          <w:rFonts w:ascii="Arial" w:cs="Arial" w:eastAsia="Arial" w:hAnsi="Arial"/>
          <w:sz w:val="16"/>
          <w:szCs w:val="16"/>
          <w:color w:val="auto"/>
        </w:rPr>
        <w:t>19 pandemic in the PRC will have on companies that would otherwise be desirable investments for the partnership, and the outbreak or related governmental actions could significantly impair the ability of the partnership to identify desirable investments or our ability to realize the anticipated benefits of the partnership.</w:t>
      </w:r>
    </w:p>
    <w:p>
      <w:pPr>
        <w:spacing w:after="0" w:line="17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Risks Related to Ownership of Class A Common Stock</w:t>
      </w:r>
    </w:p>
    <w:p>
      <w:pPr>
        <w:spacing w:after="0" w:line="200"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b w:val="1"/>
          <w:bCs w:val="1"/>
          <w:i w:val="1"/>
          <w:iCs w:val="1"/>
          <w:color w:val="auto"/>
        </w:rPr>
        <w:t>Our management identified material weaknesses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67"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Effective internal control over financial reporting is necessary for us to provide accurate financial information. The Sarbanes-Oxley Act requires us to, among other things, evaluate the effectiveness of our internal control over financial reporting as of the end of each fiscal year and to include a management report assessing the effectiveness of our internal control over financial reporting in our Annual Reports on Form 10-K. As further discussed in “Item 9A. Controls and Procedures” of Part II of this report, our internal controls over financial reporting were not effective as of December 31, 2022 due to the existence of two material weaknesses in such controls.</w:t>
      </w:r>
    </w:p>
    <w:p>
      <w:pPr>
        <w:spacing w:after="0" w:line="154"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In connection with the audit of our consolidated financial statements as of, and for the year ended, December 31, 2022, we identified two material weaknesses in our internal control over financial reporting related to:</w:t>
      </w:r>
    </w:p>
    <w:p>
      <w:pPr>
        <w:spacing w:after="0" w:line="156" w:lineRule="exact"/>
        <w:rPr>
          <w:sz w:val="20"/>
          <w:szCs w:val="20"/>
          <w:color w:val="auto"/>
        </w:rPr>
      </w:pPr>
    </w:p>
    <w:p>
      <w:pPr>
        <w:jc w:val="both"/>
        <w:ind w:left="5" w:hanging="5"/>
        <w:spacing w:after="0" w:line="258" w:lineRule="auto"/>
        <w:tabs>
          <w:tab w:leader="none" w:pos="21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fact that we did not design and maintain effective risk assessment procedures, and monitoring activities, including insufficient identification and assessment of risks impacting the design, implementation, and operating effectiveness of internal control over financial reporting, and insufficient evaluation and determination as to whether the components of internal control were present and functioning, and</w:t>
      </w:r>
    </w:p>
    <w:p>
      <w:pPr>
        <w:spacing w:after="0" w:line="166" w:lineRule="exact"/>
        <w:rPr>
          <w:rFonts w:ascii="Arial" w:cs="Arial" w:eastAsia="Arial" w:hAnsi="Arial"/>
          <w:sz w:val="16"/>
          <w:szCs w:val="16"/>
          <w:color w:val="auto"/>
        </w:rPr>
      </w:pPr>
    </w:p>
    <w:p>
      <w:pPr>
        <w:jc w:val="both"/>
        <w:ind w:left="5" w:hanging="5"/>
        <w:spacing w:after="0" w:line="253"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fact that we did not design and maintain effective information technology controls related to (a) user access controls to ensure appropriate segregation of duties and adequately restrict user and privileged access to financial applications, programs, and data to appropriate personnel, (b) computer operations controls to ensure that critical information is monitored, and data backups are authorized and monitored, (c) appropriate controls to evaluate automated controls, and (d) appropriate controls to validate the completeness and accuracy of key reports used within controls across substantially all financial statement areas. As of December 31, 2022, we determined that the above mentioned material weaknesses had not been remediated.</w:t>
      </w:r>
    </w:p>
    <w:p>
      <w:pPr>
        <w:spacing w:after="0" w:line="170" w:lineRule="exact"/>
        <w:rPr>
          <w:sz w:val="20"/>
          <w:szCs w:val="20"/>
          <w:color w:val="auto"/>
        </w:rPr>
      </w:pPr>
    </w:p>
    <w:p>
      <w:pPr>
        <w:jc w:val="both"/>
        <w:ind w:left="5"/>
        <w:spacing w:after="0" w:line="290" w:lineRule="auto"/>
        <w:rPr>
          <w:sz w:val="20"/>
          <w:szCs w:val="20"/>
          <w:color w:val="auto"/>
        </w:rPr>
      </w:pPr>
      <w:r>
        <w:rPr>
          <w:rFonts w:ascii="Arial" w:cs="Arial" w:eastAsia="Arial" w:hAnsi="Arial"/>
          <w:sz w:val="14"/>
          <w:szCs w:val="14"/>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process of designing and implementing effective internal controls and procedures and remediating the material weaknesses will be a continual effort that may require us to expend significant resources to establish and maintain a system of controls that is adequate to satisfy our reporting obligations as a public company. We cannot assure you that the measures we take will be sufficient to remediate the material weaknesses or that we will implement and maintain adequate controls over our financial processes and reporting in the future in order to avoid additional material weaknesses or control or significant deficiencies in our internal control over financing reporting. If our remediation efforts are not successful or other material weaknesses or control or significant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 For further information, see “Item 9A. Controls and Procedures” of Part II of this report.</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4"/>
          <w:szCs w:val="14"/>
          <w:b w:val="1"/>
          <w:bCs w:val="1"/>
          <w:i w:val="1"/>
          <w:iCs w:val="1"/>
          <w:color w:val="auto"/>
        </w:rPr>
        <w:t>The market price of Class A common stock has been and may continue to be volatile, which could result in substantial losses for investors purchasing our shares.</w:t>
      </w:r>
    </w:p>
    <w:p>
      <w:pPr>
        <w:spacing w:after="0" w:line="219"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The market price of Class A common stock has been, and could continue to be, subject to significant fluctuations. The market price of Class A common stock may fluctuate significantly in response to numerous factors, many of which are beyond our control, including:</w:t>
      </w:r>
    </w:p>
    <w:p>
      <w:pPr>
        <w:ind w:left="565" w:hanging="280"/>
        <w:spacing w:after="0"/>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other operating results;</w:t>
      </w:r>
    </w:p>
    <w:p>
      <w:pPr>
        <w:spacing w:after="0" w:line="6" w:lineRule="exact"/>
        <w:rPr>
          <w:rFonts w:ascii="Arial" w:cs="Arial" w:eastAsia="Arial" w:hAnsi="Arial"/>
          <w:sz w:val="16"/>
          <w:szCs w:val="16"/>
          <w:color w:val="auto"/>
        </w:rPr>
      </w:pPr>
    </w:p>
    <w:p>
      <w:pPr>
        <w:ind w:left="565" w:hanging="280"/>
        <w:spacing w:after="0"/>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financial projections we may provide to the public, any changes in these projections or our failure to meet these projections;</w:t>
      </w:r>
    </w:p>
    <w:p>
      <w:pPr>
        <w:spacing w:after="0" w:line="6" w:lineRule="exact"/>
        <w:rPr>
          <w:rFonts w:ascii="Arial" w:cs="Arial" w:eastAsia="Arial" w:hAnsi="Arial"/>
          <w:sz w:val="16"/>
          <w:szCs w:val="16"/>
          <w:color w:val="auto"/>
        </w:rPr>
      </w:pPr>
    </w:p>
    <w:p>
      <w:pPr>
        <w:ind w:left="565" w:right="20" w:hanging="280"/>
        <w:spacing w:after="0" w:line="247" w:lineRule="auto"/>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 w:lineRule="exact"/>
        <w:rPr>
          <w:rFonts w:ascii="Arial" w:cs="Arial" w:eastAsia="Arial" w:hAnsi="Arial"/>
          <w:sz w:val="16"/>
          <w:szCs w:val="16"/>
          <w:color w:val="auto"/>
        </w:rPr>
      </w:pPr>
    </w:p>
    <w:p>
      <w:pPr>
        <w:ind w:left="565" w:right="20" w:hanging="280"/>
        <w:spacing w:after="0" w:line="247" w:lineRule="auto"/>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1" w:lineRule="exact"/>
        <w:rPr>
          <w:rFonts w:ascii="Arial" w:cs="Arial" w:eastAsia="Arial" w:hAnsi="Arial"/>
          <w:sz w:val="16"/>
          <w:szCs w:val="16"/>
          <w:color w:val="auto"/>
        </w:rPr>
      </w:pPr>
    </w:p>
    <w:p>
      <w:pPr>
        <w:ind w:left="565" w:hanging="280"/>
        <w:spacing w:after="0"/>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changes in operating results;</w:t>
      </w:r>
    </w:p>
    <w:p>
      <w:pPr>
        <w:spacing w:after="0" w:line="6" w:lineRule="exact"/>
        <w:rPr>
          <w:rFonts w:ascii="Arial" w:cs="Arial" w:eastAsia="Arial" w:hAnsi="Arial"/>
          <w:sz w:val="16"/>
          <w:szCs w:val="16"/>
          <w:color w:val="auto"/>
        </w:rPr>
      </w:pPr>
    </w:p>
    <w:p>
      <w:pPr>
        <w:ind w:left="565" w:right="20" w:hanging="280"/>
        <w:spacing w:after="0" w:line="247" w:lineRule="auto"/>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changes in the financial projections we may provide to the public, our failure to meet these projections, or changes in recommendations by any securities analysts that elect to follow Class A common stock;</w:t>
      </w:r>
    </w:p>
    <w:p>
      <w:pPr>
        <w:spacing w:after="0" w:line="1" w:lineRule="exact"/>
        <w:rPr>
          <w:rFonts w:ascii="Arial" w:cs="Arial" w:eastAsia="Arial" w:hAnsi="Arial"/>
          <w:sz w:val="16"/>
          <w:szCs w:val="16"/>
          <w:color w:val="auto"/>
        </w:rPr>
      </w:pPr>
    </w:p>
    <w:p>
      <w:pPr>
        <w:ind w:left="565" w:hanging="280"/>
        <w:spacing w:after="0"/>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additional shares of Class A common stock being sold into the market by us or our existing stockholders or the anticipation of such sales;</w:t>
      </w:r>
    </w:p>
    <w:p>
      <w:pPr>
        <w:spacing w:after="0" w:line="6" w:lineRule="exact"/>
        <w:rPr>
          <w:rFonts w:ascii="Arial" w:cs="Arial" w:eastAsia="Arial" w:hAnsi="Arial"/>
          <w:sz w:val="16"/>
          <w:szCs w:val="16"/>
          <w:color w:val="auto"/>
        </w:rPr>
      </w:pPr>
    </w:p>
    <w:p>
      <w:pPr>
        <w:ind w:left="565" w:hanging="280"/>
        <w:spacing w:after="0"/>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6" w:lineRule="exact"/>
        <w:rPr>
          <w:rFonts w:ascii="Arial" w:cs="Arial" w:eastAsia="Arial" w:hAnsi="Arial"/>
          <w:sz w:val="16"/>
          <w:szCs w:val="16"/>
          <w:color w:val="auto"/>
        </w:rPr>
      </w:pPr>
    </w:p>
    <w:p>
      <w:pPr>
        <w:ind w:left="565" w:hanging="280"/>
        <w:spacing w:after="0"/>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lawsuits threatened or filed against us;</w:t>
      </w:r>
    </w:p>
    <w:p>
      <w:pPr>
        <w:spacing w:after="0" w:line="6" w:lineRule="exact"/>
        <w:rPr>
          <w:rFonts w:ascii="Arial" w:cs="Arial" w:eastAsia="Arial" w:hAnsi="Arial"/>
          <w:sz w:val="16"/>
          <w:szCs w:val="16"/>
          <w:color w:val="auto"/>
        </w:rPr>
      </w:pPr>
    </w:p>
    <w:p>
      <w:pPr>
        <w:ind w:left="565" w:hanging="280"/>
        <w:spacing w:after="0"/>
        <w:tabs>
          <w:tab w:leader="none" w:pos="5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litigation and other developments relating to our patents or other proprietary rights or those of our competitors;</w:t>
      </w:r>
    </w:p>
    <w:p>
      <w:pPr>
        <w:spacing w:after="0" w:line="34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60" w:hanging="280"/>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7" w:lineRule="exact"/>
        <w:rPr>
          <w:rFonts w:ascii="Arial" w:cs="Arial" w:eastAsia="Arial" w:hAnsi="Arial"/>
          <w:sz w:val="16"/>
          <w:szCs w:val="16"/>
          <w:color w:val="auto"/>
        </w:rPr>
      </w:pPr>
    </w:p>
    <w:p>
      <w:pPr>
        <w:ind w:left="560" w:right="20" w:hanging="280"/>
        <w:spacing w:after="0" w:line="255" w:lineRule="auto"/>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general economic trends, including changes in the demand for electronics or information technology or geopolitical events such as war or acts of terrorism, or any responses to such events.</w:t>
      </w:r>
    </w:p>
    <w:p>
      <w:pPr>
        <w:spacing w:after="0" w:line="168"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 Further, following periods of volatility in the overall market and the market price of a particular company’s securities, securities class action litigation has often been instituted against these companies. Similar litigation may be instituted against us in the future, which could result in substantial costs and a diversion of our management’s attention and resources.</w:t>
      </w:r>
    </w:p>
    <w:p>
      <w:pPr>
        <w:spacing w:after="0" w:line="13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Few if any companies with stock publicly traded in the United States have effected a STAR Market listing of stock of a PRC-based subsidiary, and it is therefore difficult to predict the effect of the STAR Listing and STAR IPO on the Class A common stock.</w:t>
      </w:r>
    </w:p>
    <w:p>
      <w:pPr>
        <w:spacing w:after="0" w:line="156"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China Securities Regulatory Commission initially launched the STAR Market in June 2019 and trading on the Market began in July 2019. In November 2021 ACM Shanghai completed the STAR Listing and the STAR IPO. We believe we are one of the first publicly traded U.S. companies to complete an initial public offering of shares of a PRC subsidiary on the STAR Market. As a result, no assurance can be given regarding the effect of the STAR Listing and the STAR IPO on the market price of the Class A common stock. The market price of Class A common stock may be volatile or may decline, for reasons other than the risk and uncertainties described above, as the result of investor negativity or uncertainty with respect to the impact of the STAR Listing and STAR IPO.</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ACM Research stockholders were not entitled to purchase ACM Shanghai shares in the pre-STAR Listing placement, and they may have limited opportunities to purchase ACM Shanghai shares now that the STAR Listing and the STAR IPO have been completed. Investors may elect to invest in our business and operations by purchasing ACM Shanghai shares on the STAR Market rather than purchasing ACM Research Class A common stock, and that reduction in demand could lead to a decrease in the market price for the Class A common stock.</w:t>
      </w:r>
    </w:p>
    <w:p>
      <w:pPr>
        <w:spacing w:after="0" w:line="16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15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never declared or paid cash dividends on our capital stock. We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67"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156"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Class B common stock has twenty votes per share and Class A common stock has one vote per share. As of February 22, 2023, stockholders who hold shares of Class B common stock, who consist principally of our executive officers, employees, directors and their respective affiliates, collectively held 64% of 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Because of the market capitalization achieved by Class A common stock during October 2020, our charter no longer contemplates circumstances in which all of the shares of Class B common stock will mandatorily convert into Class A common stock. Instead, all of the Class B common stock generally will convert into Class A common stock only upon the election of the holders of a majority of the then-outstanding shares of Class B common stock, and specific shares of Class B common stock will convert into Class A common stock upon future transfers by the holders of those shares. The potential conversion of Class B common stock to Class A common stock will have the effect, over time, of increasing the relative voting power of those holders of Class B common stock who retain their shares in the long term.</w:t>
      </w:r>
    </w:p>
    <w:p>
      <w:pPr>
        <w:spacing w:after="0" w:line="15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Delaware law and provisions in our charter and bylaws could make a merger, tender offer or proxy contest difficult, thereby depressing the trading price of Class A common stock.</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spacing w:after="0" w:line="1" w:lineRule="exact"/>
        <w:rPr>
          <w:sz w:val="20"/>
          <w:szCs w:val="20"/>
          <w:color w:val="auto"/>
        </w:rPr>
      </w:pPr>
    </w:p>
    <w:p>
      <w:pPr>
        <w:ind w:left="560" w:right="20" w:hanging="280"/>
        <w:spacing w:after="0" w:line="264" w:lineRule="auto"/>
        <w:tabs>
          <w:tab w:leader="none" w:pos="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ind w:left="560" w:hanging="280"/>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when the outstanding shares of Class B common stock represent less than a majority of the combined voting power of common stock;</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amendments to our charter or bylaws will require the approval of two-thirds of the combined vote of our then-outstanding shares of Class A and Class B common stock;</w:t>
      </w:r>
    </w:p>
    <w:p>
      <w:pPr>
        <w:spacing w:after="0" w:line="29" w:lineRule="exact"/>
        <w:rPr>
          <w:rFonts w:ascii="Arial" w:cs="Arial" w:eastAsia="Arial" w:hAnsi="Arial"/>
          <w:sz w:val="14"/>
          <w:szCs w:val="14"/>
          <w:color w:val="auto"/>
        </w:rPr>
      </w:pPr>
    </w:p>
    <w:p>
      <w:pPr>
        <w:ind w:left="560" w:hanging="280"/>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vacancies on the board of directors will be able to be filled only by the board and not by stockholders;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board, which currently is not staggered, will be automatically separated into three classes with staggered three-year terms;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directors will only be able to be removed from office for cause; and</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stockholders will only be able to take action at a meeting and not by written consent;</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only our chair, our chief executive officer or a majority of our directors is authorized to call a special meeting of stockholders;</w:t>
      </w:r>
    </w:p>
    <w:p>
      <w:pPr>
        <w:spacing w:after="0" w:line="6" w:lineRule="exact"/>
        <w:rPr>
          <w:rFonts w:ascii="Arial" w:cs="Arial" w:eastAsia="Arial" w:hAnsi="Arial"/>
          <w:sz w:val="16"/>
          <w:szCs w:val="16"/>
          <w:color w:val="auto"/>
        </w:rPr>
      </w:pPr>
    </w:p>
    <w:p>
      <w:pPr>
        <w:ind w:left="560" w:hanging="280"/>
        <w:spacing w:after="0"/>
        <w:tabs>
          <w:tab w:leader="none" w:pos="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w:t>
      </w:r>
    </w:p>
    <w:p>
      <w:pPr>
        <w:spacing w:after="0" w:line="17" w:lineRule="exact"/>
        <w:rPr>
          <w:rFonts w:ascii="Arial" w:cs="Arial" w:eastAsia="Arial" w:hAnsi="Arial"/>
          <w:sz w:val="15"/>
          <w:szCs w:val="15"/>
          <w:color w:val="auto"/>
        </w:rPr>
      </w:pPr>
    </w:p>
    <w:p>
      <w:pPr>
        <w:ind w:left="560" w:hanging="280"/>
        <w:spacing w:after="0"/>
        <w:tabs>
          <w:tab w:leader="none" w:pos="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charter authorizes undesignated preferred stock, the terms of which may be established, and shares of which may be issued, without stockholder approval; and</w:t>
      </w:r>
    </w:p>
    <w:p>
      <w:pPr>
        <w:spacing w:after="0" w:line="29" w:lineRule="exact"/>
        <w:rPr>
          <w:rFonts w:ascii="Arial" w:cs="Arial" w:eastAsia="Arial" w:hAnsi="Arial"/>
          <w:sz w:val="14"/>
          <w:szCs w:val="14"/>
          <w:color w:val="auto"/>
        </w:rPr>
      </w:pPr>
    </w:p>
    <w:p>
      <w:pPr>
        <w:ind w:left="560" w:hanging="280"/>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cumulative voting in the election of directors is prohibited.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168"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b w:val="1"/>
          <w:bCs w:val="1"/>
          <w:i w:val="1"/>
          <w:iCs w:val="1"/>
          <w:color w:val="auto"/>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charter provides that the Court of Chancery of the State of Delaware will, to the fullest extent permitted by law, be the sole and exclusive forum for:</w:t>
      </w:r>
    </w:p>
    <w:p>
      <w:pPr>
        <w:spacing w:after="0" w:line="17" w:lineRule="exact"/>
        <w:rPr>
          <w:sz w:val="20"/>
          <w:szCs w:val="20"/>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6"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to us, our stockholders, creditors or other constituents by any of our directors, officers, other employees, agents or stockholders;</w:t>
      </w:r>
    </w:p>
    <w:p>
      <w:pPr>
        <w:spacing w:after="0" w:line="1" w:lineRule="exact"/>
        <w:rPr>
          <w:rFonts w:ascii="Arial" w:cs="Arial" w:eastAsia="Arial" w:hAnsi="Arial"/>
          <w:sz w:val="16"/>
          <w:szCs w:val="16"/>
          <w:color w:val="auto"/>
        </w:rPr>
      </w:pPr>
    </w:p>
    <w:p>
      <w:pPr>
        <w:ind w:left="560" w:right="20" w:hanging="280"/>
        <w:spacing w:after="0" w:line="247" w:lineRule="auto"/>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1" w:lineRule="exact"/>
        <w:rPr>
          <w:rFonts w:ascii="Arial" w:cs="Arial" w:eastAsia="Arial" w:hAnsi="Arial"/>
          <w:sz w:val="16"/>
          <w:szCs w:val="16"/>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action asserting a claim that is governed by the internal affairs doctrine.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7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We incur increased costs and demands upon management as a result of complying with the laws and regulations affecting public companies which could adversely affect our business, operating results and financial condition.</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As a public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4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our management to perform system and process evaluation and testing to allow it to report on the effectiveness of our internal control over financial reporting.</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See “—Our management identified material weaknesses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 sellers of our stock may be manipulative and may drive down the market price of our Class A common stock.</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Short selling is the practice of selling securities that a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stock to decline, some short sellers publish, or arrange for the publication of, opinions or characterizations regarding the relevant issuer, its business prospects and similar matters calculated to or which may create negative market momentum, which may permit them to obtain profits for themselves as a result of selling the securities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Issuers with limited trading volumes or substantial retail stockholder bases can be particularly susceptible to higher volatility levels, and can be particularly vulnerable to such short attacks.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Short seller publications are not regulated by any governmental or self-regulatory organization or any other official authority in the United States and are not subject to the certification requirements imposed by the SEC in Regulation Analyst Certification.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Short-seller publications may create the appearance or perception of wrongdoing, even when they are not substantiated, and may therefore affect the reputation or perception of our company and management.</w:t>
      </w:r>
    </w:p>
    <w:p>
      <w:pPr>
        <w:spacing w:after="0" w:line="155"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While we intend to strongly defend our public filings against any such short seller attacks, in many situations we could be constrained, for example, by principles of freedom of speech, applicable state law or issues of commercial confidentiality, in the manner in which we are able to proceed against the relevant short seller.</w:t>
      </w:r>
    </w:p>
    <w:p>
      <w:pPr>
        <w:spacing w:after="0" w:line="13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Such short-seller attacks have caused, and may cause in the future, temporary or possibly long term, declines in the market price of Class A common stock and possible litigation initiated against 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production facilities could be damaged or disrupted by a natural disaster, war, terrorist attacks or other catastrophic events.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The frequency and intensity of severe weather events are reportedly increasing throughout the world as part of broader climate changes. Global weather pattern changes may pose long-term risks of physical impacts to our business.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occupied our current corporate headquarters in Fremont, California, since February 2008, under a lease that, after an amendment in February 2021, now extends through March 31, 2023.</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conduct research and development, and service support operations at ACM Shanghai’s headquarters located in the Zhangjiang Hi Tech Park in Shanghai. We have leased this facility since 2007 and our lease currently extends until December 31, 2024.</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January 2018, ACM Shanghai entered into an operating lease for a second manufacturing space located in Shanghai, ten miles from its headquarters. The lease covers a total of 103,318 square feet, of which 100,000 square feet are allocated for production. Our lease currently extends until January 15, 2028.</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 February 2021, ACM Shanghai entered into an operating lease for a second building located adjacent to the above-mentioned second manufacturing space to provide additional manufacturing space. The lease covers approximately 106,076 square feet of which 100,000 square feet are allocated for production. Our lease currently extends until July 15, 2024. In July 2022, ACM Shanghai entered into an operating lease for a third building to provide additional manufacturing and warehousing space.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provide sales support and customer service operations from leased office space in Jiangyin and Wuxi in the PRC and Icheon in South Korea.</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May 2020 ACM Shanghai, through its wholly owned subsidiary ACM Shengwei, entered into an agreement for a 50-year land use right in the Lingang region of Shanghai. In July 2020 ACM Shengwei began a multi-year construction project for a new development and production center, with the objective of commencing production at the new facility in 2023. The planned 1,000,000 square foot facility will incorporate state-of-the-art manufacturing systems and automation technologies and will provide the floor space to support significantly more production capacity and related research and development activities when fully staffed and supplied.</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Lingang facility project, on October 28, 2020, a wholly owned subsidiary of ACM Shengwei entered into Shanghai Public Rental Housing Overall Pre-Sale Contracts with Shanghai Lingang Industrial Zone Public Rental Housing Construction and Operation Management Co., Ltd. for an aggregate price to us of approximately $40 million. ACM Shengwei’s subsidiary received ownership of the apartment units and corresponding land use rights in January 2022 as part of a pilot project of public rental housing in the “rent before sale” park in the Lingang Industrial Zone. The contracts stipulate that, for a ten-year term, ACM Shengwei’s subsidiary is obligated to manage the apartment units for public rental use in accordance with public rental housing standards and must rent the apartment units to employees of ACM Shanghai and its subsidiaries who work in the Lingang Industrial Zone. After that ten-year period expires, ACM Shengwei’s subsidiary may use the apartment units as stock of commercial housing and may sell them separately in sets.</w:t>
      </w:r>
    </w:p>
    <w:p>
      <w:pPr>
        <w:spacing w:after="0" w:line="363"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On December 15, 2022, ACM Shanghai entered into an agreement with Shanghai Zhangtou Guoju Cultural Development Company, LTD., the seller, and Shanghai United Assets and Equity Exchange Co., LTD., to purchase facilities in the ZhangJiang free trade zone, part of the Pudong district of Shanghai, for an aggregate price of 356.0 million RMB million ($51.1 million). Subsequent to additional tax payments and other obligations totaling RMB 90.8 million ($13.0 million), ACM Shanghai expects to receive ownership of the facilities in 2023. This facility will serve as the corporate headquarters for ACM Shanghai, consisting of four buildings for administrative and R&amp;D office use.</w:t>
      </w:r>
    </w:p>
    <w:p>
      <w:pPr>
        <w:spacing w:after="0" w:line="133"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 As of December 31, 2022, the Company had no outstanding legal proceedings.</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the Trading of Common Stock</w:t>
      </w:r>
    </w:p>
    <w:p>
      <w:pPr>
        <w:spacing w:after="0" w:line="20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Class A common stock has traded on NASDAQ Global Market under the symbol “ACMR” since November 3, 2017. The Class B common stock is not listed or traded on any stock exchange.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Common Stock</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February 22, 2023, there were 54,681,261 shares of Class A common stock outstanding held of record by 46 stockholders. The actual number of holders of Class A common stock is substantially greater and includes stockholders who are beneficial owners and whose shares are held of record by banks, brokers, and other financial institutions.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22, 2023, there were 5,021,811 shares of Class B common stock held of record by 16 stockholders.</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information required by this item will be set forth in the definitive proxy statement we will file in connection with our 2023 Annual Meeting of Stockholders and is incorporated by reference herein.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Unregistered Securities</w:t>
      </w:r>
    </w:p>
    <w:p>
      <w:pPr>
        <w:spacing w:after="0" w:line="200"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During the three months ended December 31, 2022, ACM Research issued, pursuant to the exercise of stock options at a per share exercise price of $0.50 per share, an aggregate of 179,514 shares of 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600" w:type="dxa"/>
            <w:vAlign w:val="bottom"/>
          </w:tcPr>
          <w:p>
            <w:pPr>
              <w:jc w:val="right"/>
              <w:ind w:right="1861"/>
              <w:spacing w:after="0"/>
              <w:rPr>
                <w:sz w:val="20"/>
                <w:szCs w:val="20"/>
                <w:color w:val="auto"/>
              </w:rPr>
            </w:pPr>
            <w:r>
              <w:rPr>
                <w:rFonts w:ascii="Arial" w:cs="Arial" w:eastAsia="Arial" w:hAnsi="Arial"/>
                <w:sz w:val="16"/>
                <w:szCs w:val="16"/>
                <w:b w:val="1"/>
                <w:bCs w:val="1"/>
                <w:color w:val="auto"/>
              </w:rPr>
              <w:t>Exercised</w:t>
            </w:r>
          </w:p>
        </w:tc>
      </w:tr>
      <w:tr>
        <w:trPr>
          <w:trHeight w:val="210"/>
        </w:trPr>
        <w:tc>
          <w:tcPr>
            <w:tcW w:w="7660" w:type="dxa"/>
            <w:vAlign w:val="bottom"/>
            <w:tcBorders>
              <w:bottom w:val="single" w:sz="8" w:color="auto"/>
            </w:tcBorders>
          </w:tcPr>
          <w:p>
            <w:pPr>
              <w:ind w:left="3040"/>
              <w:spacing w:after="0"/>
              <w:rPr>
                <w:sz w:val="20"/>
                <w:szCs w:val="20"/>
                <w:color w:val="auto"/>
              </w:rPr>
            </w:pPr>
            <w:r>
              <w:rPr>
                <w:rFonts w:ascii="Arial" w:cs="Arial" w:eastAsia="Arial" w:hAnsi="Arial"/>
                <w:sz w:val="16"/>
                <w:szCs w:val="16"/>
                <w:b w:val="1"/>
                <w:bCs w:val="1"/>
                <w:color w:val="auto"/>
              </w:rPr>
              <w:t>Sale Date</w:t>
            </w:r>
          </w:p>
        </w:tc>
        <w:tc>
          <w:tcPr>
            <w:tcW w:w="3600" w:type="dxa"/>
            <w:vAlign w:val="bottom"/>
            <w:tcBorders>
              <w:bottom w:val="single" w:sz="8" w:color="auto"/>
            </w:tcBorders>
          </w:tcPr>
          <w:p>
            <w:pPr>
              <w:jc w:val="right"/>
              <w:ind w:right="1781"/>
              <w:spacing w:after="0"/>
              <w:rPr>
                <w:sz w:val="20"/>
                <w:szCs w:val="20"/>
                <w:color w:val="auto"/>
              </w:rPr>
            </w:pPr>
            <w:r>
              <w:rPr>
                <w:rFonts w:ascii="Arial" w:cs="Arial" w:eastAsia="Arial" w:hAnsi="Arial"/>
                <w:sz w:val="16"/>
                <w:szCs w:val="16"/>
                <w:b w:val="1"/>
                <w:bCs w:val="1"/>
                <w:color w:val="auto"/>
              </w:rPr>
              <w:t>Shares (Net)</w:t>
            </w: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October 25, 2022</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50,387</w:t>
            </w:r>
          </w:p>
        </w:tc>
      </w:tr>
      <w:tr>
        <w:trPr>
          <w:trHeight w:val="190"/>
        </w:trPr>
        <w:tc>
          <w:tcPr>
            <w:tcW w:w="7660" w:type="dxa"/>
            <w:vAlign w:val="bottom"/>
          </w:tcPr>
          <w:p>
            <w:pPr>
              <w:spacing w:after="0"/>
              <w:rPr>
                <w:sz w:val="20"/>
                <w:szCs w:val="20"/>
                <w:color w:val="auto"/>
              </w:rPr>
            </w:pPr>
            <w:r>
              <w:rPr>
                <w:rFonts w:ascii="Arial" w:cs="Arial" w:eastAsia="Arial" w:hAnsi="Arial"/>
                <w:sz w:val="16"/>
                <w:szCs w:val="16"/>
                <w:color w:val="auto"/>
              </w:rPr>
              <w:t>November 3, 2022</w:t>
            </w:r>
          </w:p>
        </w:tc>
        <w:tc>
          <w:tcPr>
            <w:tcW w:w="3600" w:type="dxa"/>
            <w:vAlign w:val="bottom"/>
          </w:tcPr>
          <w:p>
            <w:pPr>
              <w:jc w:val="right"/>
              <w:spacing w:after="0"/>
              <w:rPr>
                <w:sz w:val="20"/>
                <w:szCs w:val="20"/>
                <w:color w:val="auto"/>
              </w:rPr>
            </w:pPr>
            <w:r>
              <w:rPr>
                <w:rFonts w:ascii="Arial" w:cs="Arial" w:eastAsia="Arial" w:hAnsi="Arial"/>
                <w:sz w:val="16"/>
                <w:szCs w:val="16"/>
                <w:color w:val="auto"/>
              </w:rPr>
              <w:t>25,481</w:t>
            </w: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November 14, 2022</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35,530</w:t>
            </w:r>
          </w:p>
        </w:tc>
      </w:tr>
      <w:tr>
        <w:trPr>
          <w:trHeight w:val="190"/>
        </w:trPr>
        <w:tc>
          <w:tcPr>
            <w:tcW w:w="7660" w:type="dxa"/>
            <w:vAlign w:val="bottom"/>
          </w:tcPr>
          <w:p>
            <w:pPr>
              <w:spacing w:after="0"/>
              <w:rPr>
                <w:sz w:val="20"/>
                <w:szCs w:val="20"/>
                <w:color w:val="auto"/>
              </w:rPr>
            </w:pPr>
            <w:r>
              <w:rPr>
                <w:rFonts w:ascii="Arial" w:cs="Arial" w:eastAsia="Arial" w:hAnsi="Arial"/>
                <w:sz w:val="16"/>
                <w:szCs w:val="16"/>
                <w:color w:val="auto"/>
              </w:rPr>
              <w:t>November 22, 2022</w:t>
            </w:r>
          </w:p>
        </w:tc>
        <w:tc>
          <w:tcPr>
            <w:tcW w:w="3600" w:type="dxa"/>
            <w:vAlign w:val="bottom"/>
          </w:tcPr>
          <w:p>
            <w:pPr>
              <w:jc w:val="right"/>
              <w:spacing w:after="0"/>
              <w:rPr>
                <w:sz w:val="20"/>
                <w:szCs w:val="20"/>
                <w:color w:val="auto"/>
              </w:rPr>
            </w:pPr>
            <w:r>
              <w:rPr>
                <w:rFonts w:ascii="Arial" w:cs="Arial" w:eastAsia="Arial" w:hAnsi="Arial"/>
                <w:sz w:val="16"/>
                <w:szCs w:val="16"/>
                <w:color w:val="auto"/>
              </w:rPr>
              <w:t>35,327</w:t>
            </w:r>
          </w:p>
        </w:tc>
      </w:tr>
      <w:tr>
        <w:trPr>
          <w:trHeight w:val="190"/>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December 2, 2022</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26,189</w:t>
            </w:r>
          </w:p>
        </w:tc>
      </w:tr>
      <w:tr>
        <w:trPr>
          <w:trHeight w:val="194"/>
        </w:trPr>
        <w:tc>
          <w:tcPr>
            <w:tcW w:w="7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December 12, 2022</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r>
      <w:tr>
        <w:trPr>
          <w:trHeight w:val="215"/>
        </w:trPr>
        <w:tc>
          <w:tcPr>
            <w:tcW w:w="7660" w:type="dxa"/>
            <w:vAlign w:val="bottom"/>
            <w:tcBorders>
              <w:bottom w:val="single" w:sz="8" w:color="auto"/>
            </w:tcBorders>
            <w:shd w:val="clear" w:color="auto" w:fill="CCEEFF"/>
          </w:tcPr>
          <w:p>
            <w:pPr>
              <w:ind w:left="6400"/>
              <w:spacing w:after="0"/>
              <w:rPr>
                <w:sz w:val="20"/>
                <w:szCs w:val="20"/>
                <w:color w:val="auto"/>
              </w:rPr>
            </w:pPr>
            <w:r>
              <w:rPr>
                <w:rFonts w:ascii="Arial" w:cs="Arial" w:eastAsia="Arial" w:hAnsi="Arial"/>
                <w:sz w:val="16"/>
                <w:szCs w:val="16"/>
                <w:color w:val="auto"/>
              </w:rPr>
              <w:t>Total</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179,514</w:t>
            </w:r>
          </w:p>
        </w:tc>
      </w:tr>
      <w:tr>
        <w:trPr>
          <w:trHeight w:val="20"/>
        </w:trPr>
        <w:tc>
          <w:tcPr>
            <w:tcW w:w="766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r>
      <w:tr>
        <w:trPr>
          <w:trHeight w:val="469"/>
        </w:trPr>
        <w:tc>
          <w:tcPr>
            <w:tcW w:w="7660" w:type="dxa"/>
            <w:vAlign w:val="bottom"/>
          </w:tcPr>
          <w:p>
            <w:pPr>
              <w:ind w:left="5560"/>
              <w:spacing w:after="0"/>
              <w:rPr>
                <w:sz w:val="20"/>
                <w:szCs w:val="20"/>
                <w:color w:val="auto"/>
              </w:rPr>
            </w:pPr>
            <w:r>
              <w:rPr>
                <w:rFonts w:ascii="Arial" w:cs="Arial" w:eastAsia="Arial" w:hAnsi="Arial"/>
                <w:sz w:val="13"/>
                <w:szCs w:val="13"/>
                <w:color w:val="auto"/>
              </w:rPr>
              <w:t>58</w:t>
            </w:r>
          </w:p>
        </w:tc>
        <w:tc>
          <w:tcPr>
            <w:tcW w:w="3600" w:type="dxa"/>
            <w:vAlign w:val="bottom"/>
          </w:tcPr>
          <w:p>
            <w:pPr>
              <w:spacing w:after="0"/>
              <w:rPr>
                <w:sz w:val="24"/>
                <w:szCs w:val="24"/>
                <w:color w:val="auto"/>
              </w:rPr>
            </w:pPr>
          </w:p>
        </w:tc>
      </w:tr>
      <w:tr>
        <w:trPr>
          <w:trHeight w:val="37"/>
        </w:trPr>
        <w:tc>
          <w:tcPr>
            <w:tcW w:w="76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following graph compares the total return of an investment of $100 in cash at the closing price of November 3, 2017, which is the date our common stock first began trading on Nasdaq, through December 31, 2022 for (1) our common stock, (2) the Russell 1000 index, and (3) the Nasdaq Composite Index. All values assume reinvestment of all dividends. Stockholder returns over the indicated period are based on historical data and are not necessarily indicative of future stockholder returns.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Among ACM Research, Inc., the Nasdaq Index, and the Russell 1000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125730</wp:posOffset>
            </wp:positionV>
            <wp:extent cx="5074920" cy="1779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74920" cy="177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78"/>
              </w:rPr>
              <w:t>Base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Period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160"/>
              <w:spacing w:after="0"/>
              <w:rPr>
                <w:sz w:val="20"/>
                <w:szCs w:val="20"/>
                <w:color w:val="auto"/>
              </w:rPr>
            </w:pPr>
            <w:r>
              <w:rPr>
                <w:rFonts w:ascii="Arial" w:cs="Arial" w:eastAsia="Arial" w:hAnsi="Arial"/>
                <w:sz w:val="16"/>
                <w:szCs w:val="16"/>
                <w:b w:val="1"/>
                <w:bCs w:val="1"/>
                <w:color w:val="auto"/>
              </w:rPr>
              <w:t>Years Ending</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Company Name/Index</w:t>
            </w: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ind w:right="221"/>
              <w:spacing w:after="0"/>
              <w:rPr>
                <w:sz w:val="20"/>
                <w:szCs w:val="20"/>
                <w:color w:val="auto"/>
              </w:rPr>
            </w:pPr>
            <w:r>
              <w:rPr>
                <w:rFonts w:ascii="Arial" w:cs="Arial" w:eastAsia="Arial" w:hAnsi="Arial"/>
                <w:sz w:val="16"/>
                <w:szCs w:val="16"/>
                <w:b w:val="1"/>
                <w:bCs w:val="1"/>
                <w:color w:val="auto"/>
                <w:w w:val="86"/>
              </w:rPr>
              <w:t>11/3/17</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96"/>
              </w:rPr>
              <w:t>12/29/17</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w w:val="99"/>
              </w:rPr>
              <w:t>12/31/18</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96"/>
              </w:rPr>
              <w:t>12/31/19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w w:val="99"/>
              </w:rPr>
              <w:t>12/31/20</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96"/>
              </w:rPr>
              <w:t>12/31/21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12/31/22</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ACM Research, Inc.</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Russell 1000 Index</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157</w:t>
            </w:r>
          </w:p>
        </w:tc>
        <w:tc>
          <w:tcPr>
            <w:tcW w:w="28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r>
      <w:tr>
        <w:trPr>
          <w:trHeight w:val="190"/>
        </w:trPr>
        <w:tc>
          <w:tcPr>
            <w:tcW w:w="20" w:type="dxa"/>
            <w:vAlign w:val="bottom"/>
          </w:tcPr>
          <w:p>
            <w:pPr>
              <w:spacing w:after="0"/>
              <w:rPr>
                <w:sz w:val="16"/>
                <w:szCs w:val="16"/>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Nasdaq Composite Index</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231</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w:t>
            </w:r>
          </w:p>
        </w:tc>
      </w:tr>
      <w:tr>
        <w:trPr>
          <w:trHeight w:val="379"/>
        </w:trPr>
        <w:tc>
          <w:tcPr>
            <w:tcW w:w="66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1140" w:type="dxa"/>
            <w:vAlign w:val="bottom"/>
          </w:tcPr>
          <w:p>
            <w:pPr>
              <w:ind w:left="200"/>
              <w:spacing w:after="0"/>
              <w:rPr>
                <w:sz w:val="20"/>
                <w:szCs w:val="20"/>
                <w:color w:val="auto"/>
              </w:rPr>
            </w:pPr>
            <w:r>
              <w:rPr>
                <w:rFonts w:ascii="Arial" w:cs="Arial" w:eastAsia="Arial" w:hAnsi="Arial"/>
                <w:sz w:val="16"/>
                <w:szCs w:val="16"/>
                <w:b w:val="1"/>
                <w:bCs w:val="1"/>
                <w:color w:val="auto"/>
              </w:rPr>
              <w:t>[Reserved]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
        </w:trPr>
        <w:tc>
          <w:tcPr>
            <w:tcW w:w="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59" w:name="page60"/>
    <w:bookmarkEnd w:id="59"/>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5"/>
        <w:spacing w:after="0"/>
        <w:tabs>
          <w:tab w:leader="none" w:pos="845"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i w:val="1"/>
          <w:iCs w:val="1"/>
          <w:color w:val="auto"/>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3 of this report. Please read “Item 1A. Risk Factors” for a discussion of factors that could cause our actual results to differ materially from our expectations</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Overview</w:t>
      </w:r>
    </w:p>
    <w:p>
      <w:pPr>
        <w:spacing w:after="0" w:line="200" w:lineRule="exact"/>
        <w:rPr>
          <w:sz w:val="20"/>
          <w:szCs w:val="20"/>
          <w:color w:val="auto"/>
        </w:rPr>
      </w:pPr>
    </w:p>
    <w:p>
      <w:pPr>
        <w:jc w:val="both"/>
        <w:ind w:left="5"/>
        <w:spacing w:after="0" w:line="342" w:lineRule="auto"/>
        <w:rPr>
          <w:sz w:val="20"/>
          <w:szCs w:val="20"/>
          <w:color w:val="auto"/>
        </w:rPr>
      </w:pPr>
      <w:r>
        <w:rPr>
          <w:rFonts w:ascii="Arial" w:cs="Arial" w:eastAsia="Arial" w:hAnsi="Arial"/>
          <w:sz w:val="14"/>
          <w:szCs w:val="14"/>
          <w:color w:val="auto"/>
        </w:rPr>
        <w:t>ACM Research was incorporated in California in 1998 and redomesticated in Delaware in 2016. We perform strategic planning, marketing, and financial activities at our global corporate headquarters in Fremont, California. ACM Research is neither a PRC operating company nor do we conduct our operations in the PRC through the use of VIEs.</w:t>
      </w:r>
    </w:p>
    <w:p>
      <w:pPr>
        <w:spacing w:after="0" w:line="111"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DRAM 3D NAND-flash memory chips, and compound semiconductor chips. We also develop, manufacture and sell a range of advanced packaging tools to wafer assembly and packaging customers.</w:t>
      </w:r>
    </w:p>
    <w:p>
      <w:pPr>
        <w:spacing w:after="0" w:line="168"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We are focused on building a strategic portfolio of intellectual property to support and protect our key innovations. Our tools have been developed using our key proprietary technologies:</w:t>
      </w:r>
    </w:p>
    <w:p>
      <w:pPr>
        <w:ind w:left="425" w:right="20" w:hanging="425"/>
        <w:spacing w:after="0" w:line="247" w:lineRule="auto"/>
        <w:tabs>
          <w:tab w:leader="none" w:pos="425"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SAPS technology for flat and patterned wafer surfaces</w:t>
      </w:r>
      <w:r>
        <w:rPr>
          <w:rFonts w:ascii="Arial" w:cs="Arial" w:eastAsia="Arial" w:hAnsi="Arial"/>
          <w:sz w:val="16"/>
          <w:szCs w:val="16"/>
          <w:color w:val="auto"/>
        </w:rPr>
        <w:t>, which employs alternating phases of megasonic waves to deliver megasonic energy in a highly uniform manner on</w:t>
      </w:r>
      <w:r>
        <w:rPr>
          <w:rFonts w:ascii="Arial" w:cs="Arial" w:eastAsia="Arial" w:hAnsi="Arial"/>
          <w:sz w:val="16"/>
          <w:szCs w:val="16"/>
          <w:i w:val="1"/>
          <w:iCs w:val="1"/>
          <w:color w:val="auto"/>
        </w:rPr>
        <w:t xml:space="preserve"> </w:t>
      </w:r>
      <w:r>
        <w:rPr>
          <w:rFonts w:ascii="Arial" w:cs="Arial" w:eastAsia="Arial" w:hAnsi="Arial"/>
          <w:sz w:val="16"/>
          <w:szCs w:val="16"/>
          <w:color w:val="auto"/>
        </w:rPr>
        <w:t>a microscopic level;</w:t>
      </w:r>
    </w:p>
    <w:p>
      <w:pPr>
        <w:spacing w:after="0" w:line="1" w:lineRule="exact"/>
        <w:rPr>
          <w:rFonts w:ascii="Arial" w:cs="Arial" w:eastAsia="Arial" w:hAnsi="Arial"/>
          <w:sz w:val="16"/>
          <w:szCs w:val="16"/>
          <w:color w:val="auto"/>
        </w:rPr>
      </w:pPr>
    </w:p>
    <w:p>
      <w:pPr>
        <w:ind w:left="425" w:right="20" w:hanging="425"/>
        <w:spacing w:after="0" w:line="247" w:lineRule="auto"/>
        <w:tabs>
          <w:tab w:leader="none" w:pos="425"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TEBO technology for patterned wafer surfaces at advanced process nodes</w:t>
      </w:r>
      <w:r>
        <w:rPr>
          <w:rFonts w:ascii="Arial" w:cs="Arial" w:eastAsia="Arial" w:hAnsi="Arial"/>
          <w:sz w:val="16"/>
          <w:szCs w:val="16"/>
          <w:color w:val="auto"/>
        </w:rPr>
        <w:t>, which provides effective, damage-free cleaning for 2D and 3D patterned wafers with fine</w:t>
      </w:r>
      <w:r>
        <w:rPr>
          <w:rFonts w:ascii="Arial" w:cs="Arial" w:eastAsia="Arial" w:hAnsi="Arial"/>
          <w:sz w:val="16"/>
          <w:szCs w:val="16"/>
          <w:i w:val="1"/>
          <w:iCs w:val="1"/>
          <w:color w:val="auto"/>
        </w:rPr>
        <w:t xml:space="preserve"> </w:t>
      </w:r>
      <w:r>
        <w:rPr>
          <w:rFonts w:ascii="Arial" w:cs="Arial" w:eastAsia="Arial" w:hAnsi="Arial"/>
          <w:sz w:val="16"/>
          <w:szCs w:val="16"/>
          <w:color w:val="auto"/>
        </w:rPr>
        <w:t>feature sizes;</w:t>
      </w:r>
    </w:p>
    <w:p>
      <w:pPr>
        <w:spacing w:after="0" w:line="1" w:lineRule="exact"/>
        <w:rPr>
          <w:rFonts w:ascii="Arial" w:cs="Arial" w:eastAsia="Arial" w:hAnsi="Arial"/>
          <w:sz w:val="16"/>
          <w:szCs w:val="16"/>
          <w:color w:val="auto"/>
        </w:rPr>
      </w:pPr>
    </w:p>
    <w:p>
      <w:pPr>
        <w:ind w:left="425" w:hanging="425"/>
        <w:spacing w:after="0" w:line="247" w:lineRule="auto"/>
        <w:tabs>
          <w:tab w:leader="none" w:pos="425"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Tahoe technology for cost and environmental savings</w:t>
      </w:r>
      <w:r>
        <w:rPr>
          <w:rFonts w:ascii="Arial" w:cs="Arial" w:eastAsia="Arial" w:hAnsi="Arial"/>
          <w:sz w:val="16"/>
          <w:szCs w:val="16"/>
          <w:color w:val="auto"/>
        </w:rPr>
        <w:t>, which delivers high cleaning performance using significantly less sulfuric acid and hydrogen peroxide than is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consumed by conventional high-temperature single-wafer cleaning tools; and</w:t>
      </w:r>
    </w:p>
    <w:p>
      <w:pPr>
        <w:spacing w:after="0" w:line="1" w:lineRule="exact"/>
        <w:rPr>
          <w:rFonts w:ascii="Arial" w:cs="Arial" w:eastAsia="Arial" w:hAnsi="Arial"/>
          <w:sz w:val="16"/>
          <w:szCs w:val="16"/>
          <w:color w:val="auto"/>
        </w:rPr>
      </w:pPr>
    </w:p>
    <w:p>
      <w:pPr>
        <w:ind w:left="425" w:right="20" w:hanging="425"/>
        <w:spacing w:after="0" w:line="255" w:lineRule="auto"/>
        <w:tabs>
          <w:tab w:leader="none" w:pos="425"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ECP technology for advanced metal plating</w:t>
      </w:r>
      <w:r>
        <w:rPr>
          <w:rFonts w:ascii="Arial" w:cs="Arial" w:eastAsia="Arial" w:hAnsi="Arial"/>
          <w:sz w:val="16"/>
          <w:szCs w:val="16"/>
          <w:color w:val="auto"/>
        </w:rPr>
        <w:t>, which includes Ultra ECP ap, or Advanced Packaging, technology for back-end assembly processes, Ultra ECP 3d for</w:t>
      </w:r>
      <w:r>
        <w:rPr>
          <w:rFonts w:ascii="Arial" w:cs="Arial" w:eastAsia="Arial" w:hAnsi="Arial"/>
          <w:sz w:val="16"/>
          <w:szCs w:val="16"/>
          <w:i w:val="1"/>
          <w:iCs w:val="1"/>
          <w:color w:val="auto"/>
        </w:rPr>
        <w:t xml:space="preserve"> </w:t>
      </w:r>
      <w:r>
        <w:rPr>
          <w:rFonts w:ascii="Arial" w:cs="Arial" w:eastAsia="Arial" w:hAnsi="Arial"/>
          <w:sz w:val="16"/>
          <w:szCs w:val="16"/>
          <w:color w:val="auto"/>
        </w:rPr>
        <w:t>through-silicon-via, or tsv, and Ultra ECP map, or Multi-Anode Partial Plating, technology for front-end wafer fabrication processes.</w:t>
      </w:r>
    </w:p>
    <w:p>
      <w:pPr>
        <w:spacing w:after="0" w:line="168"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In 2020, 2021 and 2022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168"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We added two major new product categories in 2022 with the launch of the Ultra Pmax™ PECVD tool, which is equipped with a proprietary designed chamber, gas distribution unit and chuck, and is intended to provide better film uniformity, reduced film stress, and improved particle performance, and the introduction of the Ultra Track tool, a 300mm process tool that delivers uniform air downflow, fast robot handling and customizable software to address specific customer requirements, and has multiple features that enhance performance across defectivity, throughput, and cost of ownership.</w:t>
      </w:r>
    </w:p>
    <w:p>
      <w:pPr>
        <w:spacing w:after="0" w:line="168"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now encompass a total of 236,000 square feet of floor space for production capacity, with 100,000 square feet having been added in 2021 with the lease of a second building in the Pudong region of Shanghai. In May 2020 ACM Shanghai, through its wholly owned subsidiary ACM Shengwei, entered into an agreement for a land use right in the Lingang region of Shanghai. In 2020 ACM Shengwei began a multi-year construction project for a new 1,000,000 square foot development and production center that will incorporate state-of-the-art manufacturing systems and automation technologies and will provide floor space to support significantly increased production capacity and related R&amp;D activities. We expect to complete construction of the first Lingang manufacturing building and commence initial production in the second half of 2023 timeframe. See “Item 2. Properties” of Part I of this report.</w:t>
      </w:r>
    </w:p>
    <w:p>
      <w:pPr>
        <w:spacing w:after="0" w:line="33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ECP, furnace, PECVD, Track, and other technologies, and enable us to design innovative products and solutions to address their needs.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Independent Registered Public Accounting Firm</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HFCA Act requires that the PCAOB determine whether it is unable to inspect or investigate completely registered public accounting firms located in a non-U.S. jurisdiction because of a position taken by one or more authorities in any non-U.S. jurisdiction. BDO China had been our independent registered public accounting firm in recent years, including for the year ended December 31, 2021. On June 22, 2021, the U.S. Senate passed the Accelerating Holding Foreign Companies Accountable Act, which was enacted on December 29, 2022 under the Consolidated Appropriations Act, 2023, as further described below. On December 16, 2021, the PCAOB reported its determination that it was unable to inspect or investigate completely registered public accounting firms headquartered in the PRC and Hong Kong, including BDO China, because of positions taken by PRC authorities in those jurisdictions. On March 30, 2022, based on this determination, ACM Research was transferred to the SEC’s “Conclusive list of issuers identified under the HFCA.”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operating in the PRC” of this report for more information. Under current regulations, if ACM Research were to be included on this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On December 15, 2022, the PCAOB announced that it was able to secure complete access to inspect and investigate PCAOB-registered public accounting firms headquartered in the PRC and Hong Kong in 2022 and vacated its previous December 16, 2021 determination to the contrary. However, whether the PCAOB will continue to be able to satisfactorily conduct inspections of PCAOB-registered public accounting firms headquartered in the PRC and Hong Kong is subject to uncertainty and depends on a number of factors out of our, and our auditor’s, control. PRC authorities will need to ensure that the PCAOB continues to have full access for inspections and investigations in 2023 and beyond. Each year, the PCAOB will determine whether it can inspect and investigate completely audit firms in the PRC and Hong Kong, among other jurisdictions. If the PRC authorities do not allow the PCAOB complete access for inspections and investigations for two consecutive years, the SEC would prohibit trading in the securities of issuers engaging those audit firms, as required under the HFCA Act. Further, 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on June 30, 2022, stockholders of ACM Research ratified the appointment of Armanino LLP as our independent auditor for the year ended December 31, 2022. Armanino LLP is neither headquartered in the PRC or Hong Kong nor was it subject to the determinations announced by the PCAOB on December 16, 2021, which determinations were vacated by the PCAOB on December 15, 2022, and, subsequent to the filing of this report, we do not believe ACM Research will appear on the “Conclusive list of issuers identified under the HFCAA” for a second time.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1" w:name="page62"/>
    <w:bookmarkEnd w:id="61"/>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STAR Listing and IPO</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color w:val="auto"/>
        </w:rPr>
        <w:t>On November 18, 2021, ACM’s operating subsidiary ACM Shanghai completed:</w:t>
      </w:r>
    </w:p>
    <w:p>
      <w:pPr>
        <w:spacing w:after="0" w:line="196" w:lineRule="exact"/>
        <w:rPr>
          <w:sz w:val="20"/>
          <w:szCs w:val="20"/>
          <w:color w:val="auto"/>
        </w:rPr>
      </w:pPr>
    </w:p>
    <w:p>
      <w:pPr>
        <w:ind w:left="425" w:right="20" w:hanging="425"/>
        <w:spacing w:after="0" w:line="255" w:lineRule="auto"/>
        <w:tabs>
          <w:tab w:leader="none" w:pos="4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listing, which we refer to as the STAR Listing, of shares of ACM Shanghai on the Shanghai Stock Exchange’s Sci-Tech innovAtion boaRd, known as the STAR Market; and</w:t>
      </w:r>
    </w:p>
    <w:p>
      <w:pPr>
        <w:ind w:left="425" w:hanging="425"/>
        <w:spacing w:after="0" w:line="255" w:lineRule="auto"/>
        <w:tabs>
          <w:tab w:leader="none" w:pos="4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concurrent initial public offering, which we refer to as the STAR IPO, of ACM Shanghai shares in the PRC, at a pre-offering valuation of not less than RMB 5.15 billion ($747.1 million).</w:t>
      </w:r>
    </w:p>
    <w:p>
      <w:pPr>
        <w:spacing w:after="0" w:line="168"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Following the completion of the STAR IPO, ACM Shanghai’s shares began trading on the STAR Market under the stock code 688082. In the STAR IPO, ACM Shanghai issued 43,355,753 shares, representing ten percent of the total 433,557,100 shares outstanding after the STAR IPO. The shares were issued at a public offering price of RMB 85.00 per share, and the proceeds of the STAR IPO totaled approximately $545.5 million, net of fees and expenses. Upon completion of the STAR IPO, ACM owned approximately 82.5% of the outstanding ACM Shanghai shares. The net proceeds of the STAR IPO are expected to be used to fund:</w:t>
      </w:r>
    </w:p>
    <w:p>
      <w:pPr>
        <w:spacing w:after="0" w:line="154" w:lineRule="exact"/>
        <w:rPr>
          <w:sz w:val="20"/>
          <w:szCs w:val="20"/>
          <w:color w:val="auto"/>
        </w:rPr>
      </w:pPr>
    </w:p>
    <w:p>
      <w:pPr>
        <w:ind w:left="425" w:hanging="425"/>
        <w:spacing w:after="0"/>
        <w:tabs>
          <w:tab w:leader="none" w:pos="4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land lease for, and construction of, ACM Shanghai’s proposed development and production center in the Lingang region of Shanghai;</w:t>
      </w:r>
    </w:p>
    <w:p>
      <w:pPr>
        <w:spacing w:after="0" w:line="17" w:lineRule="exact"/>
        <w:rPr>
          <w:rFonts w:ascii="Arial" w:cs="Arial" w:eastAsia="Arial" w:hAnsi="Arial"/>
          <w:sz w:val="16"/>
          <w:szCs w:val="16"/>
          <w:color w:val="auto"/>
        </w:rPr>
      </w:pPr>
    </w:p>
    <w:p>
      <w:pPr>
        <w:jc w:val="both"/>
        <w:ind w:left="425" w:hanging="425"/>
        <w:spacing w:after="0" w:line="283" w:lineRule="auto"/>
        <w:tabs>
          <w:tab w:leader="none" w:pos="425"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product development to upgrade and expand our process equipment targeted at more advanced process nodes, including technical improvement and development of TEBO megasonic cleaning equipment, Tahoe single wafer wet bench combined cleaning equipment, front-end brush scrubbing equipment, auto bench and backside cleaning equipment, electroplating equipment, stress free polish equipment, vertical furnace equipment, and additional new products to expand our product portfolio; and</w:t>
      </w:r>
    </w:p>
    <w:p>
      <w:pPr>
        <w:ind w:left="425" w:hanging="425"/>
        <w:spacing w:after="0"/>
        <w:tabs>
          <w:tab w:leader="none" w:pos="4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working capital.</w:t>
      </w:r>
    </w:p>
    <w:p>
      <w:pPr>
        <w:spacing w:after="0" w:line="185"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We believe the STAR Listing will help us scale our business in mainland PRC, as we continue to seek to broaden our markets in Europe, Japan, South Korea, Taiwan and the United States. Our global headquarters will continue to be located in Fremont, California, and we are committed to maintaining the listing of Class A common stock on the Nasdaq Global Market.</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Restrictions Imposed by the U.S. Department of Commerce on PRC-Based Semiconductor Producers</w:t>
      </w:r>
    </w:p>
    <w:p>
      <w:pPr>
        <w:spacing w:after="0" w:line="200"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Substantially all of ACM Shanghai’s customers and a significant portion of its operations are based in the PRC. In 2022, 43.8% of our revenue was derived from three customers: The Huali Huahong Group, a leading PRC-based foundry, accounted for 18.2% of our revenue; SMIC, a leading PRC-based foundry, accounted for 15.6% of our revenue, and YMTC, a leading PRC-based memory chip company, together with one of its subsidiaries, accounted for 10.0% of our revenue. In 2021, 48.9% of our revenue was derived from two PRC-based customers: The Huali Huahong Group accounted for 28.1% of our revenue and YMTC accounted for 20.8% of our revenue.</w:t>
      </w:r>
    </w:p>
    <w:p>
      <w:pPr>
        <w:spacing w:after="0" w:line="154" w:lineRule="exact"/>
        <w:rPr>
          <w:sz w:val="20"/>
          <w:szCs w:val="20"/>
          <w:color w:val="auto"/>
        </w:rPr>
      </w:pPr>
    </w:p>
    <w:p>
      <w:pPr>
        <w:jc w:val="both"/>
        <w:ind w:left="5" w:right="20"/>
        <w:spacing w:after="0" w:line="252" w:lineRule="auto"/>
        <w:rPr>
          <w:sz w:val="20"/>
          <w:szCs w:val="20"/>
          <w:color w:val="auto"/>
        </w:rPr>
      </w:pPr>
      <w:r>
        <w:rPr>
          <w:rFonts w:ascii="Arial" w:cs="Arial" w:eastAsia="Arial" w:hAnsi="Arial"/>
          <w:sz w:val="16"/>
          <w:szCs w:val="16"/>
          <w:color w:val="auto"/>
        </w:rPr>
        <w:t>In early October 2022, the U.S. government enacted new rules aimed at restricting U.S. support for the PRC’s ability to manufacture advanced semiconductors. The rules include new export license requirements for exports, re-exports or transfers to or within the PRC of additional types of semiconductor manufacturing items, items for use in manufacturing designated types of semiconductor manufacturing equipment in the PRC, and semiconductor manufacturing equipment for use at certain IC manufacturing and development facilities in the PRC. In addition, the U.S. government imposed new restrictions by which U.S. persons anywhere in the world are effectively barred from engaging in certain activities related to the development and production of semiconductors at PRC fabrication facilities meeting specified criteria, even if no items subject to the EAR are involved.</w:t>
      </w:r>
    </w:p>
    <w:p>
      <w:pPr>
        <w:spacing w:after="0" w:line="171"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ACM Shanghai has determined that several of its customers have PRC-based facilities that meet the restricted criteria, and has also determined that several of its products may meet the parameters of export control classification numbers, or ECCNs, affected by the restrictions. Accordingly, depending on the details of the final implementation of these new restrictions and associated licensing policies, ACM may not be able to import, or may face substantial restrictions in importing, parts from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their supply chains more broadly to comply with the new regulations.</w:t>
      </w:r>
    </w:p>
    <w:p>
      <w:pPr>
        <w:spacing w:after="0" w:line="33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2" w:name="page63"/>
    <w:bookmarkEnd w:id="62"/>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right="20"/>
        <w:spacing w:after="0" w:line="252" w:lineRule="auto"/>
        <w:rPr>
          <w:sz w:val="20"/>
          <w:szCs w:val="20"/>
          <w:color w:val="auto"/>
        </w:rPr>
      </w:pPr>
      <w:r>
        <w:rPr>
          <w:rFonts w:ascii="Arial" w:cs="Arial" w:eastAsia="Arial" w:hAnsi="Arial"/>
          <w:sz w:val="16"/>
          <w:szCs w:val="16"/>
          <w:color w:val="auto"/>
        </w:rPr>
        <w:t>We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three months ended December 31, 2022. We anticipate these factors will continue to have an adverse impact on ACM Shanghai’s shipments and sales in future periods. See “Item 1A. Risk Factors—Regulatory Risks—Our ability to sell our tools to Chinese customers has been impacted, and will likely to be materially and adversely impacted, by export license requirements, other regulatory changes, or other actions taken by the U.S. or other governmental agencies” for more information.</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COVID–19 Pandemic</w:t>
      </w:r>
    </w:p>
    <w:p>
      <w:pPr>
        <w:spacing w:after="0" w:line="200" w:lineRule="exact"/>
        <w:rPr>
          <w:sz w:val="20"/>
          <w:szCs w:val="20"/>
          <w:color w:val="auto"/>
        </w:rPr>
      </w:pPr>
    </w:p>
    <w:p>
      <w:pPr>
        <w:jc w:val="both"/>
        <w:ind w:left="5" w:right="20"/>
        <w:spacing w:after="0" w:line="274" w:lineRule="auto"/>
        <w:rPr>
          <w:sz w:val="20"/>
          <w:szCs w:val="20"/>
          <w:color w:val="auto"/>
        </w:rPr>
      </w:pPr>
      <w:r>
        <w:rPr>
          <w:rFonts w:ascii="Arial" w:cs="Arial" w:eastAsia="Arial" w:hAnsi="Arial"/>
          <w:sz w:val="15"/>
          <w:szCs w:val="15"/>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could continue to result in economic uncertainty and global economic policies that could reduce demand for the Company’s products and its customers’ chips and have a material adverse impact on the Company’s business, operating results and financial condition. For an explanation of some of the risks we potentially face, please read carefully the information provided under “Item 1A. Risk Factors—Risks Related to the COVID–19 Pandemic,” of Part I of this report.</w:t>
      </w:r>
    </w:p>
    <w:p>
      <w:pPr>
        <w:spacing w:after="0" w:line="155"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summary reflects our expectations and estimates based on information known to us as of the date of this filing:</w:t>
      </w:r>
    </w:p>
    <w:p>
      <w:pPr>
        <w:spacing w:after="0" w:line="196" w:lineRule="exact"/>
        <w:rPr>
          <w:sz w:val="20"/>
          <w:szCs w:val="20"/>
          <w:color w:val="auto"/>
        </w:rPr>
      </w:pPr>
    </w:p>
    <w:p>
      <w:pPr>
        <w:ind w:left="425" w:right="20" w:hanging="425"/>
        <w:spacing w:after="0" w:line="270" w:lineRule="auto"/>
        <w:tabs>
          <w:tab w:leader="none" w:pos="42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Operations</w:t>
      </w:r>
      <w:r>
        <w:rPr>
          <w:rFonts w:ascii="Arial" w:cs="Arial" w:eastAsia="Arial" w:hAnsi="Arial"/>
          <w:sz w:val="16"/>
          <w:szCs w:val="16"/>
          <w:color w:val="auto"/>
        </w:rPr>
        <w:t>: We conduct substantially all of our product development, manufacturing, support and services in the PRC through ACM Shanghai, and those activities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directly impacted by COVID–19 and related restrictions on transportation and public appearances.</w:t>
      </w:r>
    </w:p>
    <w:p>
      <w:pPr>
        <w:spacing w:after="0" w:line="156" w:lineRule="exact"/>
        <w:rPr>
          <w:rFonts w:ascii="Arial" w:cs="Arial" w:eastAsia="Arial" w:hAnsi="Arial"/>
          <w:sz w:val="16"/>
          <w:szCs w:val="16"/>
          <w:color w:val="auto"/>
        </w:rPr>
      </w:pPr>
    </w:p>
    <w:p>
      <w:pPr>
        <w:jc w:val="both"/>
        <w:ind w:left="425"/>
        <w:spacing w:after="0" w:line="267" w:lineRule="auto"/>
        <w:rPr>
          <w:rFonts w:ascii="Arial" w:cs="Arial" w:eastAsia="Arial" w:hAnsi="Arial"/>
          <w:sz w:val="16"/>
          <w:szCs w:val="16"/>
          <w:color w:val="auto"/>
        </w:rPr>
      </w:pPr>
      <w:r>
        <w:rPr>
          <w:rFonts w:ascii="Arial" w:cs="Arial" w:eastAsia="Arial" w:hAnsi="Arial"/>
          <w:sz w:val="15"/>
          <w:szCs w:val="15"/>
          <w:color w:val="auto"/>
        </w:rPr>
        <w:t>In March 2022, several regions in China began to experience elevated levels of COVID-19 infections, and the PRC government instituted policies to restrict the spread of the virus, which are referred to as zero-COVID policies.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Furthermore, a number of our customers have substantial operations based in operations areas of the PRC, including in the City of Shanghai, subject to the full-city restrictions, which began limiting the operations of those customers in the first quarter of 2022, including inhibiting their ability to receive, implement and operate new tools for their manufacturing facilities. As a result, in some cases, ACM Shanghai was required to defer shipments of finished products to these customers because of operational and logistics limitations affecting customers rather than, or in addition to, ACM Shanghai.</w:t>
      </w:r>
    </w:p>
    <w:p>
      <w:pPr>
        <w:spacing w:after="0" w:line="167" w:lineRule="exact"/>
        <w:rPr>
          <w:rFonts w:ascii="Arial" w:cs="Arial" w:eastAsia="Arial" w:hAnsi="Arial"/>
          <w:sz w:val="16"/>
          <w:szCs w:val="16"/>
          <w:color w:val="auto"/>
        </w:rPr>
      </w:pPr>
    </w:p>
    <w:p>
      <w:pPr>
        <w:jc w:val="both"/>
        <w:ind w:left="425" w:right="20"/>
        <w:spacing w:after="0" w:line="284" w:lineRule="auto"/>
        <w:rPr>
          <w:rFonts w:ascii="Arial" w:cs="Arial" w:eastAsia="Arial" w:hAnsi="Arial"/>
          <w:sz w:val="16"/>
          <w:szCs w:val="16"/>
          <w:color w:val="auto"/>
        </w:rPr>
      </w:pPr>
      <w:r>
        <w:rPr>
          <w:rFonts w:ascii="Arial" w:cs="Arial" w:eastAsia="Arial" w:hAnsi="Arial"/>
          <w:sz w:val="15"/>
          <w:szCs w:val="15"/>
          <w:color w:val="auto"/>
        </w:rPr>
        <w:t>In late April 2022, ACM Shanghai began to resume some operations at the Chuansha manufacturing site using the “closed loop method,” in which a limited collection of workers remains together as a group between a single hotel, the ACM Shanghai facility, and a dedicated bus transportation route, also referred to as “two points and one line,” and had resumed substantially all of its Chuansha manufacturing site operations by the end of the second quarter of 2022.</w:t>
      </w:r>
    </w:p>
    <w:p>
      <w:pPr>
        <w:spacing w:after="0" w:line="31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3" w:name="page64"/>
    <w:bookmarkEnd w:id="63"/>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425"/>
        <w:spacing w:after="0" w:line="284" w:lineRule="auto"/>
        <w:rPr>
          <w:sz w:val="20"/>
          <w:szCs w:val="20"/>
          <w:color w:val="auto"/>
        </w:rPr>
      </w:pPr>
      <w:r>
        <w:rPr>
          <w:rFonts w:ascii="Arial" w:cs="Arial" w:eastAsia="Arial" w:hAnsi="Arial"/>
          <w:sz w:val="15"/>
          <w:szCs w:val="15"/>
          <w:color w:val="auto"/>
        </w:rPr>
        <w:t>In mid-June 2022, substantially all of ACM Shanghai’s R&amp;D and administrative employees at its Zhangjiang facility were allowed to return to work under strict safety protocols after a period of restricted access to the building that for many employees was partially mitigated by being able to work from home. ACM Shanghai established several policies to help avoid or limit future outbreaks among employees and thus protect employee safety and limit the possibility of a facility reclosing.</w:t>
      </w:r>
    </w:p>
    <w:p>
      <w:pPr>
        <w:spacing w:after="0" w:line="148" w:lineRule="exact"/>
        <w:rPr>
          <w:sz w:val="20"/>
          <w:szCs w:val="20"/>
          <w:color w:val="auto"/>
        </w:rPr>
      </w:pPr>
    </w:p>
    <w:p>
      <w:pPr>
        <w:jc w:val="both"/>
        <w:ind w:left="425"/>
        <w:spacing w:after="0" w:line="255" w:lineRule="auto"/>
        <w:rPr>
          <w:sz w:val="20"/>
          <w:szCs w:val="20"/>
          <w:color w:val="auto"/>
        </w:rPr>
      </w:pPr>
      <w:r>
        <w:rPr>
          <w:rFonts w:ascii="Arial" w:cs="Arial" w:eastAsia="Arial" w:hAnsi="Arial"/>
          <w:sz w:val="16"/>
          <w:szCs w:val="16"/>
          <w:color w:val="auto"/>
        </w:rPr>
        <w:t>The effects of the PRC restrictions continued for several months, with a gradual return of PRC operations, production capacity, and global logistics as Shanghai and other areas in the PRC began to reopen. We cannot assure you that closures or reductions of PRC operations or production, whether of ACM Shanghai or of some of its key customers, may not be extended in the future as the result of business interruptions arising from protective measures being taken by the PRC and other governmental agencies or of other consequences of COVID-19.</w:t>
      </w:r>
    </w:p>
    <w:p>
      <w:pPr>
        <w:spacing w:after="0" w:line="168" w:lineRule="exact"/>
        <w:rPr>
          <w:sz w:val="20"/>
          <w:szCs w:val="20"/>
          <w:color w:val="auto"/>
        </w:rPr>
      </w:pPr>
    </w:p>
    <w:p>
      <w:pPr>
        <w:jc w:val="both"/>
        <w:ind w:left="425"/>
        <w:spacing w:after="0" w:line="277" w:lineRule="auto"/>
        <w:rPr>
          <w:sz w:val="20"/>
          <w:szCs w:val="20"/>
          <w:color w:val="auto"/>
        </w:rPr>
      </w:pPr>
      <w:r>
        <w:rPr>
          <w:rFonts w:ascii="Arial" w:cs="Arial" w:eastAsia="Arial" w:hAnsi="Arial"/>
          <w:sz w:val="15"/>
          <w:szCs w:val="15"/>
          <w:color w:val="auto"/>
        </w:rPr>
        <w:t>In December 2022, the PRC government relaxed its zero-COVID policies, which resulted in large scale COVID-19 infections throughout China, including Shanghai. A significant number of ACM Shanghai employees were also infected, and in many cases missed work for one or several weeks, which caused administrative and operational challenges in late 2022 and early 2023. We cannot assure you that illnesses of ACM Shanghai employees, or of its customers, suppliers or other third parties, may not result in closures, reductions of PRC operations or production, or additional administrative inefficiencies in the upcoming months or quarters.</w:t>
      </w:r>
    </w:p>
    <w:p>
      <w:pPr>
        <w:spacing w:after="0" w:line="154" w:lineRule="exact"/>
        <w:rPr>
          <w:sz w:val="20"/>
          <w:szCs w:val="20"/>
          <w:color w:val="auto"/>
        </w:rPr>
      </w:pPr>
    </w:p>
    <w:p>
      <w:pPr>
        <w:jc w:val="both"/>
        <w:ind w:left="425"/>
        <w:spacing w:after="0" w:line="298" w:lineRule="auto"/>
        <w:rPr>
          <w:sz w:val="20"/>
          <w:szCs w:val="20"/>
          <w:color w:val="auto"/>
        </w:rPr>
      </w:pPr>
      <w:r>
        <w:rPr>
          <w:rFonts w:ascii="Arial" w:cs="Arial" w:eastAsia="Arial" w:hAnsi="Arial"/>
          <w:sz w:val="14"/>
          <w:szCs w:val="14"/>
          <w:color w:val="auto"/>
        </w:rPr>
        <w:t>Our corporate headquarters are located in Fremont, California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 To date we have not experienced absenteeism of management or other key employees, other than certain of our executive officers being delayed in traveling between the PRC, our California office, and other global locations, and a significant number of ACM Shanghai employees missing work in late 2022 and early 2023 for one or several weeks due to COVID-19 related illness following relaxation of the PRC’s zero-COVID policies in December 2022.</w:t>
      </w:r>
    </w:p>
    <w:p>
      <w:pPr>
        <w:spacing w:after="0" w:line="141" w:lineRule="exact"/>
        <w:rPr>
          <w:sz w:val="20"/>
          <w:szCs w:val="20"/>
          <w:color w:val="auto"/>
        </w:rPr>
      </w:pPr>
    </w:p>
    <w:p>
      <w:pPr>
        <w:jc w:val="both"/>
        <w:ind w:left="425" w:hanging="425"/>
        <w:spacing w:after="0" w:line="270" w:lineRule="auto"/>
        <w:tabs>
          <w:tab w:leader="none" w:pos="425"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Customers: </w:t>
      </w:r>
      <w:r>
        <w:rPr>
          <w:rFonts w:ascii="Arial" w:cs="Arial" w:eastAsia="Arial" w:hAnsi="Arial"/>
          <w:sz w:val="15"/>
          <w:szCs w:val="15"/>
          <w:color w:val="auto"/>
        </w:rPr>
        <w:t>Our customers’, including the customers of ACM Shanghai, business operations have been, and are continuing to be, subject to business interruptions arising</w:t>
      </w:r>
      <w:r>
        <w:rPr>
          <w:rFonts w:ascii="Arial" w:cs="Arial" w:eastAsia="Arial" w:hAnsi="Arial"/>
          <w:sz w:val="15"/>
          <w:szCs w:val="15"/>
          <w:i w:val="1"/>
          <w:iCs w:val="1"/>
          <w:color w:val="auto"/>
        </w:rPr>
        <w:t xml:space="preserve"> </w:t>
      </w:r>
      <w:r>
        <w:rPr>
          <w:rFonts w:ascii="Arial" w:cs="Arial" w:eastAsia="Arial" w:hAnsi="Arial"/>
          <w:sz w:val="15"/>
          <w:szCs w:val="15"/>
          <w:color w:val="auto"/>
        </w:rPr>
        <w:t>from the COVID–19 pandemic. Historically substantially all of our revenue has been derived from customers located in the PRC and surrounding areas that have been impacted by COVID–19. Three customers that accounted for 43.8% of our revenue in 2022 are based in the PRC, two customers that accounted for 48.9% of our revenue in 2021 are based in the PRC, and three customers that accounted for 75.8% of our revenue in 2020 are based in the PRC. One of those customers, YMTC — which, together with one of its subsidiaries, accounted for 10.0% of our 2022 revenue, 20.8% of our 2021 revenue, and 26.8% of our 2020 revenue, — is based in Wuhan. While YMTC and other key customers continued to operate their fabrication facilities without interruption during and after the first quarter of 2020, some customers have been forced to restrict access of service personnel and deliveries to and from their facilities. We have experienced longer and, in some cases, more costly shipping expenses in the delivery of tools to certain customers.</w:t>
      </w:r>
    </w:p>
    <w:p>
      <w:pPr>
        <w:spacing w:after="0" w:line="157" w:lineRule="exact"/>
        <w:rPr>
          <w:rFonts w:ascii="Arial" w:cs="Arial" w:eastAsia="Arial" w:hAnsi="Arial"/>
          <w:sz w:val="15"/>
          <w:szCs w:val="15"/>
          <w:color w:val="auto"/>
        </w:rPr>
      </w:pPr>
    </w:p>
    <w:p>
      <w:pPr>
        <w:jc w:val="both"/>
        <w:ind w:left="425" w:hanging="425"/>
        <w:spacing w:after="0" w:line="303" w:lineRule="auto"/>
        <w:tabs>
          <w:tab w:leader="none" w:pos="425"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Suppliers</w:t>
      </w:r>
      <w:r>
        <w:rPr>
          <w:rFonts w:ascii="Arial" w:cs="Arial" w:eastAsia="Arial" w:hAnsi="Arial"/>
          <w:sz w:val="14"/>
          <w:szCs w:val="14"/>
          <w:color w:val="auto"/>
        </w:rPr>
        <w:t>: Our global supply chain includes components sourced from the PRC, Japan, Taiwan, the United States and Europe. While, to date, we have not experienced</w:t>
      </w:r>
      <w:r>
        <w:rPr>
          <w:rFonts w:ascii="Arial" w:cs="Arial" w:eastAsia="Arial" w:hAnsi="Arial"/>
          <w:sz w:val="14"/>
          <w:szCs w:val="14"/>
          <w:i w:val="1"/>
          <w:iCs w:val="1"/>
          <w:color w:val="auto"/>
        </w:rPr>
        <w:t xml:space="preserve"> </w:t>
      </w:r>
      <w:r>
        <w:rPr>
          <w:rFonts w:ascii="Arial" w:cs="Arial" w:eastAsia="Arial" w:hAnsi="Arial"/>
          <w:sz w:val="14"/>
          <w:szCs w:val="14"/>
          <w:color w:val="auto"/>
        </w:rPr>
        <w:t>material issues with our supply chain beyond the logistics related to the Shanghai facilities of ACM Shanghai, supply chain constraints have intensified due to COVID-19, contributing to global shortages in the supply of semiconductors and other materials, and in some cases the pricing of materials used in the production of our own tools. As with our customers, we continue to be in close contact with our key suppliers to help ensure we are able to identify any potential supply issues that may arise.</w:t>
      </w:r>
    </w:p>
    <w:p>
      <w:pPr>
        <w:spacing w:after="0" w:line="137" w:lineRule="exact"/>
        <w:rPr>
          <w:rFonts w:ascii="Arial" w:cs="Arial" w:eastAsia="Arial" w:hAnsi="Arial"/>
          <w:sz w:val="14"/>
          <w:szCs w:val="14"/>
          <w:color w:val="auto"/>
        </w:rPr>
      </w:pPr>
    </w:p>
    <w:p>
      <w:pPr>
        <w:jc w:val="both"/>
        <w:ind w:left="425" w:right="20" w:hanging="425"/>
        <w:spacing w:after="0" w:line="255" w:lineRule="auto"/>
        <w:tabs>
          <w:tab w:leader="none" w:pos="425"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Projects</w:t>
      </w:r>
      <w:r>
        <w:rPr>
          <w:rFonts w:ascii="Arial" w:cs="Arial" w:eastAsia="Arial" w:hAnsi="Arial"/>
          <w:sz w:val="16"/>
          <w:szCs w:val="16"/>
          <w:color w:val="auto"/>
        </w:rPr>
        <w:t>: Our strategy includes a number of plans to support the growth of our core business, including ACM Shanghai’s acquisition of a land use right in the Lingang</w:t>
      </w:r>
      <w:r>
        <w:rPr>
          <w:rFonts w:ascii="Arial" w:cs="Arial" w:eastAsia="Arial" w:hAnsi="Arial"/>
          <w:sz w:val="16"/>
          <w:szCs w:val="16"/>
          <w:i w:val="1"/>
          <w:iCs w:val="1"/>
          <w:color w:val="auto"/>
        </w:rPr>
        <w:t xml:space="preserve"> </w:t>
      </w:r>
      <w:r>
        <w:rPr>
          <w:rFonts w:ascii="Arial" w:cs="Arial" w:eastAsia="Arial" w:hAnsi="Arial"/>
          <w:sz w:val="16"/>
          <w:szCs w:val="16"/>
          <w:color w:val="auto"/>
        </w:rPr>
        <w:t>area of Shanghai where ACM Shanghai began construction of a new R&amp;D center and factory in July 2020. The extent to which COVID–19 impacts these projects will depend on future developments that are highly uncertain, but to date, the timing of these ongoing projects has not been delayed or significantly disrupted by COVID–19 or related government measures.</w:t>
      </w:r>
    </w:p>
    <w:p>
      <w:pPr>
        <w:spacing w:after="0" w:line="33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4" w:name="page65"/>
    <w:bookmarkEnd w:id="64"/>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During the first six months of 2022, we experienced a negative impact to revenue and shipments as a result of restricted access and logistics to our Shanghai-based production and administrative facilities. Thirteen tools amounting to $13 million in revenue and $24 million in shipments that could not be shipped to customers in the three-months ended March 31, 2022 were subsequently shipped in the three months ended June 30, 2022. As a result of the restrictions, we experienced a modest increase to operational costs due to increased logistics costs and inefficiencies that resulted from the restrictions, and an increase in cash used in operations due in part to an increase in accounts receivables that resulted from a shift of shipments towards the latter part of the period.</w:t>
      </w:r>
    </w:p>
    <w:p>
      <w:pPr>
        <w:spacing w:after="0" w:line="170"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During the year ended December 31, 2022, we experienced general inefficiencies in administrative, research and development and other activities due to some employees who were required to quarantine ‘in place’ at their residence due presumably to the detected possible exposure to COVID-19. In many cases, the employees were able to work remotely to mitigate the effects. With the relaxation of the PRC’s zero-COVID policies in December 2022, and the subsequent widespread infections of China’s population, we anticipate potential impacts to our PRC operations in the foreseeable future.</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Key Components of Results of Operations</w:t>
      </w:r>
    </w:p>
    <w:p>
      <w:pPr>
        <w:spacing w:after="0" w:line="200"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Revenue</w:t>
      </w:r>
    </w:p>
    <w:p>
      <w:pPr>
        <w:spacing w:after="0" w:line="196" w:lineRule="exact"/>
        <w:rPr>
          <w:sz w:val="20"/>
          <w:szCs w:val="20"/>
          <w:color w:val="auto"/>
        </w:rPr>
      </w:pPr>
    </w:p>
    <w:p>
      <w:pPr>
        <w:jc w:val="both"/>
        <w:ind w:left="5" w:right="20"/>
        <w:spacing w:after="0" w:line="291" w:lineRule="auto"/>
        <w:rPr>
          <w:sz w:val="20"/>
          <w:szCs w:val="20"/>
          <w:color w:val="auto"/>
        </w:rPr>
      </w:pPr>
      <w:r>
        <w:rPr>
          <w:rFonts w:ascii="Arial" w:cs="Arial" w:eastAsia="Arial" w:hAnsi="Arial"/>
          <w:sz w:val="14"/>
          <w:szCs w:val="14"/>
          <w:color w:val="auto"/>
        </w:rPr>
        <w:t>We develop, manufacture and sell innovative capital equipment to the global semiconductor industry. Since we sell tools to a small number of customers and we customize those tools to fulfill the customers’ specific requirements, our revenue generation fluctuates, depending on the length of the sales, development and evaluation phases:</w:t>
      </w:r>
    </w:p>
    <w:p>
      <w:pPr>
        <w:spacing w:after="0" w:line="1" w:lineRule="exact"/>
        <w:rPr>
          <w:sz w:val="20"/>
          <w:szCs w:val="20"/>
          <w:color w:val="auto"/>
        </w:rPr>
      </w:pPr>
    </w:p>
    <w:p>
      <w:pPr>
        <w:jc w:val="both"/>
        <w:ind w:left="425" w:hanging="425"/>
        <w:spacing w:after="0" w:line="264" w:lineRule="auto"/>
        <w:tabs>
          <w:tab w:leader="none" w:pos="425"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Sales and Development. </w:t>
      </w:r>
      <w:r>
        <w:rPr>
          <w:rFonts w:ascii="Arial" w:cs="Arial" w:eastAsia="Arial" w:hAnsi="Arial"/>
          <w:sz w:val="15"/>
          <w:szCs w:val="15"/>
          <w:color w:val="auto"/>
        </w:rPr>
        <w:t>During the sale process we may, depending on a prospective customer’s specifications and requirements, need to perform additional research,</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reduce the need for a demonstration phase and shorten the development cycle.</w:t>
      </w:r>
    </w:p>
    <w:p>
      <w:pPr>
        <w:spacing w:after="0" w:line="1" w:lineRule="exact"/>
        <w:rPr>
          <w:rFonts w:ascii="Arial" w:cs="Arial" w:eastAsia="Arial" w:hAnsi="Arial"/>
          <w:sz w:val="15"/>
          <w:szCs w:val="15"/>
          <w:color w:val="auto"/>
        </w:rPr>
      </w:pPr>
    </w:p>
    <w:p>
      <w:pPr>
        <w:jc w:val="both"/>
        <w:ind w:left="425" w:right="20" w:hanging="425"/>
        <w:spacing w:after="0" w:line="283" w:lineRule="auto"/>
        <w:tabs>
          <w:tab w:leader="none" w:pos="425"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Evaluation Periods. </w:t>
      </w:r>
      <w:r>
        <w:rPr>
          <w:rFonts w:ascii="Arial" w:cs="Arial" w:eastAsia="Arial" w:hAnsi="Arial"/>
          <w:sz w:val="14"/>
          <w:szCs w:val="14"/>
          <w:color w:val="auto"/>
        </w:rPr>
        <w:t>When a chip manufacturer proposes to purchase a particular type of tool from us for the first time, we offer the manufacturer an opportunity to</w:t>
      </w:r>
      <w:r>
        <w:rPr>
          <w:rFonts w:ascii="Arial" w:cs="Arial" w:eastAsia="Arial" w:hAnsi="Arial"/>
          <w:sz w:val="14"/>
          <w:szCs w:val="14"/>
          <w:i w:val="1"/>
          <w:iCs w:val="1"/>
          <w:color w:val="auto"/>
        </w:rPr>
        <w:t xml:space="preserve"> </w:t>
      </w:r>
      <w:r>
        <w:rPr>
          <w:rFonts w:ascii="Arial" w:cs="Arial" w:eastAsia="Arial" w:hAnsi="Arial"/>
          <w:sz w:val="14"/>
          <w:szCs w:val="14"/>
          <w:color w:val="auto"/>
        </w:rPr>
        <w:t>evaluate the tool for a period that can extend for 24 months or longer. In some cases, we do not receive any payment on first-time purchases until the tool is accepted. As a result, we may spend more than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jc w:val="both"/>
        <w:ind w:left="425" w:hanging="425"/>
        <w:spacing w:after="0" w:line="247" w:lineRule="auto"/>
        <w:tabs>
          <w:tab w:leader="none" w:pos="425"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Purchase Orders. </w:t>
      </w:r>
      <w:r>
        <w:rPr>
          <w:rFonts w:ascii="Arial" w:cs="Arial" w:eastAsia="Arial" w:hAnsi="Arial"/>
          <w:sz w:val="16"/>
          <w:szCs w:val="16"/>
          <w:color w:val="auto"/>
        </w:rPr>
        <w:t>In accordance with industry practice, sales of our tools are made pursuant to purchase orders. Each purchase order from a customer for one of our tools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specific technical requirements intended to ensure, among other things, that the tool will be compatible with the customer’s manufacturing process line. Until a purchase order is received, we do not have a binding purchase commitment. Some of our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3" w:lineRule="exact"/>
        <w:rPr>
          <w:rFonts w:ascii="Arial" w:cs="Arial" w:eastAsia="Arial" w:hAnsi="Arial"/>
          <w:sz w:val="16"/>
          <w:szCs w:val="16"/>
          <w:color w:val="auto"/>
        </w:rPr>
      </w:pPr>
    </w:p>
    <w:p>
      <w:pPr>
        <w:jc w:val="both"/>
        <w:ind w:left="425" w:hanging="425"/>
        <w:spacing w:after="0" w:line="276" w:lineRule="auto"/>
        <w:tabs>
          <w:tab w:leader="none" w:pos="425"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Fulfillment. </w:t>
      </w:r>
      <w:r>
        <w:rPr>
          <w:rFonts w:ascii="Arial" w:cs="Arial" w:eastAsia="Arial" w:hAnsi="Arial"/>
          <w:sz w:val="15"/>
          <w:szCs w:val="15"/>
          <w:color w:val="auto"/>
        </w:rPr>
        <w:t>We seek to obtain a purchase order for a tool from three to four months in advance of the expected delivery date. Depending upon the nature of a customer’s</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specifications, the lead time for production of a tool generally will extend from two to four months. The lead-time can be more than six months, however, and in some cases, we may need to begin producing a tool based on a customer’s non-binding forecast, rather than waiting to receive a binding purchase order.</w:t>
      </w:r>
    </w:p>
    <w:p>
      <w:pPr>
        <w:spacing w:after="0" w:line="154"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We expect our sales prices generally to range from $0.5 million to more than $5 million for our production tools. The sales price of a particular tool will vary depending upon the required specifications. We have designed equipment models using a modular configuration that we customize to meet customers’ technical specifications. For example, our Ultra C models for SAPS, TEBO and Tahoe solutions use common modular configurations that enable us to create a wet-cleaning tool meeting a customer’s specific requirements, while using pre-existing designs for chamber, electrical, chemical delivery and other modules.</w:t>
      </w:r>
    </w:p>
    <w:p>
      <w:pPr>
        <w:spacing w:after="0" w:line="33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5" w:name="page66"/>
    <w:bookmarkEnd w:id="65"/>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milestones of a purchase order. Based on our experience with repeat sales of our tools, we expect that we will receive an initial payment upon delivery of a tool in connection with a repeat purchase, with the balance being paid after the tool has been tested and accepted by the customer. Our sales arrangements for repeat purchases do not include a general right of return.</w:t>
      </w:r>
    </w:p>
    <w:p>
      <w:pPr>
        <w:spacing w:after="0" w:line="168" w:lineRule="exact"/>
        <w:rPr>
          <w:sz w:val="20"/>
          <w:szCs w:val="20"/>
          <w:color w:val="auto"/>
        </w:rPr>
      </w:pPr>
    </w:p>
    <w:p>
      <w:pPr>
        <w:jc w:val="both"/>
        <w:ind w:left="5"/>
        <w:spacing w:after="0" w:line="299" w:lineRule="auto"/>
        <w:rPr>
          <w:sz w:val="20"/>
          <w:szCs w:val="20"/>
          <w:color w:val="auto"/>
        </w:rPr>
      </w:pPr>
      <w:r>
        <w:rPr>
          <w:rFonts w:ascii="Arial" w:cs="Arial" w:eastAsia="Arial" w:hAnsi="Arial"/>
          <w:sz w:val="14"/>
          <w:szCs w:val="14"/>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We expect that the period from new product introduction to high volume manufacturing will be three years or less in the future. Please see “Item 1A. Risk Factors— Risks Related to Our Business and Our Industry—We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40" w:lineRule="exact"/>
        <w:rPr>
          <w:sz w:val="20"/>
          <w:szCs w:val="20"/>
          <w:color w:val="auto"/>
        </w:rPr>
      </w:pPr>
    </w:p>
    <w:p>
      <w:pPr>
        <w:jc w:val="both"/>
        <w:ind w:left="5"/>
        <w:spacing w:after="0" w:line="304" w:lineRule="auto"/>
        <w:rPr>
          <w:sz w:val="20"/>
          <w:szCs w:val="20"/>
          <w:color w:val="auto"/>
        </w:rPr>
      </w:pPr>
      <w:r>
        <w:rPr>
          <w:rFonts w:ascii="Arial" w:cs="Arial" w:eastAsia="Arial" w:hAnsi="Arial"/>
          <w:sz w:val="15"/>
          <w:szCs w:val="15"/>
          <w:color w:val="auto"/>
        </w:rPr>
        <w:t>Substantially all of our sales in 2022, 2021 and 2020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33"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 xml:space="preserve">We utilize ASC 606 which was adopted in 2018 set forth in Accounting Standards Update, or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of the Financial Accounting Standards Board, or FASB, regarding the recognition, presentation and disclosure of revenue in our financial statements as described below under “— Critical Accounting Estimates—Revenue Recognition.”</w:t>
      </w:r>
    </w:p>
    <w:p>
      <w:pPr>
        <w:spacing w:after="0" w:line="167"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We offer extended maintenance service contracts to provide services such as trouble-shooting or fine-tuning tools, and installing spare parts, following expiration of applicable initial standard assurance type warranty coverage periods, which for sales to date have extended from 12 to 36 months as described under “—Critical Accounting Estimates— Warranty.” In 2022, 2021 and 2020, we received payments for parts and labor for service activities provided from time to time, but as of December 31, 2022 we had not yet entered into extended maintenance service contracts with respect to the substantial majority of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71" w:lineRule="exact"/>
        <w:rPr>
          <w:sz w:val="20"/>
          <w:szCs w:val="20"/>
          <w:color w:val="auto"/>
        </w:rPr>
      </w:pPr>
    </w:p>
    <w:p>
      <w:pPr>
        <w:jc w:val="both"/>
        <w:ind w:left="5"/>
        <w:spacing w:after="0" w:line="270" w:lineRule="auto"/>
        <w:rPr>
          <w:sz w:val="20"/>
          <w:szCs w:val="20"/>
          <w:color w:val="auto"/>
        </w:rPr>
      </w:pPr>
      <w:r>
        <w:rPr>
          <w:rFonts w:ascii="Arial" w:cs="Arial" w:eastAsia="Arial" w:hAnsi="Arial"/>
          <w:sz w:val="15"/>
          <w:szCs w:val="15"/>
          <w:color w:val="auto"/>
        </w:rPr>
        <w:t>The loss or delay of multiple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spacing w:after="0" w:line="158"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Cost of Revenue</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6"/>
          <w:szCs w:val="16"/>
          <w:color w:val="auto"/>
        </w:rPr>
        <w:t>Cost of revenue for capital equipment consists primarily of:</w:t>
      </w:r>
    </w:p>
    <w:p>
      <w:pPr>
        <w:spacing w:after="0" w:line="17" w:lineRule="exact"/>
        <w:rPr>
          <w:sz w:val="20"/>
          <w:szCs w:val="20"/>
          <w:color w:val="auto"/>
        </w:rPr>
      </w:pPr>
    </w:p>
    <w:p>
      <w:pPr>
        <w:ind w:left="425" w:hanging="425"/>
        <w:spacing w:after="0"/>
        <w:tabs>
          <w:tab w:leader="none" w:pos="4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direct costs, which consist principally of costs of tool components and subassemblies purchased from third-party vendors;</w:t>
      </w:r>
    </w:p>
    <w:p>
      <w:pPr>
        <w:spacing w:after="0" w:line="34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6" w:name="page67"/>
    <w:bookmarkEnd w:id="66"/>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425" w:hanging="425"/>
        <w:spacing w:after="0"/>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compensation of personnel associated with our manufacturing operations, including stock-based compensation;</w:t>
      </w:r>
    </w:p>
    <w:p>
      <w:pPr>
        <w:spacing w:after="0" w:line="17" w:lineRule="exact"/>
        <w:rPr>
          <w:rFonts w:ascii="Arial" w:cs="Arial" w:eastAsia="Arial" w:hAnsi="Arial"/>
          <w:sz w:val="16"/>
          <w:szCs w:val="16"/>
          <w:color w:val="auto"/>
        </w:rPr>
      </w:pPr>
    </w:p>
    <w:p>
      <w:pPr>
        <w:ind w:left="425" w:hanging="425"/>
        <w:spacing w:after="0"/>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depreciation of manufacturing equipment;</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amortization of costs of software used for manufacturing purposes;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other expenses attributable to our manufacturing department;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185" w:lineRule="exact"/>
        <w:rPr>
          <w:sz w:val="20"/>
          <w:szCs w:val="20"/>
          <w:color w:val="auto"/>
        </w:rPr>
      </w:pPr>
    </w:p>
    <w:p>
      <w:pPr>
        <w:jc w:val="both"/>
        <w:ind w:left="5"/>
        <w:spacing w:after="0" w:line="270" w:lineRule="auto"/>
        <w:rPr>
          <w:sz w:val="20"/>
          <w:szCs w:val="20"/>
          <w:color w:val="auto"/>
        </w:rPr>
      </w:pPr>
      <w:r>
        <w:rPr>
          <w:rFonts w:ascii="Arial" w:cs="Arial" w:eastAsia="Arial" w:hAnsi="Arial"/>
          <w:sz w:val="16"/>
          <w:szCs w:val="16"/>
          <w:color w:val="auto"/>
        </w:rPr>
        <w:t>We are not party to any long-term purchasing agreements with suppliers. Please see “Item 1A. Risk Factors—Risks Related to Our Business and Our Industry—Our customers do not enter into long-term purchase commitments, and they may decrease, cancel or delay their projected purchases at any time.”</w:t>
      </w:r>
    </w:p>
    <w:p>
      <w:pPr>
        <w:spacing w:after="0" w:line="156"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currency fluctuations on our cost of revenue.</w:t>
      </w:r>
    </w:p>
    <w:p>
      <w:pPr>
        <w:spacing w:after="0" w:line="167"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Gross Margin</w:t>
      </w:r>
    </w:p>
    <w:p>
      <w:pPr>
        <w:spacing w:after="0" w:line="196" w:lineRule="exact"/>
        <w:rPr>
          <w:sz w:val="20"/>
          <w:szCs w:val="20"/>
          <w:color w:val="auto"/>
        </w:rPr>
      </w:pPr>
    </w:p>
    <w:p>
      <w:pPr>
        <w:jc w:val="both"/>
        <w:ind w:left="5" w:firstLine="58"/>
        <w:spacing w:after="0" w:line="270" w:lineRule="auto"/>
        <w:rPr>
          <w:sz w:val="20"/>
          <w:szCs w:val="20"/>
          <w:color w:val="auto"/>
        </w:rPr>
      </w:pPr>
      <w:r>
        <w:rPr>
          <w:rFonts w:ascii="Arial" w:cs="Arial" w:eastAsia="Arial" w:hAnsi="Arial"/>
          <w:sz w:val="16"/>
          <w:szCs w:val="16"/>
          <w:color w:val="auto"/>
        </w:rPr>
        <w:t>We generally expect gross margin to range between 40% and 45% for the foreseeable future, with direct manufacturing costs approximating 50% to 55% of revenue and overhead costs totaling approximately 5% of revenue.</w:t>
      </w:r>
    </w:p>
    <w:p>
      <w:pPr>
        <w:spacing w:after="0" w:line="156"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168"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A significant portion of our raw materials are denominated in the RMB, while the majority of our purchase orders are denominated in U.S. dollars. As a result, fluctuations in currency exchange rates may have a significant effect on our gross margin.</w:t>
      </w:r>
    </w:p>
    <w:p>
      <w:pPr>
        <w:spacing w:after="0" w:line="156"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6"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We have experienced, and expect to continue to experience, growth in the absolute dollar amount of our operating expenses, as we invest to support the anticipated growth of our customer base and the continued development of proprietary technologies.</w:t>
      </w:r>
    </w:p>
    <w:p>
      <w:pPr>
        <w:spacing w:after="0" w:line="152" w:lineRule="exact"/>
        <w:rPr>
          <w:sz w:val="20"/>
          <w:szCs w:val="20"/>
          <w:color w:val="auto"/>
        </w:rPr>
      </w:pPr>
    </w:p>
    <w:p>
      <w:pPr>
        <w:ind w:left="565"/>
        <w:spacing w:after="0"/>
        <w:rPr>
          <w:sz w:val="20"/>
          <w:szCs w:val="20"/>
          <w:color w:val="auto"/>
        </w:rPr>
      </w:pPr>
      <w:r>
        <w:rPr>
          <w:rFonts w:ascii="Arial" w:cs="Arial" w:eastAsia="Arial" w:hAnsi="Arial"/>
          <w:sz w:val="16"/>
          <w:szCs w:val="16"/>
          <w:b w:val="1"/>
          <w:bCs w:val="1"/>
          <w:u w:val="single" w:color="auto"/>
          <w:color w:val="auto"/>
        </w:rPr>
        <w:t>Sales and Marketing</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color w:val="auto"/>
        </w:rPr>
        <w:t>Sales and marketing expense consists primarily of:</w:t>
      </w:r>
    </w:p>
    <w:p>
      <w:pPr>
        <w:spacing w:after="0" w:line="17" w:lineRule="exact"/>
        <w:rPr>
          <w:sz w:val="20"/>
          <w:szCs w:val="20"/>
          <w:color w:val="auto"/>
        </w:rPr>
      </w:pPr>
    </w:p>
    <w:p>
      <w:pPr>
        <w:ind w:left="425" w:hanging="425"/>
        <w:spacing w:after="0"/>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sales commissions paid to independent sales representatives;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fees paid to sales consultants;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cost of trade shows;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costs of tools built for promotional purposes for current or potential new customers;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travel and entertainment;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185" w:lineRule="exact"/>
        <w:rPr>
          <w:sz w:val="20"/>
          <w:szCs w:val="20"/>
          <w:color w:val="auto"/>
        </w:rPr>
      </w:pPr>
    </w:p>
    <w:p>
      <w:pPr>
        <w:jc w:val="both"/>
        <w:ind w:left="5" w:right="20"/>
        <w:spacing w:after="0" w:line="304" w:lineRule="auto"/>
        <w:rPr>
          <w:sz w:val="20"/>
          <w:szCs w:val="20"/>
          <w:color w:val="auto"/>
        </w:rPr>
      </w:pPr>
      <w:r>
        <w:rPr>
          <w:rFonts w:ascii="Arial" w:cs="Arial" w:eastAsia="Arial" w:hAnsi="Arial"/>
          <w:sz w:val="15"/>
          <w:szCs w:val="15"/>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33"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330"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7" w:name="page68"/>
    <w:bookmarkEnd w:id="67"/>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565"/>
        <w:spacing w:after="0"/>
        <w:rPr>
          <w:sz w:val="20"/>
          <w:szCs w:val="20"/>
          <w:color w:val="auto"/>
        </w:rPr>
      </w:pPr>
      <w:r>
        <w:rPr>
          <w:rFonts w:ascii="Arial" w:cs="Arial" w:eastAsia="Arial" w:hAnsi="Arial"/>
          <w:sz w:val="16"/>
          <w:szCs w:val="16"/>
          <w:b w:val="1"/>
          <w:bCs w:val="1"/>
          <w:u w:val="single" w:color="auto"/>
          <w:color w:val="auto"/>
        </w:rPr>
        <w:t>Research and Development</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4"/>
          <w:szCs w:val="14"/>
          <w:color w:val="auto"/>
        </w:rPr>
        <w:t>Research and development expense relates to the development of new products and processes and encompasses our research, development and customer support activities.</w:t>
      </w:r>
    </w:p>
    <w:p>
      <w:pPr>
        <w:spacing w:after="0" w:line="40" w:lineRule="exact"/>
        <w:rPr>
          <w:sz w:val="20"/>
          <w:szCs w:val="20"/>
          <w:color w:val="auto"/>
        </w:rPr>
      </w:pPr>
    </w:p>
    <w:p>
      <w:pPr>
        <w:ind w:left="5"/>
        <w:spacing w:after="0"/>
        <w:rPr>
          <w:sz w:val="20"/>
          <w:szCs w:val="20"/>
          <w:color w:val="auto"/>
        </w:rPr>
      </w:pPr>
      <w:r>
        <w:rPr>
          <w:rFonts w:ascii="Arial" w:cs="Arial" w:eastAsia="Arial" w:hAnsi="Arial"/>
          <w:sz w:val="16"/>
          <w:szCs w:val="16"/>
          <w:color w:val="auto"/>
        </w:rPr>
        <w:t>Research and development expense consists primarily of:</w:t>
      </w:r>
    </w:p>
    <w:p>
      <w:pPr>
        <w:spacing w:after="0" w:line="6" w:lineRule="exact"/>
        <w:rPr>
          <w:sz w:val="20"/>
          <w:szCs w:val="20"/>
          <w:color w:val="auto"/>
        </w:rPr>
      </w:pPr>
    </w:p>
    <w:p>
      <w:pPr>
        <w:ind w:left="425" w:hanging="425"/>
        <w:spacing w:after="0"/>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compensation of personnel associated with our research and development activities, including stock-based compensation;</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costs of components and other research and development supplies;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costs of tools built for product development purposes;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travel expense associated with the research of technical requirements for product development purposes and testing of concepts under consideration;</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amortization of costs of software used for research and development purposes;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4"/>
          <w:szCs w:val="14"/>
          <w:color w:val="auto"/>
        </w:rPr>
        <w:t>Some of our research and development has been funded by grants from the PRC government, as described in “—PRC Government Research and Development Funding” below.</w:t>
      </w:r>
    </w:p>
    <w:p>
      <w:pPr>
        <w:spacing w:after="0" w:line="215" w:lineRule="exact"/>
        <w:rPr>
          <w:sz w:val="20"/>
          <w:szCs w:val="20"/>
          <w:color w:val="auto"/>
        </w:rPr>
      </w:pPr>
    </w:p>
    <w:p>
      <w:pPr>
        <w:ind w:left="565"/>
        <w:spacing w:after="0"/>
        <w:rPr>
          <w:sz w:val="20"/>
          <w:szCs w:val="20"/>
          <w:color w:val="auto"/>
        </w:rPr>
      </w:pPr>
      <w:r>
        <w:rPr>
          <w:rFonts w:ascii="Arial" w:cs="Arial" w:eastAsia="Arial" w:hAnsi="Arial"/>
          <w:sz w:val="16"/>
          <w:szCs w:val="16"/>
          <w:b w:val="1"/>
          <w:bCs w:val="1"/>
          <w:u w:val="single" w:color="auto"/>
          <w:color w:val="auto"/>
        </w:rPr>
        <w:t>General and Administrative</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color w:val="auto"/>
        </w:rPr>
        <w:t>General and administrative expense consists primarily of:</w:t>
      </w:r>
    </w:p>
    <w:p>
      <w:pPr>
        <w:spacing w:after="0" w:line="17" w:lineRule="exact"/>
        <w:rPr>
          <w:sz w:val="20"/>
          <w:szCs w:val="20"/>
          <w:color w:val="auto"/>
        </w:rPr>
      </w:pPr>
    </w:p>
    <w:p>
      <w:pPr>
        <w:ind w:left="425" w:hanging="425"/>
        <w:spacing w:after="0"/>
        <w:tabs>
          <w:tab w:leader="none" w:pos="425"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compensation of executive, accounting and finance, human resources, information technology, and other administrative personnel, including stock-based compensation;</w:t>
      </w:r>
    </w:p>
    <w:p>
      <w:pPr>
        <w:spacing w:after="0" w:line="29" w:lineRule="exact"/>
        <w:rPr>
          <w:rFonts w:ascii="Arial" w:cs="Arial" w:eastAsia="Arial" w:hAnsi="Arial"/>
          <w:sz w:val="14"/>
          <w:szCs w:val="14"/>
          <w:color w:val="auto"/>
        </w:rPr>
      </w:pPr>
    </w:p>
    <w:p>
      <w:pPr>
        <w:ind w:left="425" w:hanging="425"/>
        <w:spacing w:after="0"/>
        <w:tabs>
          <w:tab w:leader="none" w:pos="4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professional fees, including accounting and legal fees;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other corporate expenses;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181" w:lineRule="exact"/>
        <w:rPr>
          <w:sz w:val="20"/>
          <w:szCs w:val="20"/>
          <w:color w:val="auto"/>
        </w:rPr>
      </w:pPr>
    </w:p>
    <w:p>
      <w:pPr>
        <w:ind w:left="565"/>
        <w:spacing w:after="0"/>
        <w:rPr>
          <w:sz w:val="20"/>
          <w:szCs w:val="20"/>
          <w:color w:val="auto"/>
        </w:rPr>
      </w:pPr>
      <w:r>
        <w:rPr>
          <w:rFonts w:ascii="Arial" w:cs="Arial" w:eastAsia="Arial" w:hAnsi="Arial"/>
          <w:sz w:val="16"/>
          <w:szCs w:val="16"/>
          <w:b w:val="1"/>
          <w:bCs w:val="1"/>
          <w:u w:val="single" w:color="auto"/>
          <w:color w:val="auto"/>
        </w:rPr>
        <w:t>Stock-Based Compensation Expense</w:t>
      </w:r>
    </w:p>
    <w:p>
      <w:pPr>
        <w:spacing w:after="0" w:line="200" w:lineRule="exact"/>
        <w:rPr>
          <w:sz w:val="20"/>
          <w:szCs w:val="20"/>
          <w:color w:val="auto"/>
        </w:rPr>
      </w:pPr>
    </w:p>
    <w:p>
      <w:pPr>
        <w:ind w:left="5"/>
        <w:spacing w:after="0" w:line="270" w:lineRule="auto"/>
        <w:rPr>
          <w:sz w:val="20"/>
          <w:szCs w:val="20"/>
          <w:color w:val="auto"/>
        </w:rPr>
      </w:pPr>
      <w:r>
        <w:rPr>
          <w:rFonts w:ascii="Arial" w:cs="Arial" w:eastAsia="Arial" w:hAnsi="Arial"/>
          <w:sz w:val="16"/>
          <w:szCs w:val="16"/>
          <w:color w:val="auto"/>
        </w:rPr>
        <w:t xml:space="preserve">We grant stock options to employees and non-employee consultants and directors, and we account for those stock-based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w:t>
      </w:r>
    </w:p>
    <w:p>
      <w:pPr>
        <w:spacing w:after="0" w:line="156" w:lineRule="exact"/>
        <w:rPr>
          <w:sz w:val="20"/>
          <w:szCs w:val="20"/>
          <w:color w:val="auto"/>
        </w:rPr>
      </w:pPr>
    </w:p>
    <w:p>
      <w:pPr>
        <w:jc w:val="both"/>
        <w:ind w:left="425" w:hanging="425"/>
        <w:spacing w:after="0" w:line="268" w:lineRule="auto"/>
        <w:tabs>
          <w:tab w:leader="none" w:pos="425" w:val="left"/>
        </w:tabs>
        <w:numPr>
          <w:ilvl w:val="0"/>
          <w:numId w:val="60"/>
        </w:numPr>
        <w:rPr>
          <w:rFonts w:ascii="Arial" w:cs="Arial" w:eastAsia="Arial" w:hAnsi="Arial"/>
          <w:sz w:val="15"/>
          <w:szCs w:val="15"/>
          <w:color w:val="auto"/>
        </w:rPr>
      </w:pPr>
      <w:r>
        <w:rPr>
          <w:rFonts w:ascii="Arial" w:cs="Arial" w:eastAsia="Arial" w:hAnsi="Arial"/>
          <w:sz w:val="15"/>
          <w:szCs w:val="15"/>
          <w:color w:val="auto"/>
        </w:rPr>
        <w:t>Stock-based awards granted to employees and non-employees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service function of the employee or non-employee.</w:t>
      </w:r>
    </w:p>
    <w:p>
      <w:pPr>
        <w:ind w:left="425" w:hanging="425"/>
        <w:spacing w:after="0" w:line="255" w:lineRule="auto"/>
        <w:tabs>
          <w:tab w:leader="none" w:pos="42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We also grant discounts to employees when they subscribe for the new shares of ACM Shanghai, and we account for those stock-based awards in accordance with Accounting Standards Codification, or ASC, Topic 718, </w:t>
      </w:r>
      <w:r>
        <w:rPr>
          <w:rFonts w:ascii="Arial" w:cs="Arial" w:eastAsia="Arial" w:hAnsi="Arial"/>
          <w:sz w:val="16"/>
          <w:szCs w:val="16"/>
          <w:i w:val="1"/>
          <w:iCs w:val="1"/>
          <w:color w:val="auto"/>
        </w:rPr>
        <w:t>Compensation—Stock Compensation</w:t>
      </w:r>
    </w:p>
    <w:p>
      <w:pPr>
        <w:spacing w:after="0" w:line="168"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PRC Government Research and Development Funding</w:t>
      </w:r>
    </w:p>
    <w:p>
      <w:pPr>
        <w:spacing w:after="0" w:line="196"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Shengwei is also required to invest certain amounts in the projects.</w:t>
      </w:r>
    </w:p>
    <w:p>
      <w:pPr>
        <w:spacing w:after="0" w:line="33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8" w:name="page69"/>
    <w:bookmarkEnd w:id="68"/>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operations and comprehensive income (loss) as follows:</w:t>
      </w:r>
    </w:p>
    <w:p>
      <w:pPr>
        <w:spacing w:after="0" w:line="167" w:lineRule="exact"/>
        <w:rPr>
          <w:sz w:val="20"/>
          <w:szCs w:val="20"/>
          <w:color w:val="auto"/>
        </w:rPr>
      </w:pPr>
    </w:p>
    <w:p>
      <w:pPr>
        <w:jc w:val="both"/>
        <w:ind w:left="425" w:hanging="425"/>
        <w:spacing w:after="0" w:line="252" w:lineRule="auto"/>
        <w:tabs>
          <w:tab w:leader="none" w:pos="425" w:val="left"/>
        </w:tabs>
        <w:numPr>
          <w:ilvl w:val="0"/>
          <w:numId w:val="61"/>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recorded as reductions of those expenses in the periods in which the current expenses are recorded. For the years ended December 31, 2022, 2021 and 2020, related government subsidies recognized as reductions of relevant expenses in the consolidated statements of operations and comprehensive income (loss) were $1.2 million, $11.3 million, and $2.7 million, respectively.</w:t>
      </w:r>
    </w:p>
    <w:p>
      <w:pPr>
        <w:spacing w:after="0" w:line="1" w:lineRule="exact"/>
        <w:rPr>
          <w:rFonts w:ascii="Arial" w:cs="Arial" w:eastAsia="Arial" w:hAnsi="Arial"/>
          <w:sz w:val="16"/>
          <w:szCs w:val="16"/>
          <w:color w:val="auto"/>
        </w:rPr>
      </w:pPr>
    </w:p>
    <w:p>
      <w:pPr>
        <w:jc w:val="both"/>
        <w:ind w:left="425" w:right="20" w:hanging="425"/>
        <w:spacing w:after="0" w:line="251" w:lineRule="auto"/>
        <w:tabs>
          <w:tab w:leader="none" w:pos="425" w:val="left"/>
        </w:tabs>
        <w:numPr>
          <w:ilvl w:val="0"/>
          <w:numId w:val="61"/>
        </w:numPr>
        <w:rPr>
          <w:rFonts w:ascii="Arial" w:cs="Arial" w:eastAsia="Arial" w:hAnsi="Arial"/>
          <w:sz w:val="16"/>
          <w:szCs w:val="16"/>
          <w:color w:val="auto"/>
        </w:rPr>
      </w:pPr>
      <w:r>
        <w:rPr>
          <w:rFonts w:ascii="Arial" w:cs="Arial" w:eastAsia="Arial" w:hAnsi="Arial"/>
          <w:sz w:val="16"/>
          <w:szCs w:val="16"/>
          <w:color w:val="auto"/>
        </w:rPr>
        <w:t>Government subsidies related to depreciable assets are credited to income over the useful lives of the related assets for which the grant was received. For the years ended December 31, 2022, 2021 and 2020, related government subsidies recognized as other income in the consolidated statements of operations and comprehensive income (loss) were $0.3 million, $0.2 million, and $0.1 million, respectively.</w:t>
      </w:r>
    </w:p>
    <w:p>
      <w:pPr>
        <w:spacing w:after="0" w:line="172" w:lineRule="exact"/>
        <w:rPr>
          <w:sz w:val="20"/>
          <w:szCs w:val="20"/>
          <w:color w:val="auto"/>
        </w:rPr>
      </w:pPr>
    </w:p>
    <w:p>
      <w:pPr>
        <w:jc w:val="both"/>
        <w:ind w:left="5"/>
        <w:spacing w:after="0" w:line="342" w:lineRule="auto"/>
        <w:rPr>
          <w:sz w:val="20"/>
          <w:szCs w:val="20"/>
          <w:color w:val="auto"/>
        </w:rPr>
      </w:pPr>
      <w:r>
        <w:rPr>
          <w:rFonts w:ascii="Arial" w:cs="Arial" w:eastAsia="Arial" w:hAnsi="Arial"/>
          <w:sz w:val="14"/>
          <w:szCs w:val="14"/>
          <w:color w:val="auto"/>
        </w:rPr>
        <w:t>Unearned government subsidies received are deferred for recognition and recorded as other long-term liabilities (see note 13 in the Notes to Consolidated Financial Statements included herein under “Item 8. Financial Statements and Supplementary Data.”) in the consolidated balance sheet until the criteria for such recognition are satisfied.</w:t>
      </w:r>
    </w:p>
    <w:p>
      <w:pPr>
        <w:spacing w:after="0" w:line="111"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Net Income Attributable to Non-Controlling Interests and Redeemable Non-Controlling Interests</w:t>
      </w:r>
    </w:p>
    <w:p>
      <w:pPr>
        <w:spacing w:after="0" w:line="196"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0"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In preparing our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spacing w:after="0" w:line="170"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We believe that the assumptions, judgments and estimates involved in the accounting for the following accounting policies have the greatest potential impact on our consolidated financial statements, and we therefore consider these to be our critical accounting estimates. For information on our significant accounting policies, see Note 2 in the notes to consolidated financial statements.</w:t>
      </w:r>
    </w:p>
    <w:p>
      <w:pPr>
        <w:spacing w:after="0" w:line="167"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4"/>
          <w:szCs w:val="14"/>
          <w:color w:val="auto"/>
        </w:rPr>
        <w:t>We derive revenue principally from the sale of semiconductor capital equipment. Revenue from contracts with customers is recognized using the following five steps pursuant to</w:t>
      </w:r>
    </w:p>
    <w:p>
      <w:pPr>
        <w:spacing w:after="0" w:line="40"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85" w:lineRule="exact"/>
        <w:rPr>
          <w:sz w:val="20"/>
          <w:szCs w:val="20"/>
          <w:color w:val="auto"/>
        </w:rPr>
      </w:pPr>
    </w:p>
    <w:p>
      <w:pPr>
        <w:ind w:left="425" w:hanging="425"/>
        <w:spacing w:after="0"/>
        <w:tabs>
          <w:tab w:leader="none" w:pos="42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Identify the contract(s) with a customer;</w:t>
      </w:r>
    </w:p>
    <w:p>
      <w:pPr>
        <w:spacing w:after="0" w:line="17" w:lineRule="exact"/>
        <w:rPr>
          <w:rFonts w:ascii="Arial" w:cs="Arial" w:eastAsia="Arial" w:hAnsi="Arial"/>
          <w:sz w:val="16"/>
          <w:szCs w:val="16"/>
          <w:color w:val="auto"/>
        </w:rPr>
      </w:pPr>
    </w:p>
    <w:p>
      <w:pPr>
        <w:ind w:left="425" w:hanging="425"/>
        <w:spacing w:after="0"/>
        <w:tabs>
          <w:tab w:leader="none" w:pos="42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Determine the transaction price;</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Recognize revenue when (or as) the entity satisfies a performance obligation.</w:t>
      </w:r>
    </w:p>
    <w:p>
      <w:pPr>
        <w:spacing w:after="0" w:line="34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69" w:name="page70"/>
    <w:bookmarkEnd w:id="69"/>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right="440"/>
        <w:spacing w:after="0" w:line="304"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133" w:lineRule="exact"/>
        <w:rPr>
          <w:sz w:val="20"/>
          <w:szCs w:val="20"/>
          <w:color w:val="auto"/>
        </w:rPr>
      </w:pPr>
    </w:p>
    <w:p>
      <w:pPr>
        <w:jc w:val="both"/>
        <w:ind w:left="5"/>
        <w:spacing w:after="0" w:line="270" w:lineRule="auto"/>
        <w:rPr>
          <w:sz w:val="20"/>
          <w:szCs w:val="20"/>
          <w:color w:val="auto"/>
        </w:rPr>
      </w:pPr>
      <w:r>
        <w:rPr>
          <w:rFonts w:ascii="Arial" w:cs="Arial" w:eastAsia="Arial" w:hAnsi="Arial"/>
          <w:sz w:val="15"/>
          <w:szCs w:val="15"/>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we identify a bundle of goods or services that is distinct. Promises in contracts which do not result in the transfer of a good or service are not performance obligations, as well as those promises that are administrative in nature, or are immaterial in the context of the contract. We have addressed whether various goods and services promised to the customer represent distinct performance obligations. We applied the guidance of ASC Topic 606 in order to verify which promises should be assessed for classification as distinct performance obligations. Our performance obligations in connection with a sale of equipment generally include production, delivery, installation, training and software updates.</w:t>
      </w:r>
    </w:p>
    <w:p>
      <w:pPr>
        <w:spacing w:after="0" w:line="158" w:lineRule="exact"/>
        <w:rPr>
          <w:sz w:val="20"/>
          <w:szCs w:val="20"/>
          <w:color w:val="auto"/>
        </w:rPr>
      </w:pPr>
    </w:p>
    <w:p>
      <w:pPr>
        <w:jc w:val="both"/>
        <w:ind w:left="5"/>
        <w:spacing w:after="0" w:line="295" w:lineRule="auto"/>
        <w:rPr>
          <w:sz w:val="20"/>
          <w:szCs w:val="20"/>
          <w:color w:val="auto"/>
        </w:rPr>
      </w:pPr>
      <w:r>
        <w:rPr>
          <w:rFonts w:ascii="Arial" w:cs="Arial" w:eastAsia="Arial" w:hAnsi="Arial"/>
          <w:sz w:val="14"/>
          <w:szCs w:val="14"/>
          <w:color w:val="auto"/>
        </w:rPr>
        <w:t xml:space="preserve">Given that our products are customized based on specifications of our customers, we determine that the promise to the customer is to provide a customized product solution. The product and customization services are inputs into the combined item for which the customer has contracted and, as a result, the product and installation services are not separately identifiable and are combined into a single performance obligation. Delivery of goods to a customer is not a separate performance obligation since control of the goods normally does not transfer to the customer before shipment. Our warranties provide assurance that our products will function as expected and in accordance with certain specifications. Our warranties are intended to safeguard the customer against existing defects and do not provide any incremental service to the customer. They are not separate performance obligations and accounted for under </w:t>
      </w:r>
      <w:r>
        <w:rPr>
          <w:rFonts w:ascii="Arial" w:cs="Arial" w:eastAsia="Arial" w:hAnsi="Arial"/>
          <w:sz w:val="14"/>
          <w:szCs w:val="14"/>
          <w:i w:val="1"/>
          <w:iCs w:val="1"/>
          <w:color w:val="auto"/>
        </w:rPr>
        <w:t>ASC 460, Guarantees</w:t>
      </w:r>
      <w:r>
        <w:rPr>
          <w:rFonts w:ascii="Arial" w:cs="Arial" w:eastAsia="Arial" w:hAnsi="Arial"/>
          <w:sz w:val="14"/>
          <w:szCs w:val="14"/>
          <w:color w:val="auto"/>
        </w:rPr>
        <w:t>. Production, delivery, installation, training and software updates, are a single unit of accounting.</w:t>
      </w:r>
    </w:p>
    <w:p>
      <w:pPr>
        <w:spacing w:after="0" w:line="143" w:lineRule="exact"/>
        <w:rPr>
          <w:sz w:val="20"/>
          <w:szCs w:val="20"/>
          <w:color w:val="auto"/>
        </w:rPr>
      </w:pPr>
    </w:p>
    <w:p>
      <w:pPr>
        <w:jc w:val="both"/>
        <w:ind w:left="5"/>
        <w:spacing w:after="0" w:line="272" w:lineRule="auto"/>
        <w:rPr>
          <w:sz w:val="20"/>
          <w:szCs w:val="20"/>
          <w:color w:val="auto"/>
        </w:rPr>
      </w:pPr>
      <w:r>
        <w:rPr>
          <w:rFonts w:ascii="Arial" w:cs="Arial" w:eastAsia="Arial" w:hAnsi="Arial"/>
          <w:sz w:val="15"/>
          <w:szCs w:val="15"/>
          <w:color w:val="auto"/>
        </w:rPr>
        <w:t>The transaction price is allocated to all the separate performance obligations in an arrangement. It reflects the amount of consideration to which we expect to be entitled in exchange for transferring goods or services, which may include an estimate of variable consideration to the extent that it is probable of not being subject to significant reversals in the future based on our experience with similar arrangements. The transaction price excludes amounts collected on behalf of third parties, such as sales taxes. This is done on a relative selling price basis using standalone selling prices, or SSP. The SSP represents the price at which we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w:t>
      </w:r>
    </w:p>
    <w:p>
      <w:pPr>
        <w:spacing w:after="0" w:line="157" w:lineRule="exact"/>
        <w:rPr>
          <w:sz w:val="20"/>
          <w:szCs w:val="20"/>
          <w:color w:val="auto"/>
        </w:rPr>
      </w:pPr>
    </w:p>
    <w:p>
      <w:pPr>
        <w:jc w:val="both"/>
        <w:ind w:left="5"/>
        <w:spacing w:after="0" w:line="303" w:lineRule="auto"/>
        <w:rPr>
          <w:sz w:val="20"/>
          <w:szCs w:val="20"/>
          <w:color w:val="auto"/>
        </w:rPr>
      </w:pPr>
      <w:r>
        <w:rPr>
          <w:rFonts w:ascii="Arial" w:cs="Arial" w:eastAsia="Arial" w:hAnsi="Arial"/>
          <w:sz w:val="14"/>
          <w:szCs w:val="14"/>
          <w:color w:val="auto"/>
        </w:rPr>
        <w:t>For some sale contracts, in addition to the sale of semiconductor capital equipment, we also provide certain spare parts to the customers. We defer revenue associated with spare parts sold together with our tool products, including production, delivery, installation, training, and software updates which are accounted for as one performance obligation, based on stand-alone observable selling prices for which we receive payments in advance and recognize the revenue upon the subsequent shipment of the spare parts, which is expected within one year. The deferred revenue for spare parts was $4.2 million and $3.2 million at December 31, 2022 and 2021, respectively.</w:t>
      </w:r>
    </w:p>
    <w:p>
      <w:pPr>
        <w:spacing w:after="0" w:line="137"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Revenue is recognized when we satisfy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we recognize revenue when a tool has been demonstrated to meet the customer’s predetermined specifications and is accepted by the customer. In the following circumstances, however, we recognize revenue upon shipment or delivery, when legal title to the tool is passed to a customer as follows:</w:t>
      </w:r>
    </w:p>
    <w:p>
      <w:pPr>
        <w:spacing w:after="0" w:line="154" w:lineRule="exact"/>
        <w:rPr>
          <w:sz w:val="20"/>
          <w:szCs w:val="20"/>
          <w:color w:val="auto"/>
        </w:rPr>
      </w:pPr>
    </w:p>
    <w:p>
      <w:pPr>
        <w:ind w:left="425" w:hanging="425"/>
        <w:spacing w:after="0" w:line="255" w:lineRule="auto"/>
        <w:tabs>
          <w:tab w:leader="none" w:pos="42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 the customer has previously accepted the same tool with the same specifications and we can objectively demonstrate that the tool meets all of the required acceptance criteria;</w:t>
      </w:r>
    </w:p>
    <w:p>
      <w:pPr>
        <w:ind w:left="425" w:hanging="425"/>
        <w:spacing w:after="0"/>
        <w:tabs>
          <w:tab w:leader="none" w:pos="425" w:val="left"/>
        </w:tabs>
        <w:numPr>
          <w:ilvl w:val="0"/>
          <w:numId w:val="63"/>
        </w:numPr>
        <w:rPr>
          <w:rFonts w:ascii="Arial" w:cs="Arial" w:eastAsia="Arial" w:hAnsi="Arial"/>
          <w:sz w:val="14"/>
          <w:szCs w:val="14"/>
          <w:color w:val="auto"/>
        </w:rPr>
      </w:pPr>
      <w:r>
        <w:rPr>
          <w:rFonts w:ascii="Arial" w:cs="Arial" w:eastAsia="Arial" w:hAnsi="Arial"/>
          <w:sz w:val="14"/>
          <w:szCs w:val="14"/>
          <w:color w:val="auto"/>
        </w:rPr>
        <w:t>When the sales contract or purchase order contains no acceptance agreement and we can objectively demonstrate that the tool meets all of the required acceptance criteria;</w:t>
      </w:r>
    </w:p>
    <w:p>
      <w:pPr>
        <w:spacing w:after="0" w:line="29" w:lineRule="exact"/>
        <w:rPr>
          <w:rFonts w:ascii="Arial" w:cs="Arial" w:eastAsia="Arial" w:hAnsi="Arial"/>
          <w:sz w:val="14"/>
          <w:szCs w:val="14"/>
          <w:color w:val="auto"/>
        </w:rPr>
      </w:pPr>
    </w:p>
    <w:p>
      <w:pPr>
        <w:ind w:left="425" w:hanging="425"/>
        <w:spacing w:after="0"/>
        <w:tabs>
          <w:tab w:leader="none" w:pos="42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 our sales arrangements do not include a general right of return.</w:t>
      </w:r>
    </w:p>
    <w:p>
      <w:pPr>
        <w:spacing w:after="0" w:line="34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70" w:name="page71"/>
    <w:bookmarkEnd w:id="70"/>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spacing w:after="0" w:line="270" w:lineRule="auto"/>
        <w:rPr>
          <w:sz w:val="20"/>
          <w:szCs w:val="20"/>
          <w:color w:val="auto"/>
        </w:rPr>
      </w:pPr>
      <w:r>
        <w:rPr>
          <w:rFonts w:ascii="Arial" w:cs="Arial" w:eastAsia="Arial" w:hAnsi="Arial"/>
          <w:sz w:val="16"/>
          <w:szCs w:val="16"/>
          <w:color w:val="auto"/>
        </w:rPr>
        <w:t>We offer maintenance services, which consist principally of the installation and replacement of parts and small-scale modifications to the equipment. The related revenue and costs of revenue are recognized when parts have been delivered and installed and the customers have obtained control of the parts.</w:t>
      </w:r>
    </w:p>
    <w:p>
      <w:pPr>
        <w:spacing w:after="0" w:line="156"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We incur costs related to the acquisition of our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we expense sales commissions when incurred. These costs are recorded within sales and marketing expenses. We, therefore, do not have contract assets.</w:t>
      </w:r>
    </w:p>
    <w:p>
      <w:pPr>
        <w:spacing w:after="0" w:line="170" w:lineRule="exact"/>
        <w:rPr>
          <w:sz w:val="20"/>
          <w:szCs w:val="20"/>
          <w:color w:val="auto"/>
        </w:rPr>
      </w:pPr>
    </w:p>
    <w:p>
      <w:pPr>
        <w:jc w:val="both"/>
        <w:ind w:left="5"/>
        <w:spacing w:after="0" w:line="270" w:lineRule="auto"/>
        <w:rPr>
          <w:sz w:val="20"/>
          <w:szCs w:val="20"/>
          <w:color w:val="auto"/>
        </w:rPr>
      </w:pPr>
      <w:r>
        <w:rPr>
          <w:rFonts w:ascii="Arial" w:cs="Arial" w:eastAsia="Arial" w:hAnsi="Arial"/>
          <w:sz w:val="16"/>
          <w:szCs w:val="16"/>
          <w:color w:val="auto"/>
        </w:rPr>
        <w:t>We do not incur any costs to fulfill the contracts with customers that are not already reported in compliance with another applicable standard (for example, inventory or plant, property and equipment).</w:t>
      </w:r>
    </w:p>
    <w:p>
      <w:pPr>
        <w:spacing w:after="0" w:line="156"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We receive payments from customers prior to the transfer of control either upon contract sign-off and/or the delivery of evaluation tools, which are recorded as advances from customers.</w:t>
      </w:r>
    </w:p>
    <w:p>
      <w:pPr>
        <w:spacing w:after="0" w:line="156"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96"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We account for grants of stock options based on their grant date fair value and recognize compensation expense over the vesting periods. We estimate the fair value of the stock options granted with a service period-based condition at the date of grant using the Black-Scholes option pricing model. We estimate the fair value of the stock options granted with a market-based condition at the date of grant using the Monte Carlo simulation model.</w:t>
      </w:r>
    </w:p>
    <w:p>
      <w:pPr>
        <w:spacing w:after="0" w:line="167"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For options granted with a service period-based condition, 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these stock option grants using the Black-Scholes option pricing model, which requires the input of subjective assumptions, including (a) the risk-free interest rate, (b) the expected volatility of our stock, (c) the expected term of the award and (d) the expected dividend yield.</w:t>
      </w:r>
    </w:p>
    <w:p>
      <w:pPr>
        <w:spacing w:after="0" w:line="168" w:lineRule="exact"/>
        <w:rPr>
          <w:sz w:val="20"/>
          <w:szCs w:val="20"/>
          <w:color w:val="auto"/>
        </w:rPr>
      </w:pPr>
    </w:p>
    <w:p>
      <w:pPr>
        <w:ind w:left="425" w:hanging="425"/>
        <w:spacing w:after="0"/>
        <w:tabs>
          <w:tab w:leader="none" w:pos="425" w:val="left"/>
        </w:tabs>
        <w:numPr>
          <w:ilvl w:val="0"/>
          <w:numId w:val="64"/>
        </w:numPr>
        <w:rPr>
          <w:rFonts w:ascii="Arial" w:cs="Arial" w:eastAsia="Arial" w:hAnsi="Arial"/>
          <w:sz w:val="15"/>
          <w:szCs w:val="15"/>
          <w:color w:val="auto"/>
        </w:rPr>
      </w:pPr>
      <w:r>
        <w:rPr>
          <w:rFonts w:ascii="Arial" w:cs="Arial" w:eastAsia="Arial" w:hAnsi="Arial"/>
          <w:sz w:val="15"/>
          <w:szCs w:val="15"/>
          <w:color w:val="auto"/>
        </w:rPr>
        <w:t>We use the market closing price for the Class A common stock as reported on the Nasdaq Global Market to determine the fair value of the Class A common stock.</w:t>
      </w:r>
    </w:p>
    <w:p>
      <w:pPr>
        <w:spacing w:after="0" w:line="28" w:lineRule="exact"/>
        <w:rPr>
          <w:rFonts w:ascii="Arial" w:cs="Arial" w:eastAsia="Arial" w:hAnsi="Arial"/>
          <w:sz w:val="15"/>
          <w:szCs w:val="15"/>
          <w:color w:val="auto"/>
        </w:rPr>
      </w:pPr>
    </w:p>
    <w:p>
      <w:pPr>
        <w:ind w:left="425" w:hanging="425"/>
        <w:spacing w:after="0"/>
        <w:tabs>
          <w:tab w:leader="none" w:pos="42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risk-free interest rates for periods within the expected life of the option are based on the yields of zero-coupon U.S. Treasury securities.</w:t>
      </w:r>
    </w:p>
    <w:p>
      <w:pPr>
        <w:spacing w:after="0" w:line="6" w:lineRule="exact"/>
        <w:rPr>
          <w:rFonts w:ascii="Arial" w:cs="Arial" w:eastAsia="Arial" w:hAnsi="Arial"/>
          <w:sz w:val="16"/>
          <w:szCs w:val="16"/>
          <w:color w:val="auto"/>
        </w:rPr>
      </w:pPr>
    </w:p>
    <w:p>
      <w:pPr>
        <w:jc w:val="both"/>
        <w:ind w:left="425" w:hanging="425"/>
        <w:spacing w:after="0" w:line="283" w:lineRule="auto"/>
        <w:tabs>
          <w:tab w:leader="none" w:pos="425" w:val="left"/>
        </w:tabs>
        <w:numPr>
          <w:ilvl w:val="0"/>
          <w:numId w:val="64"/>
        </w:numPr>
        <w:rPr>
          <w:rFonts w:ascii="Arial" w:cs="Arial" w:eastAsia="Arial" w:hAnsi="Arial"/>
          <w:sz w:val="14"/>
          <w:szCs w:val="14"/>
          <w:color w:val="auto"/>
        </w:rPr>
      </w:pPr>
      <w:r>
        <w:rPr>
          <w:rFonts w:ascii="Arial" w:cs="Arial" w:eastAsia="Arial" w:hAnsi="Arial"/>
          <w:sz w:val="14"/>
          <w:szCs w:val="14"/>
          <w:color w:val="auto"/>
        </w:rPr>
        <w:t>Due to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ind w:left="425" w:hanging="425"/>
        <w:spacing w:after="0" w:line="247" w:lineRule="auto"/>
        <w:tabs>
          <w:tab w:leader="none" w:pos="42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1" w:lineRule="exact"/>
        <w:rPr>
          <w:rFonts w:ascii="Arial" w:cs="Arial" w:eastAsia="Arial" w:hAnsi="Arial"/>
          <w:sz w:val="16"/>
          <w:szCs w:val="16"/>
          <w:color w:val="auto"/>
        </w:rPr>
      </w:pPr>
    </w:p>
    <w:p>
      <w:pPr>
        <w:ind w:left="425" w:hanging="425"/>
        <w:spacing w:after="0"/>
        <w:tabs>
          <w:tab w:leader="none" w:pos="425"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expected dividend yield is assumed to be 0%, based on the fact that we have never paid cash dividends and have no present intention to pay cash dividends.</w:t>
      </w:r>
    </w:p>
    <w:p>
      <w:pPr>
        <w:spacing w:after="0" w:line="196"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Inventory</w:t>
      </w:r>
    </w:p>
    <w:p>
      <w:pPr>
        <w:spacing w:after="0" w:line="196"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Inventories consist of finished goods, raw materials, work-in-process and consumable materials. Finished goods are comprised of direct materials, direct labor, depreciation and manufacturing overhead. Inventory is stated at the lower of cost and net realizable value of the inventory at December 31, 2022 and 2021.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33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 During the twelve months ended December 31, 2022 and, 2021, inventory write-downs of $2.2 million and $0.1 million were recognized in cost of revenue,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Our manufacturing overhead standards for product costs are calculated assuming full absorption of forecasted spending over projected volumes, adjusted for excess capacity.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Abnormal inventory costs such as costs of idle facilities, excess freight and handling costs, and spoilage are recognized as current period charges.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Accounts receivables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 No allowance for doubtful accounts was considered necessary at December 31, 2022 or 2021.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Valuation of Long-Lived Assets</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2022 and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Income Taxes</w:t>
      </w:r>
    </w:p>
    <w:p>
      <w:pPr>
        <w:spacing w:after="0" w:line="196"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5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2" w:name="page73"/>
    <w:bookmarkEnd w:id="7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maintained a partial valuation allowance as of December 31, 2022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 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Warranty</w:t>
      </w:r>
    </w:p>
    <w:p>
      <w:pPr>
        <w:spacing w:after="0" w:line="196" w:lineRule="exact"/>
        <w:rPr>
          <w:sz w:val="20"/>
          <w:szCs w:val="20"/>
          <w:color w:val="auto"/>
        </w:rPr>
      </w:pPr>
    </w:p>
    <w:p>
      <w:pPr>
        <w:jc w:val="both"/>
        <w:ind w:right="20"/>
        <w:spacing w:after="0" w:line="298" w:lineRule="auto"/>
        <w:rPr>
          <w:sz w:val="20"/>
          <w:szCs w:val="20"/>
          <w:color w:val="auto"/>
        </w:rPr>
      </w:pPr>
      <w:r>
        <w:rPr>
          <w:rFonts w:ascii="Arial" w:cs="Arial" w:eastAsia="Arial" w:hAnsi="Arial"/>
          <w:sz w:val="14"/>
          <w:szCs w:val="14"/>
          <w:color w:val="auto"/>
        </w:rPr>
        <w:t>We have provided standard assurance type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 As of December 31, 2022 and 2021, we had accrued $8.8 million and $6.6 million, respectively, in liability contingency for potential warranty claims.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Financial Liability Carried at Fair Value</w:t>
      </w:r>
    </w:p>
    <w:p>
      <w:pPr>
        <w:spacing w:after="0" w:line="196"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 xml:space="preserve">As described in note 15 in the Notes to Consolidated Financial Statements, in preparation for the STAR IPO we entered into two agreements with Shengxin (Shanghai) Management Consulting Limited Partnership, or SMC, relating to outstanding obligations for which we had agreed to deliver certain consideration. We accounted for this consideration as a financial liability and applied fair value option methodology to measure the consideration in accordance with ASC,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(i.e., ASC 825-10-15-4a). On July 29, 2020 we entered into an amended agreement with SMC under which, in settlement of the financial liability, we issued to SMC a warrant to purchase shares of Class A common stock. The financial liability was remeasured to fair value as of July 29, 2020 and was retired upon issuance of the warrant. The warrant was initially measured at fair value at the issuance date and classified as permanent equity in accordance with ASC Topic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Estimates related to this item required significant judgment, and a change in the estimates could have a material effect on our results of operations during the periods involved.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a discussion of recent accounting pronouncements we expect will have an impact when adopted, see note 2 in the Notes to Consolidated Financial Statements included herein under “Item 8. Financial Statements and Supplementary Data.”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results of operations for the periods presented, as percentages of 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left w:val="single" w:sz="8" w:color="CCEEFF"/>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left w:val="single" w:sz="8" w:color="CCEEFF"/>
              <w:bottom w:val="single" w:sz="8" w:color="auto"/>
            </w:tcBorders>
            <w:shd w:val="clear" w:color="auto" w:fill="CCEEFF"/>
          </w:tcPr>
          <w:p>
            <w:pPr>
              <w:spacing w:after="0"/>
              <w:rPr>
                <w:sz w:val="16"/>
                <w:szCs w:val="16"/>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Pr>
          <w:p>
            <w:pPr>
              <w:ind w:left="400"/>
              <w:spacing w:after="0"/>
              <w:rPr>
                <w:sz w:val="20"/>
                <w:szCs w:val="20"/>
                <w:color w:val="auto"/>
              </w:rPr>
            </w:pPr>
            <w:r>
              <w:rPr>
                <w:rFonts w:ascii="Arial" w:cs="Arial" w:eastAsia="Arial" w:hAnsi="Arial"/>
                <w:sz w:val="16"/>
                <w:szCs w:val="16"/>
                <w:color w:val="auto"/>
              </w:rPr>
              <w:t>Total operating expenses, net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Income from operations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lef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Interest income (expense), net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financial liability</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Realized gain from sale of trading securities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(loss) on trading securities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income in net income of affiliates</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left w:val="single" w:sz="8" w:color="CCEEFF"/>
              <w:bottom w:val="single" w:sz="8" w:color="auto"/>
            </w:tcBorders>
            <w:shd w:val="clear" w:color="auto" w:fill="CCEEFF"/>
          </w:tcPr>
          <w:p>
            <w:pPr>
              <w:spacing w:after="0"/>
              <w:rPr>
                <w:sz w:val="16"/>
                <w:szCs w:val="16"/>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ind w:left="54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ind w:left="5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left w:val="single" w:sz="8" w:color="CCEEFF"/>
              <w:bottom w:val="single" w:sz="8" w:color="auto"/>
            </w:tcBorders>
            <w:shd w:val="clear" w:color="auto" w:fill="CCEEFF"/>
          </w:tcPr>
          <w:p>
            <w:pPr>
              <w:spacing w:after="0"/>
              <w:rPr>
                <w:sz w:val="16"/>
                <w:szCs w:val="16"/>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b w:val="1"/>
                <w:bCs w:val="1"/>
                <w:color w:val="auto"/>
              </w:rPr>
              <w:t>Net income attributable to ACM Research, Inc.</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w w:val="91"/>
              </w:rPr>
              <w:t>Comparison of Years Ended December 31, 2022, 2021 and 2020</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left="521"/>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500"/>
              <w:spacing w:after="0" w:line="174" w:lineRule="exact"/>
              <w:rPr>
                <w:sz w:val="20"/>
                <w:szCs w:val="20"/>
                <w:color w:val="auto"/>
              </w:rPr>
            </w:pPr>
            <w:r>
              <w:rPr>
                <w:rFonts w:ascii="Arial" w:cs="Arial" w:eastAsia="Arial" w:hAnsi="Arial"/>
                <w:sz w:val="16"/>
                <w:szCs w:val="16"/>
                <w:b w:val="1"/>
                <w:bCs w:val="1"/>
                <w:color w:val="auto"/>
                <w:w w:val="90"/>
              </w:rPr>
              <w:t>% Change</w:t>
            </w:r>
          </w:p>
        </w:tc>
        <w:tc>
          <w:tcPr>
            <w:tcW w:w="120" w:type="dxa"/>
            <w:vAlign w:val="bottom"/>
          </w:tcPr>
          <w:p>
            <w:pPr>
              <w:spacing w:after="0"/>
              <w:rPr>
                <w:sz w:val="15"/>
                <w:szCs w:val="15"/>
                <w:color w:val="auto"/>
              </w:rPr>
            </w:pPr>
          </w:p>
        </w:tc>
        <w:tc>
          <w:tcPr>
            <w:tcW w:w="1140" w:type="dxa"/>
            <w:vAlign w:val="bottom"/>
            <w:gridSpan w:val="2"/>
          </w:tcPr>
          <w:p>
            <w:pPr>
              <w:jc w:val="right"/>
              <w:ind w:right="380"/>
              <w:spacing w:after="0" w:line="174" w:lineRule="exact"/>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2022 v 2021</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7"/>
              </w:rPr>
              <w:t>2021 v 2020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i w:val="1"/>
                <w:iCs w:val="1"/>
                <w:color w:val="auto"/>
                <w:w w:val="90"/>
              </w:rPr>
              <w:t>(in thousands)</w:t>
            </w: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388,832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259,751</w:t>
            </w:r>
          </w:p>
        </w:tc>
        <w:tc>
          <w:tcPr>
            <w:tcW w:w="260" w:type="dxa"/>
            <w:vAlign w:val="bottom"/>
            <w:tcBorders>
              <w:left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156,624</w:t>
            </w: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438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980" w:type="dxa"/>
            <w:vAlign w:val="bottom"/>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12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w w:val="92"/>
              </w:rPr>
              <w:t>Single wafer cleaning, Tahoe and semi-critical cleaning equipment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272,939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189,208</w:t>
            </w:r>
          </w:p>
        </w:tc>
        <w:tc>
          <w:tcPr>
            <w:tcW w:w="260" w:type="dxa"/>
            <w:vAlign w:val="bottom"/>
            <w:tcBorders>
              <w:left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131,248</w:t>
            </w: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w w:val="97"/>
              </w:rPr>
              <w:t>ECP (front-end and packaging), furnace and other technologies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77,482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33,210</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13,343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Advanced packaging (excluding ECP), services &amp; spares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38,411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37,333</w:t>
            </w:r>
          </w:p>
        </w:tc>
        <w:tc>
          <w:tcPr>
            <w:tcW w:w="260" w:type="dxa"/>
            <w:vAlign w:val="bottom"/>
            <w:tcBorders>
              <w:lef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12,033</w:t>
            </w: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b w:val="1"/>
                <w:bCs w:val="1"/>
                <w:color w:val="auto"/>
              </w:rPr>
              <w:t>Total Revenue By Product Category</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388,832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259,751</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156,624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49.7%</w:t>
            </w: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65.8%</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tcBorders>
              <w:right w:val="single" w:sz="8" w:color="CCEEFF"/>
            </w:tcBorders>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Wet-cleaning and other front-end processing tools</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308,528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202,268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136,317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w w:val="93"/>
              </w:rPr>
              <w:t>Advanced packaging, other processing tools, services and spares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80,304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57,483</w:t>
            </w:r>
          </w:p>
        </w:tc>
        <w:tc>
          <w:tcPr>
            <w:tcW w:w="260" w:type="dxa"/>
            <w:vAlign w:val="bottom"/>
            <w:tcBorders>
              <w:lef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20,307</w:t>
            </w: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b w:val="1"/>
                <w:bCs w:val="1"/>
                <w:color w:val="auto"/>
              </w:rPr>
              <w:t>Total Revenue Front-end and Back-End</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388,832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259,751</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156,624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49.7%</w:t>
            </w: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4"/>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Mainland China</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377,752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258,615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Other Regions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11,080</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1,136</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left w:val="single" w:sz="8" w:color="CCEEFF"/>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388,832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259,751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156,624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increase in revenue for 2022 compared to 2021 was driven primarily by higher sales of single wafer cleaning, Tahoe and semi-critical cleaning equipment, and increased contribution from newer ECP (front-end and packaging), furnace and other technologies. Our Shanghai production operations were adversely impacted in the first half of the year due to COVID-19-related restrictions, with a return to more normal operations in the second half of the year. The U.S. export regulations imposed in October of 2022 had an adverse impact on ACM Shanghai’s shipments and sales in the fourth quarter of 2022.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4" w:name="page75"/>
    <w:bookmarkEnd w:id="7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increase in revenue for 2021 compared to 2020 was driven by higher sales of single wafer cleaning, Tahoe and semi-critical cleaning equipment, increased contribution from newer ECP (front-end and packaging), furnace and other technologies, and higher sales of Advanced packaging, services and spares. The increased demand from PRC-based customers is due in part to their longer-term commitment to increase production capacity to achieve a greater share of the mainland China semiconductor market.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60" w:type="dxa"/>
            <w:vAlign w:val="bottom"/>
          </w:tcPr>
          <w:p>
            <w:pPr>
              <w:spacing w:after="0"/>
              <w:rPr>
                <w:sz w:val="20"/>
                <w:szCs w:val="20"/>
                <w:color w:val="auto"/>
              </w:rPr>
            </w:pPr>
            <w:r>
              <w:rPr>
                <w:rFonts w:ascii="Arial" w:cs="Arial" w:eastAsia="Arial" w:hAnsi="Arial"/>
                <w:sz w:val="16"/>
                <w:szCs w:val="16"/>
                <w:b w:val="1"/>
                <w:bCs w:val="1"/>
                <w:color w:val="auto"/>
              </w:rPr>
              <w:t>Cost of Revenue and Gross Margin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85"/>
        </w:trPr>
        <w:tc>
          <w:tcPr>
            <w:tcW w:w="3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left="561"/>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3"/>
        </w:trPr>
        <w:tc>
          <w:tcPr>
            <w:tcW w:w="3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Arial" w:cs="Arial" w:eastAsia="Arial" w:hAnsi="Arial"/>
                <w:sz w:val="16"/>
                <w:szCs w:val="16"/>
                <w:b w:val="1"/>
                <w:bCs w:val="1"/>
                <w:color w:val="auto"/>
                <w:w w:val="93"/>
              </w:rPr>
              <w:t>% Change</w:t>
            </w:r>
          </w:p>
        </w:tc>
        <w:tc>
          <w:tcPr>
            <w:tcW w:w="1260" w:type="dxa"/>
            <w:vAlign w:val="bottom"/>
            <w:gridSpan w:val="2"/>
          </w:tcPr>
          <w:p>
            <w:pPr>
              <w:jc w:val="right"/>
              <w:ind w:right="340"/>
              <w:spacing w:after="0" w:line="174" w:lineRule="exact"/>
              <w:rPr>
                <w:sz w:val="20"/>
                <w:szCs w:val="20"/>
                <w:color w:val="auto"/>
              </w:rPr>
            </w:pPr>
            <w:r>
              <w:rPr>
                <w:rFonts w:ascii="Arial" w:cs="Arial" w:eastAsia="Arial" w:hAnsi="Arial"/>
                <w:sz w:val="16"/>
                <w:szCs w:val="16"/>
                <w:b w:val="1"/>
                <w:bCs w:val="1"/>
                <w:color w:val="auto"/>
              </w:rPr>
              <w:t>% Change</w:t>
            </w:r>
          </w:p>
        </w:tc>
      </w:tr>
      <w:tr>
        <w:trPr>
          <w:trHeight w:val="210"/>
        </w:trPr>
        <w:tc>
          <w:tcPr>
            <w:tcW w:w="3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
              <w:spacing w:after="0"/>
              <w:rPr>
                <w:sz w:val="20"/>
                <w:szCs w:val="20"/>
                <w:color w:val="auto"/>
              </w:rPr>
            </w:pPr>
            <w:r>
              <w:rPr>
                <w:rFonts w:ascii="Arial" w:cs="Arial" w:eastAsia="Arial" w:hAnsi="Arial"/>
                <w:sz w:val="16"/>
                <w:szCs w:val="16"/>
                <w:b w:val="1"/>
                <w:bCs w:val="1"/>
                <w:color w:val="auto"/>
                <w:w w:val="89"/>
              </w:rPr>
              <w:t>2021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2022 v 2021</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2021 v 2020</w:t>
            </w:r>
          </w:p>
        </w:tc>
      </w:tr>
      <w:tr>
        <w:trPr>
          <w:trHeight w:val="190"/>
        </w:trPr>
        <w:tc>
          <w:tcPr>
            <w:tcW w:w="3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
              <w:spacing w:after="0"/>
              <w:rPr>
                <w:sz w:val="20"/>
                <w:szCs w:val="20"/>
                <w:color w:val="auto"/>
              </w:rPr>
            </w:pPr>
            <w:r>
              <w:rPr>
                <w:rFonts w:ascii="Arial" w:cs="Arial" w:eastAsia="Arial" w:hAnsi="Arial"/>
                <w:sz w:val="16"/>
                <w:szCs w:val="16"/>
                <w:i w:val="1"/>
                <w:iCs w:val="1"/>
                <w:color w:val="auto"/>
                <w:w w:val="90"/>
              </w:rPr>
              <w:t>(in thousands)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205,217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144,895</w:t>
            </w:r>
          </w:p>
        </w:tc>
        <w:tc>
          <w:tcPr>
            <w:tcW w:w="1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87,025</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41.6%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66.5%</w:t>
            </w:r>
          </w:p>
        </w:tc>
      </w:tr>
      <w:tr>
        <w:trPr>
          <w:trHeight w:val="190"/>
        </w:trPr>
        <w:tc>
          <w:tcPr>
            <w:tcW w:w="3460" w:type="dxa"/>
            <w:vAlign w:val="bottom"/>
          </w:tcPr>
          <w:p>
            <w:pPr>
              <w:spacing w:after="0"/>
              <w:rPr>
                <w:sz w:val="20"/>
                <w:szCs w:val="20"/>
                <w:color w:val="auto"/>
              </w:rPr>
            </w:pPr>
            <w:r>
              <w:rPr>
                <w:rFonts w:ascii="Arial" w:cs="Arial" w:eastAsia="Arial" w:hAnsi="Arial"/>
                <w:sz w:val="16"/>
                <w:szCs w:val="16"/>
                <w:color w:val="auto"/>
              </w:rPr>
              <w:t>Gross profit</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183,615</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114,856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69,599</w:t>
            </w:r>
          </w:p>
        </w:tc>
        <w:tc>
          <w:tcPr>
            <w:tcW w:w="1380" w:type="dxa"/>
            <w:vAlign w:val="bottom"/>
            <w:gridSpan w:val="2"/>
          </w:tcPr>
          <w:p>
            <w:pPr>
              <w:ind w:left="840"/>
              <w:spacing w:after="0"/>
              <w:rPr>
                <w:sz w:val="20"/>
                <w:szCs w:val="20"/>
                <w:color w:val="auto"/>
              </w:rPr>
            </w:pPr>
            <w:r>
              <w:rPr>
                <w:rFonts w:ascii="Arial" w:cs="Arial" w:eastAsia="Arial" w:hAnsi="Arial"/>
                <w:sz w:val="16"/>
                <w:szCs w:val="16"/>
                <w:color w:val="auto"/>
              </w:rPr>
              <w:t>59.9%</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65.0%</w:t>
            </w:r>
          </w:p>
        </w:tc>
      </w:tr>
      <w:tr>
        <w:trPr>
          <w:trHeight w:val="190"/>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47.2%</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44.2%</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44.4%</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3.00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-0.22</w:t>
            </w:r>
          </w:p>
        </w:tc>
      </w:tr>
    </w:tbl>
    <w:p>
      <w:pPr>
        <w:spacing w:after="0" w:line="17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Cost of revenue and gross profit increased in 2022 as compared to 2021 due to the increased sales volume and an increase in gross margin. The increased gross margin versus the prior-year period was primarily due to a higher mix of ECP (front-end and packaging), furnace, and other technologies, and a positive impact due to a change in the RMB to U.S. dollar currency exchange rate.</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Cost of revenue and gross profit increased in 2021 compared to 2020, reflecting the growth in sales. Gross margin decreased by 22 basis points, primarily due to differences in product mix in 2021 versus 2020.</w:t>
      </w:r>
    </w:p>
    <w:p>
      <w:pPr>
        <w:spacing w:after="0" w:line="156"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left="561"/>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460"/>
              <w:spacing w:after="0" w:line="174" w:lineRule="exact"/>
              <w:rPr>
                <w:sz w:val="20"/>
                <w:szCs w:val="20"/>
                <w:color w:val="auto"/>
              </w:rPr>
            </w:pPr>
            <w:r>
              <w:rPr>
                <w:rFonts w:ascii="Arial" w:cs="Arial" w:eastAsia="Arial" w:hAnsi="Arial"/>
                <w:sz w:val="16"/>
                <w:szCs w:val="16"/>
                <w:b w:val="1"/>
                <w:bCs w:val="1"/>
                <w:color w:val="auto"/>
              </w:rPr>
              <w:t>% Change</w:t>
            </w:r>
          </w:p>
        </w:tc>
        <w:tc>
          <w:tcPr>
            <w:tcW w:w="1260" w:type="dxa"/>
            <w:vAlign w:val="bottom"/>
            <w:gridSpan w:val="2"/>
          </w:tcPr>
          <w:p>
            <w:pPr>
              <w:jc w:val="right"/>
              <w:ind w:right="340"/>
              <w:spacing w:after="0" w:line="174" w:lineRule="exact"/>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2022 v 2021</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2021 v 2020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i w:val="1"/>
                <w:iCs w:val="1"/>
                <w:color w:val="auto"/>
                <w:w w:val="90"/>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26,733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16,773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Research and development expense</w:t>
            </w: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62,226</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34,207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19,119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81.9%</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22,465</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124,580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76,154</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48,107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63.6%</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i w:val="1"/>
          <w:iCs w:val="1"/>
          <w:color w:val="auto"/>
        </w:rPr>
        <w:t xml:space="preserve">Sales and marketing expense </w:t>
      </w:r>
      <w:r>
        <w:rPr>
          <w:rFonts w:ascii="Arial" w:cs="Arial" w:eastAsia="Arial" w:hAnsi="Arial"/>
          <w:sz w:val="14"/>
          <w:szCs w:val="14"/>
          <w:color w:val="auto"/>
        </w:rPr>
        <w:t>increased in 2022 as compared to 2021, and reflected an increase of $7.9 million due to higher costs of tools built for promotional purposes for</w:t>
      </w:r>
      <w:r>
        <w:rPr>
          <w:rFonts w:ascii="Arial" w:cs="Arial" w:eastAsia="Arial" w:hAnsi="Arial"/>
          <w:sz w:val="14"/>
          <w:szCs w:val="14"/>
          <w:i w:val="1"/>
          <w:iCs w:val="1"/>
          <w:color w:val="auto"/>
        </w:rPr>
        <w:t xml:space="preserve"> </w:t>
      </w:r>
      <w:r>
        <w:rPr>
          <w:rFonts w:ascii="Arial" w:cs="Arial" w:eastAsia="Arial" w:hAnsi="Arial"/>
          <w:sz w:val="14"/>
          <w:szCs w:val="14"/>
          <w:color w:val="auto"/>
        </w:rPr>
        <w:t>current or potential new customers, and an increase of $5.3 million due to increased costs for personnel, commissions, outside services, travel and entertainment and other costs.</w:t>
      </w:r>
    </w:p>
    <w:p>
      <w:pPr>
        <w:spacing w:after="0" w:line="11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Sales and marketing expense increased in 2021 as compared to 2020, primarily due to an increase in services costs including travel and warranty support, employee payroll and benefits, stock-based compensation, and sales commissions.</w:t>
      </w:r>
    </w:p>
    <w:p>
      <w:pPr>
        <w:spacing w:after="0" w:line="156" w:lineRule="exact"/>
        <w:rPr>
          <w:sz w:val="20"/>
          <w:szCs w:val="20"/>
          <w:color w:val="auto"/>
        </w:rPr>
      </w:pPr>
    </w:p>
    <w:p>
      <w:pPr>
        <w:jc w:val="both"/>
        <w:ind w:firstLine="49"/>
        <w:spacing w:after="0" w:line="255"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order to support growth of our customer base in the United States, and the relative strength of the dollar could have a significant effect on our sales and marketing expense.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increased in 2022 as compared to 2021, reflecting an increase of $6.9 million in costs of components, costs of tools built for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purposes, and costs of other research and development supplies, and an increase of $16.7 million for personnel, stock-based compensation, and travel and entertainment costs to support product development, and an increase of $4.4 million for outside services and other research and development related expenses.</w:t>
      </w:r>
    </w:p>
    <w:p>
      <w:pPr>
        <w:spacing w:after="0" w:line="148"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Research and development expense represented 16.0% and 13.2% of our revenue in the years ended December 31, 2022 and 2021, respectively. Without reduction by grant amounts received from PRC governmental authorities (see “—PRC Government Research and Development Funding”), gross research and development expense totaled $63.4million, or 16.3% of total revenue, in the year ended December 31, 2022 as compared to $45.5 million, or 17.5% of revenue, in the corresponding period in 2021.</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Research and development expense increased in 2021 as compared to 2020, primarily due to an increase in employee payroll and benefits, cost of components and other research and development supplies, travel, and other related expenses. Research and development expense represented 13.2% and 12.2% of our revenue in 2021 and 2020, respectively. Without reduction by grant amounts received from PRC governmental authorities (see “—Key Components of Results of Operations—PRC Government Research and Development Funding”), gross research and development expense totaled $45.5 million, or 17.5% of revenue, in 2021 and $21.2 million, or 13.6% of revenue, in 2020.</w:t>
      </w:r>
    </w:p>
    <w:p>
      <w:pPr>
        <w:spacing w:after="0" w:line="13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expect that, for the foreseeable future, research and development expense will increase in absolute dollars as compared to 2022, as we continue to invest in research and development to advance our technologies. We intend to continue to invest in research and development to support and enhance our cleaning, plating, advanced packaging, furnace and future product offerings to build and maintain our technology leadership position.</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in 2022 as compared to 2021, primarily due to an increase in stock-based compensation, increased employee count, and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legal, payroll tax and other fees.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General and administrative expense increased for 2021 as compared to 2020, primarily due to increased employee payroll and benefits, and an increase in legal, payroll tax and other fees.</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expect that, for the foreseeable future, general and administrative expense will increase in absolute dollars, as we incur additional costs associated with growing our business and operating as a public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 and operating expenses during the periods presented below have included stock-based compensation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73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20"/>
                <w:szCs w:val="20"/>
                <w:color w:val="auto"/>
              </w:rPr>
            </w:pPr>
            <w:r>
              <w:rPr>
                <w:rFonts w:ascii="Arial" w:cs="Arial" w:eastAsia="Arial" w:hAnsi="Arial"/>
                <w:sz w:val="16"/>
                <w:szCs w:val="16"/>
                <w:b w:val="1"/>
                <w:bCs w:val="1"/>
                <w:color w:val="auto"/>
              </w:rPr>
              <w:t>Stock-Based Compensation Expense:</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w:t>
            </w:r>
          </w:p>
        </w:tc>
      </w:tr>
      <w:tr>
        <w:trPr>
          <w:trHeight w:val="190"/>
        </w:trPr>
        <w:tc>
          <w:tcPr>
            <w:tcW w:w="7320" w:type="dxa"/>
            <w:vAlign w:val="bottom"/>
          </w:tcPr>
          <w:p>
            <w:pPr>
              <w:spacing w:after="0"/>
              <w:rPr>
                <w:sz w:val="20"/>
                <w:szCs w:val="20"/>
                <w:color w:val="auto"/>
              </w:rPr>
            </w:pPr>
            <w:r>
              <w:rPr>
                <w:rFonts w:ascii="Arial" w:cs="Arial" w:eastAsia="Arial" w:hAnsi="Arial"/>
                <w:sz w:val="16"/>
                <w:szCs w:val="16"/>
                <w:color w:val="auto"/>
              </w:rPr>
              <w:t>Sales and marketing expense</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1,877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1,199</w:t>
            </w: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2,565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763</w:t>
            </w:r>
          </w:p>
        </w:tc>
      </w:tr>
      <w:tr>
        <w:trPr>
          <w:trHeight w:val="194"/>
        </w:trPr>
        <w:tc>
          <w:tcPr>
            <w:tcW w:w="732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2,768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3,491</w:t>
            </w:r>
          </w:p>
        </w:tc>
      </w:tr>
      <w:tr>
        <w:trPr>
          <w:trHeight w:val="230"/>
        </w:trPr>
        <w:tc>
          <w:tcPr>
            <w:tcW w:w="7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7,730</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5,628</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recognized stock-based compensation expense of $7.7 million in 2022, $5.1 million in 2021, and $5.6 million in 2020.</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of December 31, 2022 and 2021, we had $16.0 million and $9.5 million, respectively, of unrecognized employee stock-based compensation expense, net of estimated forfeitures, related to unvested ACM stock-based awards. These are expected to be recognized over a weighted-average period of 1.53 years and 1.61 years, respectively. As of December 31, 2022 and 2021, we had an additional $0.2 million and $0.5 million, respectively of unrecognized employee stock-based compensation expense, net of estimated forfeitures, related to unvested ACM Shanghai stock-based awards.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49"/>
        </w:trPr>
        <w:tc>
          <w:tcPr>
            <w:tcW w:w="3080" w:type="dxa"/>
            <w:vAlign w:val="bottom"/>
            <w:gridSpan w:val="2"/>
          </w:tcPr>
          <w:p>
            <w:pPr>
              <w:spacing w:after="0"/>
              <w:rPr>
                <w:sz w:val="20"/>
                <w:szCs w:val="20"/>
                <w:color w:val="auto"/>
              </w:rPr>
            </w:pPr>
            <w:r>
              <w:rPr>
                <w:rFonts w:ascii="Arial" w:cs="Arial" w:eastAsia="Arial" w:hAnsi="Arial"/>
                <w:sz w:val="13"/>
                <w:szCs w:val="13"/>
                <w:i w:val="1"/>
                <w:iCs w:val="1"/>
                <w:color w:val="0000EE"/>
              </w:rPr>
              <w:t>Table of Contents</w:t>
            </w: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5"/>
        </w:trPr>
        <w:tc>
          <w:tcPr>
            <w:tcW w:w="3080" w:type="dxa"/>
            <w:vAlign w:val="bottom"/>
            <w:gridSpan w:val="2"/>
          </w:tcPr>
          <w:p>
            <w:pPr>
              <w:spacing w:after="0"/>
              <w:rPr>
                <w:sz w:val="20"/>
                <w:szCs w:val="20"/>
                <w:color w:val="auto"/>
              </w:rPr>
            </w:pPr>
            <w:r>
              <w:rPr>
                <w:rFonts w:ascii="Arial" w:cs="Arial" w:eastAsia="Arial" w:hAnsi="Arial"/>
                <w:sz w:val="16"/>
                <w:szCs w:val="16"/>
                <w:i w:val="1"/>
                <w:iCs w:val="1"/>
                <w:color w:val="auto"/>
              </w:rPr>
              <w:t>Income from Operations</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5"/>
        </w:trPr>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left="561"/>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3"/>
        </w:trPr>
        <w:tc>
          <w:tcPr>
            <w:tcW w:w="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Arial" w:cs="Arial" w:eastAsia="Arial" w:hAnsi="Arial"/>
                <w:sz w:val="16"/>
                <w:szCs w:val="16"/>
                <w:b w:val="1"/>
                <w:bCs w:val="1"/>
                <w:color w:val="auto"/>
                <w:w w:val="93"/>
              </w:rPr>
              <w:t>% Change</w:t>
            </w:r>
          </w:p>
        </w:tc>
        <w:tc>
          <w:tcPr>
            <w:tcW w:w="1260" w:type="dxa"/>
            <w:vAlign w:val="bottom"/>
            <w:gridSpan w:val="2"/>
          </w:tcPr>
          <w:p>
            <w:pPr>
              <w:jc w:val="center"/>
              <w:ind w:right="140"/>
              <w:spacing w:after="0" w:line="174" w:lineRule="exact"/>
              <w:rPr>
                <w:sz w:val="20"/>
                <w:szCs w:val="20"/>
                <w:color w:val="auto"/>
              </w:rPr>
            </w:pPr>
            <w:r>
              <w:rPr>
                <w:rFonts w:ascii="Arial" w:cs="Arial" w:eastAsia="Arial" w:hAnsi="Arial"/>
                <w:sz w:val="16"/>
                <w:szCs w:val="16"/>
                <w:b w:val="1"/>
                <w:bCs w:val="1"/>
                <w:color w:val="auto"/>
                <w:w w:val="93"/>
              </w:rPr>
              <w:t>% Change</w:t>
            </w:r>
          </w:p>
        </w:tc>
      </w:tr>
      <w:tr>
        <w:trPr>
          <w:trHeight w:val="210"/>
        </w:trPr>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2022 v 2021</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2021 v 2020</w:t>
            </w:r>
          </w:p>
        </w:tc>
      </w:tr>
      <w:tr>
        <w:trPr>
          <w:trHeight w:val="190"/>
        </w:trPr>
        <w:tc>
          <w:tcPr>
            <w:tcW w:w="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i w:val="1"/>
                <w:iCs w:val="1"/>
                <w:color w:val="auto"/>
                <w:w w:val="90"/>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59,035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38,702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21,492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80.1%</w:t>
            </w:r>
          </w:p>
        </w:tc>
      </w:tr>
    </w:tbl>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Income from operations increased in 2022 as compared to 2021, due to a $68.8 million increase in gross profit, partly offset by a $48.4 million increase in operating expenses. Income from operations increased by $17.2 million during the year ended December 31, 2021 as compared to 2021, due to a $45.3 million increase in gross profit, partly offset by a $28.0 million increase in operating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i w:val="1"/>
                <w:iCs w:val="1"/>
                <w:color w:val="auto"/>
                <w:w w:val="97"/>
              </w:rPr>
              <w:t>Interest income (expense), net, Other Income (expense), net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left="561"/>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460"/>
              <w:spacing w:after="0" w:line="174" w:lineRule="exact"/>
              <w:rPr>
                <w:sz w:val="20"/>
                <w:szCs w:val="20"/>
                <w:color w:val="auto"/>
              </w:rPr>
            </w:pPr>
            <w:r>
              <w:rPr>
                <w:rFonts w:ascii="Arial" w:cs="Arial" w:eastAsia="Arial" w:hAnsi="Arial"/>
                <w:sz w:val="16"/>
                <w:szCs w:val="16"/>
                <w:b w:val="1"/>
                <w:bCs w:val="1"/>
                <w:color w:val="auto"/>
              </w:rPr>
              <w:t>% Change</w:t>
            </w:r>
          </w:p>
        </w:tc>
        <w:tc>
          <w:tcPr>
            <w:tcW w:w="1260" w:type="dxa"/>
            <w:vAlign w:val="bottom"/>
            <w:gridSpan w:val="2"/>
          </w:tcPr>
          <w:p>
            <w:pPr>
              <w:jc w:val="right"/>
              <w:ind w:right="340"/>
              <w:spacing w:after="0" w:line="174" w:lineRule="exact"/>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2022 v 2021</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2021 v 2020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i w:val="1"/>
                <w:iCs w:val="1"/>
                <w:color w:val="auto"/>
                <w:w w:val="90"/>
              </w:rPr>
              <w:t>(in thousands)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6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505</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1630.7%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(982)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116.3%</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 net</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-2825.0%</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6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(631)</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(3,377)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-625.4%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Interest income (expense), net consists of interest earned on our cash and equivalents, restricted cash accounts, and short term and long-term time deposits, offset by interest expense incurred from outstanding short-term and long-term borrowings. The significant change from the year-ago-period resulted from a much higher balance of cash and equivalents and time deposits together with higher interest rates on these balances, partly offset by a higher balance of short-term and long-term borrowings.</w:t>
      </w:r>
    </w:p>
    <w:p>
      <w:pPr>
        <w:spacing w:after="0" w:line="14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Interest income (expense), net, decreased in 2021 compared to 2020, principally as a result of reduced interest income from lower interest rates on reduced cash balances, partly offset by reduced interest expenses incurred from short-term and long-term bank loans.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Other income (expense),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We realized $3.3 million of other income (expense) in the year ended December 31, 2022, of which $1.7 million was due to gains realized from transactions that resulted from changes in the RMB-to-U.S. dollar exchange rate, as compared to a loss of ($0.6 million) in the corresponding period in 2021.</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other income (expense), net was ($0.6 million) for the year ended December 31, 2021 due primarily to losses due to the effect of exchange rate fluctuations, and ($3.4 million) for the year ended December 31, 2020 due primarily to losses due to the effect of exchange rate fluctuations.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49"/>
        </w:trPr>
        <w:tc>
          <w:tcPr>
            <w:tcW w:w="2880" w:type="dxa"/>
            <w:vAlign w:val="bottom"/>
            <w:gridSpan w:val="2"/>
          </w:tcPr>
          <w:p>
            <w:pPr>
              <w:spacing w:after="0"/>
              <w:rPr>
                <w:sz w:val="20"/>
                <w:szCs w:val="20"/>
                <w:color w:val="auto"/>
              </w:rPr>
            </w:pPr>
            <w:r>
              <w:rPr>
                <w:rFonts w:ascii="Arial" w:cs="Arial" w:eastAsia="Arial" w:hAnsi="Arial"/>
                <w:sz w:val="13"/>
                <w:szCs w:val="13"/>
                <w:i w:val="1"/>
                <w:iCs w:val="1"/>
                <w:color w:val="0000EE"/>
              </w:rPr>
              <w:t>Table of Contents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574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5"/>
        </w:trPr>
        <w:tc>
          <w:tcPr>
            <w:tcW w:w="6620" w:type="dxa"/>
            <w:vAlign w:val="bottom"/>
            <w:gridSpan w:val="12"/>
          </w:tcPr>
          <w:p>
            <w:pPr>
              <w:spacing w:after="0"/>
              <w:rPr>
                <w:sz w:val="20"/>
                <w:szCs w:val="20"/>
                <w:color w:val="auto"/>
              </w:rPr>
            </w:pPr>
            <w:r>
              <w:rPr>
                <w:rFonts w:ascii="Arial" w:cs="Arial" w:eastAsia="Arial" w:hAnsi="Arial"/>
                <w:sz w:val="16"/>
                <w:szCs w:val="16"/>
                <w:i w:val="1"/>
                <w:iCs w:val="1"/>
                <w:color w:val="auto"/>
                <w:w w:val="91"/>
              </w:rPr>
              <w:t>Realized gain and unrealized loss from trading securities, and equity income in net income of affiliates.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left="481"/>
              <w:spacing w:after="0"/>
              <w:rPr>
                <w:sz w:val="20"/>
                <w:szCs w:val="20"/>
                <w:color w:val="auto"/>
              </w:rPr>
            </w:pPr>
            <w:r>
              <w:rPr>
                <w:rFonts w:ascii="Arial" w:cs="Arial" w:eastAsia="Arial" w:hAnsi="Arial"/>
                <w:sz w:val="16"/>
                <w:szCs w:val="16"/>
                <w:b w:val="1"/>
                <w:bCs w:val="1"/>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20"/>
              <w:spacing w:after="0" w:line="174" w:lineRule="exact"/>
              <w:rPr>
                <w:sz w:val="20"/>
                <w:szCs w:val="20"/>
                <w:color w:val="auto"/>
              </w:rPr>
            </w:pPr>
            <w:r>
              <w:rPr>
                <w:rFonts w:ascii="Arial" w:cs="Arial" w:eastAsia="Arial" w:hAnsi="Arial"/>
                <w:sz w:val="16"/>
                <w:szCs w:val="16"/>
                <w:b w:val="1"/>
                <w:bCs w:val="1"/>
                <w:color w:val="auto"/>
              </w:rPr>
              <w:t>% Change</w:t>
            </w:r>
          </w:p>
        </w:tc>
        <w:tc>
          <w:tcPr>
            <w:tcW w:w="2160" w:type="dxa"/>
            <w:vAlign w:val="bottom"/>
            <w:gridSpan w:val="2"/>
          </w:tcPr>
          <w:p>
            <w:pPr>
              <w:jc w:val="right"/>
              <w:ind w:right="760"/>
              <w:spacing w:after="0" w:line="174" w:lineRule="exact"/>
              <w:rPr>
                <w:sz w:val="20"/>
                <w:szCs w:val="20"/>
                <w:color w:val="auto"/>
              </w:rPr>
            </w:pPr>
            <w:r>
              <w:rPr>
                <w:rFonts w:ascii="Arial" w:cs="Arial" w:eastAsia="Arial" w:hAnsi="Arial"/>
                <w:sz w:val="16"/>
                <w:szCs w:val="16"/>
                <w:b w:val="1"/>
                <w:bCs w:val="1"/>
                <w:color w:val="auto"/>
              </w:rPr>
              <w:t>% Change</w:t>
            </w:r>
          </w:p>
        </w:tc>
        <w:tc>
          <w:tcPr>
            <w:tcW w:w="1260" w:type="dxa"/>
            <w:vAlign w:val="bottom"/>
            <w:gridSpan w:val="3"/>
          </w:tcPr>
          <w:p>
            <w:pPr>
              <w:spacing w:after="0" w:line="174" w:lineRule="exact"/>
              <w:rPr>
                <w:sz w:val="20"/>
                <w:szCs w:val="20"/>
                <w:color w:val="auto"/>
              </w:rPr>
            </w:pPr>
            <w:r>
              <w:rPr>
                <w:rFonts w:ascii="Arial" w:cs="Arial" w:eastAsia="Arial" w:hAnsi="Arial"/>
                <w:sz w:val="16"/>
                <w:szCs w:val="16"/>
                <w:b w:val="1"/>
                <w:bCs w:val="1"/>
                <w:color w:val="auto"/>
                <w:w w:val="94"/>
              </w:rPr>
              <w:t>Absolute Change</w:t>
            </w:r>
          </w:p>
        </w:tc>
      </w:tr>
      <w:tr>
        <w:trPr>
          <w:trHeight w:val="210"/>
        </w:trPr>
        <w:tc>
          <w:tcPr>
            <w:tcW w:w="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right="121"/>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28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2022 v 2021</w:t>
            </w:r>
          </w:p>
        </w:tc>
        <w:tc>
          <w:tcPr>
            <w:tcW w:w="216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2021 v 2020</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2"/>
              </w:rPr>
              <w:t>2022 v 2021</w:t>
            </w:r>
          </w:p>
        </w:tc>
      </w:tr>
      <w:tr>
        <w:trPr>
          <w:trHeight w:val="190"/>
        </w:trPr>
        <w:tc>
          <w:tcPr>
            <w:tcW w:w="8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2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 in fair value of financial liability</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(11,964)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2880" w:type="dxa"/>
            <w:vAlign w:val="bottom"/>
            <w:gridSpan w:val="2"/>
          </w:tcPr>
          <w:p>
            <w:pPr>
              <w:spacing w:after="0"/>
              <w:rPr>
                <w:sz w:val="20"/>
                <w:szCs w:val="20"/>
                <w:color w:val="auto"/>
              </w:rPr>
            </w:pPr>
            <w:r>
              <w:rPr>
                <w:rFonts w:ascii="Arial" w:cs="Arial" w:eastAsia="Arial" w:hAnsi="Arial"/>
                <w:sz w:val="16"/>
                <w:szCs w:val="16"/>
                <w:color w:val="auto"/>
                <w:w w:val="92"/>
              </w:rPr>
              <w:t>Realized gain from sale of trading securities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1,116</w:t>
            </w:r>
          </w:p>
        </w:tc>
        <w:tc>
          <w:tcPr>
            <w:tcW w:w="30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1,116</w:t>
            </w:r>
          </w:p>
        </w:tc>
      </w:tr>
      <w:tr>
        <w:trPr>
          <w:trHeight w:val="190"/>
        </w:trPr>
        <w:tc>
          <w:tcPr>
            <w:tcW w:w="28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Unrealized gain (loss) on trading securities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(7,855)</w:t>
            </w:r>
          </w:p>
        </w:tc>
        <w:tc>
          <w:tcPr>
            <w:tcW w:w="30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-1394.1%</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-95.2%</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(8,462)</w:t>
            </w:r>
          </w:p>
        </w:tc>
      </w:tr>
      <w:tr>
        <w:trPr>
          <w:trHeight w:val="201"/>
        </w:trPr>
        <w:tc>
          <w:tcPr>
            <w:tcW w:w="2880" w:type="dxa"/>
            <w:vAlign w:val="bottom"/>
            <w:gridSpan w:val="2"/>
          </w:tcPr>
          <w:p>
            <w:pPr>
              <w:spacing w:after="0"/>
              <w:rPr>
                <w:sz w:val="20"/>
                <w:szCs w:val="20"/>
                <w:color w:val="auto"/>
              </w:rPr>
            </w:pPr>
            <w:r>
              <w:rPr>
                <w:rFonts w:ascii="Arial" w:cs="Arial" w:eastAsia="Arial" w:hAnsi="Arial"/>
                <w:sz w:val="16"/>
                <w:szCs w:val="16"/>
                <w:color w:val="auto"/>
              </w:rPr>
              <w:t>Equity income in net income of affiliates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4,666</w:t>
            </w:r>
          </w:p>
        </w:tc>
        <w:tc>
          <w:tcPr>
            <w:tcW w:w="30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4,637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655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2160" w:type="dxa"/>
            <w:vAlign w:val="bottom"/>
            <w:gridSpan w:val="2"/>
          </w:tcPr>
          <w:p>
            <w:pPr>
              <w:jc w:val="right"/>
              <w:ind w:right="120"/>
              <w:spacing w:after="0"/>
              <w:rPr>
                <w:sz w:val="20"/>
                <w:szCs w:val="20"/>
                <w:color w:val="auto"/>
              </w:rPr>
            </w:pPr>
            <w:r>
              <w:rPr>
                <w:rFonts w:ascii="Arial" w:cs="Arial" w:eastAsia="Arial" w:hAnsi="Arial"/>
                <w:sz w:val="16"/>
                <w:szCs w:val="16"/>
                <w:color w:val="auto"/>
              </w:rPr>
              <w:t>607.9%</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r>
    </w:tbl>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recorded a realized gain from sale of trading securities of $1.1 million for the year ended December 31, 2022 due to a sale of ACM Shanghai’s indirect investment in SMIC shares on the STAR Market as is described in note 15 to the consolidated financial statements included in this report.</w:t>
      </w:r>
    </w:p>
    <w:p>
      <w:pPr>
        <w:spacing w:after="0" w:line="15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recorded an unrealized loss on trading securities of $7.9 million for the year ended December 31, 2022 as compared to an unrealized gain of $0.7 million for the same period in 2021, due primarily to a change in market value of ACM Shanghai’s indirect investment in SMIC shares on the STAR Market as is described in note 15 to the condensed consolidated financial statements included in this report.</w:t>
      </w:r>
    </w:p>
    <w:p>
      <w:pPr>
        <w:spacing w:after="0" w:line="16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Equity income in net income of affiliates for the year ended December 31, 2022 was unchanged versus the year ended December 31, 2021. Equity income in net income of affiliates increased by $4.0 million for the year ended December 31, 2021 due to higher net income from investments in affiliates.</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Change in fair value of financial liability was nil for 2021 as compared to ($12.0) million for 2020 due to the non-cash, non-operating expense related to transactions as described in note 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300" w:type="dxa"/>
            <w:vAlign w:val="bottom"/>
          </w:tcPr>
          <w:p>
            <w:pPr>
              <w:ind w:left="20"/>
              <w:spacing w:after="0"/>
              <w:rPr>
                <w:sz w:val="20"/>
                <w:szCs w:val="20"/>
                <w:color w:val="auto"/>
              </w:rPr>
            </w:pPr>
            <w:r>
              <w:rPr>
                <w:rFonts w:ascii="Arial" w:cs="Arial" w:eastAsia="Arial" w:hAnsi="Arial"/>
                <w:sz w:val="16"/>
                <w:szCs w:val="16"/>
                <w:i w:val="1"/>
                <w:iCs w:val="1"/>
                <w:color w:val="auto"/>
              </w:rPr>
              <w:t>Income Tax Benefit (Expense)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20" w:type="dxa"/>
            <w:vAlign w:val="bottom"/>
            <w:gridSpan w:val="2"/>
            <w:vMerge w:val="restart"/>
          </w:tcPr>
          <w:p>
            <w:pPr>
              <w:spacing w:after="0"/>
              <w:rPr>
                <w:sz w:val="20"/>
                <w:szCs w:val="20"/>
                <w:color w:val="auto"/>
              </w:rPr>
            </w:pPr>
            <w:r>
              <w:rPr>
                <w:rFonts w:ascii="Arial" w:cs="Arial" w:eastAsia="Arial" w:hAnsi="Arial"/>
                <w:sz w:val="16"/>
                <w:szCs w:val="16"/>
                <w:color w:val="auto"/>
              </w:rPr>
              <w:t>Current: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i w:val="1"/>
                <w:iCs w:val="1"/>
                <w:color w:val="auto"/>
                <w:w w:val="86"/>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federal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U.S. state</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(11,139)</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(2,195)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Total current tax expense</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(11,636)</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Deferred:</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U.S. federal</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(10,927)</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2,089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7,325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state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Foreign</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5,757</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(2,866)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deferred tax benefit</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(5,162)</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Total income tax benefit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(16,798)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(134)</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We recognized a tax expense of $16.8 million for the year ended December 31, 2022 as compared to a tax expense of $0.1 million for the prior year period. The increased tax expense in 2022 primarily resulted from the tax effect of increased operating profit generated and an increase in our effective income tax rate. The increase in our effective income tax rate for the year ended December 31, 2022 compared to the same period of the prior year was primarily due to a new requirement to capitalize and amortize previously deductible research and experimental expenses resulting from a change in Section 174 made by the TCJA which became effective on January 1, 2022, and a decrease in discrete tax benefits associated with stock-based compensation deductions. The capitalization of overseas R&amp;D expenses resulted in a significant increase in our global intangible low-taxed income inclusion. Congress is considering legislation, but legislation has not passed, that would defer the capitalization requirement to later years.</w:t>
      </w:r>
    </w:p>
    <w:p>
      <w:pPr>
        <w:spacing w:after="0" w:line="14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we collect and prepare necessary data, and interpret the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2022.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78" w:name="page79"/>
    <w:bookmarkEnd w:id="7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Our effective tax rate differs from statutory rates of 21% for U.S. federal income tax purposes and 12.5% to 25% for PRC income tax purposes due to the effects of the valuation allowance and certain permanent differences as it pertains to book-tax differences in the treatment of stock-based compensation and non-U.S. research expenses. Our three PRC subsidiaries, ACM Shanghai, ACM Wuxi, and ACM Shengwei, are liable for PRC corporate income taxes at the rates of 12.5%, 25%, and 25%, respectively. Pursuant to the Corporate Income Tax Law of the PRC, our PRC subsidiaries generally would be liable for PRC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is entitled to a preferential income tax rate of 12.5% from January 1, 2020 to December 31, 2022.</w:t>
      </w:r>
    </w:p>
    <w:p>
      <w:pPr>
        <w:spacing w:after="0" w:line="14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2000 through 2021.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00" w:type="dxa"/>
            <w:vAlign w:val="bottom"/>
          </w:tcPr>
          <w:p>
            <w:pPr>
              <w:spacing w:after="0"/>
              <w:rPr>
                <w:sz w:val="20"/>
                <w:szCs w:val="20"/>
                <w:color w:val="auto"/>
              </w:rPr>
            </w:pPr>
            <w:r>
              <w:rPr>
                <w:rFonts w:ascii="Arial" w:cs="Arial" w:eastAsia="Arial" w:hAnsi="Arial"/>
                <w:sz w:val="16"/>
                <w:szCs w:val="16"/>
                <w:i w:val="1"/>
                <w:iCs w:val="1"/>
                <w:color w:val="auto"/>
              </w:rPr>
              <w:t>Net Income Attributable to Non-Controlling Interests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85"/>
        </w:trPr>
        <w:tc>
          <w:tcPr>
            <w:tcW w:w="4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left="561"/>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3"/>
        </w:trPr>
        <w:tc>
          <w:tcPr>
            <w:tcW w:w="4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Arial" w:cs="Arial" w:eastAsia="Arial" w:hAnsi="Arial"/>
                <w:sz w:val="16"/>
                <w:szCs w:val="16"/>
                <w:b w:val="1"/>
                <w:bCs w:val="1"/>
                <w:color w:val="auto"/>
                <w:w w:val="93"/>
              </w:rPr>
              <w:t>% Change</w:t>
            </w:r>
          </w:p>
        </w:tc>
        <w:tc>
          <w:tcPr>
            <w:tcW w:w="1260" w:type="dxa"/>
            <w:vAlign w:val="bottom"/>
            <w:gridSpan w:val="2"/>
          </w:tcPr>
          <w:p>
            <w:pPr>
              <w:jc w:val="center"/>
              <w:ind w:right="140"/>
              <w:spacing w:after="0" w:line="174" w:lineRule="exact"/>
              <w:rPr>
                <w:sz w:val="20"/>
                <w:szCs w:val="20"/>
                <w:color w:val="auto"/>
              </w:rPr>
            </w:pPr>
            <w:r>
              <w:rPr>
                <w:rFonts w:ascii="Arial" w:cs="Arial" w:eastAsia="Arial" w:hAnsi="Arial"/>
                <w:sz w:val="16"/>
                <w:szCs w:val="16"/>
                <w:b w:val="1"/>
                <w:bCs w:val="1"/>
                <w:color w:val="auto"/>
                <w:w w:val="93"/>
              </w:rPr>
              <w:t>% Change</w:t>
            </w:r>
          </w:p>
        </w:tc>
      </w:tr>
      <w:tr>
        <w:trPr>
          <w:trHeight w:val="210"/>
        </w:trPr>
        <w:tc>
          <w:tcPr>
            <w:tcW w:w="4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2022 v 2021</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2021 v 2020</w:t>
            </w:r>
          </w:p>
        </w:tc>
      </w:tr>
      <w:tr>
        <w:trPr>
          <w:trHeight w:val="190"/>
        </w:trPr>
        <w:tc>
          <w:tcPr>
            <w:tcW w:w="4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i w:val="1"/>
                <w:iCs w:val="1"/>
                <w:color w:val="auto"/>
                <w:w w:val="90"/>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5,164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78.3%</w:t>
            </w:r>
          </w:p>
        </w:tc>
      </w:tr>
    </w:tbl>
    <w:p>
      <w:pPr>
        <w:spacing w:after="0" w:line="17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00" w:type="dxa"/>
            <w:vAlign w:val="bottom"/>
          </w:tcPr>
          <w:p>
            <w:pPr>
              <w:spacing w:after="0"/>
              <w:rPr>
                <w:sz w:val="20"/>
                <w:szCs w:val="20"/>
                <w:color w:val="auto"/>
              </w:rPr>
            </w:pPr>
            <w:r>
              <w:rPr>
                <w:rFonts w:ascii="Arial" w:cs="Arial" w:eastAsia="Arial" w:hAnsi="Arial"/>
                <w:sz w:val="16"/>
                <w:szCs w:val="16"/>
                <w:i w:val="1"/>
                <w:iCs w:val="1"/>
                <w:color w:val="auto"/>
              </w:rPr>
              <w:t>Foreign currency translation adjustment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85"/>
        </w:trPr>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left="561"/>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3"/>
        </w:trPr>
        <w:tc>
          <w:tcPr>
            <w:tcW w:w="3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Arial" w:cs="Arial" w:eastAsia="Arial" w:hAnsi="Arial"/>
                <w:sz w:val="16"/>
                <w:szCs w:val="16"/>
                <w:b w:val="1"/>
                <w:bCs w:val="1"/>
                <w:color w:val="auto"/>
                <w:w w:val="93"/>
              </w:rPr>
              <w:t>% Change</w:t>
            </w:r>
          </w:p>
        </w:tc>
        <w:tc>
          <w:tcPr>
            <w:tcW w:w="1260" w:type="dxa"/>
            <w:vAlign w:val="bottom"/>
            <w:gridSpan w:val="2"/>
          </w:tcPr>
          <w:p>
            <w:pPr>
              <w:jc w:val="center"/>
              <w:ind w:right="140"/>
              <w:spacing w:after="0" w:line="174" w:lineRule="exact"/>
              <w:rPr>
                <w:sz w:val="20"/>
                <w:szCs w:val="20"/>
                <w:color w:val="auto"/>
              </w:rPr>
            </w:pPr>
            <w:r>
              <w:rPr>
                <w:rFonts w:ascii="Arial" w:cs="Arial" w:eastAsia="Arial" w:hAnsi="Arial"/>
                <w:sz w:val="16"/>
                <w:szCs w:val="16"/>
                <w:b w:val="1"/>
                <w:bCs w:val="1"/>
                <w:color w:val="auto"/>
                <w:w w:val="93"/>
              </w:rPr>
              <w:t>% Change</w:t>
            </w:r>
          </w:p>
        </w:tc>
      </w:tr>
      <w:tr>
        <w:trPr>
          <w:trHeight w:val="210"/>
        </w:trPr>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2022 v 2021</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2021 v 2020</w:t>
            </w:r>
          </w:p>
        </w:tc>
      </w:tr>
      <w:tr>
        <w:trPr>
          <w:trHeight w:val="190"/>
        </w:trPr>
        <w:tc>
          <w:tcPr>
            <w:tcW w:w="3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i w:val="1"/>
                <w:iCs w:val="1"/>
                <w:color w:val="auto"/>
                <w:w w:val="90"/>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(59,102)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4,695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10,493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-1358.8%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-55.3%</w:t>
            </w:r>
          </w:p>
        </w:tc>
      </w:tr>
    </w:tbl>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recorded a foreign currency translation adjustment of ($59.1 million) for the year ended December 31, 2022, as compared to $4.7 million for 2021, based on the net effect of RMB to dollar exchange rate fluctuations for the period on the converted value of ACM Shanghai’s RMB-denominated balances to U.S. dollar equivalents. The 2022 amount was especially large due to a significant weakening of the RMB versus the U.S. dollar during the twelve months ended December 31, 2022 together with a more significant RMB-denominated asset balance in 2022.</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recorded a foreign currency translation adjustment of $4.7 million for the year ended December 31, 2021, as compared to $10.5 million for 2020, based on the net effect of RMB to dollar exchange rate fluctuations for the period on the converted value of ACM Shanghai’s RMB-denominated balances to U.S. dollar equivalents. The amount was especially large due to a weakening of the RMB versus the U.S. dollar during the period.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49"/>
        </w:trPr>
        <w:tc>
          <w:tcPr>
            <w:tcW w:w="486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5"/>
        </w:trPr>
        <w:tc>
          <w:tcPr>
            <w:tcW w:w="4860" w:type="dxa"/>
            <w:vAlign w:val="bottom"/>
            <w:gridSpan w:val="3"/>
          </w:tcPr>
          <w:p>
            <w:pPr>
              <w:spacing w:after="0"/>
              <w:rPr>
                <w:sz w:val="20"/>
                <w:szCs w:val="20"/>
                <w:color w:val="auto"/>
              </w:rPr>
            </w:pPr>
            <w:r>
              <w:rPr>
                <w:rFonts w:ascii="Arial" w:cs="Arial" w:eastAsia="Arial" w:hAnsi="Arial"/>
                <w:sz w:val="16"/>
                <w:szCs w:val="16"/>
                <w:i w:val="1"/>
                <w:iCs w:val="1"/>
                <w:color w:val="auto"/>
                <w:w w:val="99"/>
              </w:rPr>
              <w:t>Comprehensive income (loss) attributable to non-controlling interests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 Change</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 Change</w:t>
            </w:r>
          </w:p>
        </w:tc>
      </w:tr>
      <w:tr>
        <w:trPr>
          <w:trHeight w:val="210"/>
        </w:trPr>
        <w:tc>
          <w:tcPr>
            <w:tcW w:w="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2022 v 2021</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2021 v 2020</w:t>
            </w:r>
          </w:p>
        </w:tc>
      </w:tr>
      <w:tr>
        <w:trPr>
          <w:trHeight w:val="190"/>
        </w:trPr>
        <w:tc>
          <w:tcPr>
            <w:tcW w:w="8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6"/>
                <w:szCs w:val="16"/>
                <w:i w:val="1"/>
                <w:iCs w:val="1"/>
                <w:color w:val="auto"/>
                <w:w w:val="90"/>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4"/>
              </w:rPr>
              <w:t>Comprehensive income (loss) attributable to non-controlling interests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6,858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r>
    </w:tbl>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Comprehensive income attributable to non-controlling interest decreased by $3.8 and $1.3 million, respectively, for the years ended December 31, 2022 and 2021, due to change in net income generated from the non-controlling interests as impacted from foreign exchange rate fluctuations.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depicts our corporate organization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132715</wp:posOffset>
            </wp:positionV>
            <wp:extent cx="4780915" cy="18402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80915" cy="184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 detailed description of how cash is transferred through our organization is set forth under “Note 2 – Summary of Significant Accounting Policies – Cash and Cash Equivalents” to the Consolidated Financial Statements of this report.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year ended December 31, 2022, we funded our technology development and operations principally through our beginning global cash balances, including the cash balances at ACM Shanghai, and borrowings by ACM Shanghai from local financial institutions. Cash and cash equivalents, short-term time deposits and long-term time deposits were $420.4 million at December 31, 2022, compared to $562.5 million at December 31, 2021. The $142.1 million decrease was primarily driven by $93.2 million net cash used in investing activities, $62.2 million of cash used by operations, and a $33.6 million decline from the effect of exchange rate on cash, cash equivalents and restricted cash, partly offset by $45.9 million provided by financing activities.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40" w:type="dxa"/>
            <w:vAlign w:val="bottom"/>
            <w:gridSpan w:val="2"/>
          </w:tcPr>
          <w:p>
            <w:pPr>
              <w:spacing w:after="0"/>
              <w:rPr>
                <w:sz w:val="20"/>
                <w:szCs w:val="20"/>
                <w:color w:val="auto"/>
              </w:rPr>
            </w:pPr>
            <w:r>
              <w:rPr>
                <w:rFonts w:ascii="Arial" w:cs="Arial" w:eastAsia="Arial" w:hAnsi="Arial"/>
                <w:sz w:val="16"/>
                <w:szCs w:val="16"/>
                <w:color w:val="auto"/>
                <w:w w:val="97"/>
              </w:rPr>
              <w:t>The table below represents the cash and cash equivalents and time deposits as of December 31, 2022 and 2021:</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5"/>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ind w:left="540"/>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i w:val="1"/>
                <w:iCs w:val="1"/>
                <w:color w:val="auto"/>
              </w:rPr>
              <w:t>(In</w:t>
            </w:r>
          </w:p>
        </w:tc>
        <w:tc>
          <w:tcPr>
            <w:tcW w:w="600" w:type="dxa"/>
            <w:vAlign w:val="bottom"/>
            <w:gridSpan w:val="3"/>
          </w:tcPr>
          <w:p>
            <w:pPr>
              <w:jc w:val="center"/>
              <w:ind w:right="20"/>
              <w:spacing w:after="0"/>
              <w:rPr>
                <w:sz w:val="20"/>
                <w:szCs w:val="20"/>
                <w:color w:val="auto"/>
              </w:rPr>
            </w:pPr>
            <w:r>
              <w:rPr>
                <w:rFonts w:ascii="Arial" w:cs="Arial" w:eastAsia="Arial" w:hAnsi="Arial"/>
                <w:sz w:val="16"/>
                <w:szCs w:val="16"/>
                <w:i w:val="1"/>
                <w:iCs w:val="1"/>
                <w:color w:val="auto"/>
                <w:w w:val="73"/>
              </w:rPr>
              <w:t>thousands)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Cash and cash equivalents and time deposits: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8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247,951</w:t>
            </w:r>
          </w:p>
        </w:tc>
        <w:tc>
          <w:tcPr>
            <w:tcW w:w="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562,548</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Short-term time deposits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70,492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8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Long-term time deposits</w:t>
            </w: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color w:val="auto"/>
              </w:rPr>
              <w:t>101,956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420,399</w:t>
            </w:r>
          </w:p>
        </w:tc>
        <w:tc>
          <w:tcPr>
            <w:tcW w:w="480" w:type="dxa"/>
            <w:vAlign w:val="bottom"/>
            <w:tcBorders>
              <w:bottom w:val="single" w:sz="8" w:color="auto"/>
            </w:tcBorders>
            <w:gridSpan w:val="2"/>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562,548</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ACM Shanghai will be sufficient to meet our anticipated cash needs within our longer-term planning horizon.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ACM Shanghai has historically participated in certain PRC government-sponsored grant and subsidy programs, as described under “—Key Components of Results of Operations —PRC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PRC government agency’s defined processes. Periodically, the public relations department researches the availability of these grants and subsidies through the PRC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PRC government agencies based on suitability and the merits of the application. Neither ACM Research, nor ACM Shanghai or any of our other subsidiaries, has any direct relationship with any PRC government agency, and our anticipated cash needs for the next twelve months neither anticipate, nor require, receipt of any PRC government grants or subsidies.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Restrictions under PRC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Factors–Regulatory Risks–The PRC’s currency exchange control and government restrictions on investment repatriation may impact our ability to transfer funds outside of the PRC, which could materially and adversely affect our ability to grow, make investments or acquisitions that could benefit our business, otherwise fund and conduct our business, or pay dividends on our common stock.”</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color w:val="auto"/>
        </w:rPr>
        <w:t>For the years ended December 31, 2022 and 2021, with the exception of sales and services-related transfer-pricing payments in the ordinary course of business, no transfers, dividends, or distributions have been made between ACM Research, and its subsidiaries, including ACM Shanghai, or to holders of ACM Research Class A common stock.</w:t>
      </w:r>
    </w:p>
    <w:p>
      <w:pPr>
        <w:spacing w:after="0" w:line="11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cash and cash equivalents at December 31, 2022 were held for working capital purposes and other potential investments. ACM Shanghai, our only direct PRC subsidiary, is, however, subject to PRC restrictions on distributions to equity holders. The use of proceeds raised by the STAR Market IPO, without further approvals, are limited to specific usage. We currently intend for ACM Shanghai to retain all available funds from any future earnings for use in the operation of its business and do not anticipate it paying any cash dividends. Our accounts receivable balance fluctuates from period to period, which affects our cash flow from operating activities. Fluctuations vary depending on cash collections, client mix, and the timing of shipment and acceptance of our tools.</w:t>
      </w:r>
    </w:p>
    <w:p>
      <w:pPr>
        <w:spacing w:after="0" w:line="17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Flow Used in Operating Activities. </w:t>
      </w:r>
      <w:r>
        <w:rPr>
          <w:rFonts w:ascii="Arial" w:cs="Arial" w:eastAsia="Arial" w:hAnsi="Arial"/>
          <w:sz w:val="16"/>
          <w:szCs w:val="16"/>
          <w:color w:val="auto"/>
        </w:rPr>
        <w:t>Net cash used by operations of $62.2 million during the year ended December 31, 2022 consisted 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49"/>
        </w:trPr>
        <w:tc>
          <w:tcPr>
            <w:tcW w:w="732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i w:val="1"/>
                <w:iCs w:val="1"/>
                <w:color w:val="auto"/>
                <w:w w:val="95"/>
              </w:rPr>
              <w:t>(In 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50,564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42,921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(Gain) loss on disposals of property plant and equipment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5,366</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Realized gain on trading securities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(1,116)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income in net income of affiliates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(4,666)</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(4,637)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Unrealized loss (gain) on trading securities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7,855</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(607)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(12,574)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4,027</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7,730</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5,117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5,628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changes in operating assets and liabilities: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(131,942)</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(83,400)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(24,618)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Net cash flow used in operating activities</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(62,194)</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(40,093)</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(13,547)</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Significant changes in operating asset and liability accounts during the year-ended December 31, 2022 included the following uses of cash: increases of inventories of $193.3 million (Note 5), and an increase of accounts receivable of $88.7 million (Note 4). As described under “—Key Components of Results of Operations—PRC Government Research and Development Funding,” ACM Shanghai has received research and development grants from local and central PRC governmental authorities. ACM Shanghai received $0.1 million of payments related to such grants in the year ended December 31, 2022, as compared to cash receipts of $5.2 million in the same period of 2021.</w:t>
      </w:r>
    </w:p>
    <w:p>
      <w:pPr>
        <w:spacing w:after="0" w:line="13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uses of cash are offset by the following significant sources of cash: an increase in advances from customers of $104.3 (Note 3), an increase in other payables and accrued expenses of $23.4 million, and an increase in accounts payable of $17.5 million.</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 xml:space="preserve">Cash Flow from Investing Activities. </w:t>
      </w:r>
      <w:r>
        <w:rPr>
          <w:rFonts w:ascii="Arial" w:cs="Arial" w:eastAsia="Arial" w:hAnsi="Arial"/>
          <w:sz w:val="16"/>
          <w:szCs w:val="16"/>
          <w:color w:val="auto"/>
        </w:rPr>
        <w:t>Net cash used for investing activities, excluding net cash used to purchase time deposits, for the year ended December 31, 2022 was $93.2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primarily consisting of $91.1 million purchase of property and equipment.</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i w:val="1"/>
          <w:iCs w:val="1"/>
          <w:color w:val="auto"/>
        </w:rPr>
        <w:t xml:space="preserve">Cash Flow from Financing Activities. </w:t>
      </w:r>
      <w:r>
        <w:rPr>
          <w:rFonts w:ascii="Arial" w:cs="Arial" w:eastAsia="Arial" w:hAnsi="Arial"/>
          <w:sz w:val="16"/>
          <w:szCs w:val="16"/>
          <w:color w:val="auto"/>
        </w:rPr>
        <w:t>Net cash provided by financing for the year ended December 31, 2022 was $45.9 million, primarily consisting of $44.6 million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proceeds from short and long-term borrowings, and $1.3 million in proceeds from the exercise of stock options.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82" w:name="page83"/>
    <w:bookmarkEnd w:id="82"/>
    <w:tbl>
      <w:tblPr>
        <w:tblLayout w:type="fixed"/>
        <w:tblInd w:w="5" w:type="dxa"/>
        <w:tblCellMar>
          <w:top w:w="0" w:type="dxa"/>
          <w:left w:w="0" w:type="dxa"/>
          <w:bottom w:w="0" w:type="dxa"/>
          <w:right w:w="0" w:type="dxa"/>
        </w:tblCellMar>
      </w:tblPr>
      <w:tr>
        <w:trPr>
          <w:trHeight w:val="149"/>
        </w:trPr>
        <w:tc>
          <w:tcPr>
            <w:tcW w:w="2400" w:type="dxa"/>
            <w:vAlign w:val="bottom"/>
            <w:gridSpan w:val="2"/>
          </w:tcPr>
          <w:p>
            <w:pPr>
              <w:spacing w:after="0"/>
              <w:rPr>
                <w:sz w:val="20"/>
                <w:szCs w:val="20"/>
                <w:color w:val="auto"/>
              </w:rPr>
            </w:pPr>
            <w:r>
              <w:rPr>
                <w:rFonts w:ascii="Arial" w:cs="Arial" w:eastAsia="Arial" w:hAnsi="Arial"/>
                <w:sz w:val="13"/>
                <w:szCs w:val="13"/>
                <w:i w:val="1"/>
                <w:iCs w:val="1"/>
                <w:color w:val="0000EE"/>
              </w:rPr>
              <w:t>Table of Contents</w:t>
            </w: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5"/>
        </w:trPr>
        <w:tc>
          <w:tcPr>
            <w:tcW w:w="7400" w:type="dxa"/>
            <w:vAlign w:val="bottom"/>
            <w:gridSpan w:val="7"/>
          </w:tcPr>
          <w:p>
            <w:pPr>
              <w:spacing w:after="0"/>
              <w:rPr>
                <w:sz w:val="20"/>
                <w:szCs w:val="20"/>
                <w:color w:val="auto"/>
              </w:rPr>
            </w:pPr>
            <w:r>
              <w:rPr>
                <w:rFonts w:ascii="Arial" w:cs="Arial" w:eastAsia="Arial" w:hAnsi="Arial"/>
                <w:sz w:val="16"/>
                <w:szCs w:val="16"/>
                <w:color w:val="auto"/>
                <w:w w:val="91"/>
              </w:rPr>
              <w:t>ACM Shanghai, together with its subsidiaries, has short-term and long-term borrowings with five banks, as follows: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Amount</w:t>
            </w: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Maximum</w:t>
            </w:r>
          </w:p>
        </w:tc>
        <w:tc>
          <w:tcPr>
            <w:tcW w:w="12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Outstanding</w:t>
            </w: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327"/>
              <w:spacing w:after="0"/>
              <w:rPr>
                <w:sz w:val="20"/>
                <w:szCs w:val="20"/>
                <w:color w:val="auto"/>
              </w:rPr>
            </w:pPr>
            <w:r>
              <w:rPr>
                <w:rFonts w:ascii="Arial" w:cs="Arial" w:eastAsia="Arial" w:hAnsi="Arial"/>
                <w:sz w:val="16"/>
                <w:szCs w:val="16"/>
                <w:b w:val="1"/>
                <w:bCs w:val="1"/>
                <w:color w:val="auto"/>
                <w:w w:val="92"/>
              </w:rPr>
              <w:t>Annual</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Borrowing</w:t>
            </w: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w w:val="92"/>
              </w:rPr>
              <w:t>at December 31,</w:t>
            </w:r>
          </w:p>
        </w:tc>
      </w:tr>
      <w:tr>
        <w:trPr>
          <w:trHeight w:val="210"/>
        </w:trPr>
        <w:tc>
          <w:tcPr>
            <w:tcW w:w="8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Lender</w:t>
            </w:r>
          </w:p>
        </w:tc>
        <w:tc>
          <w:tcPr>
            <w:tcW w:w="120" w:type="dxa"/>
            <w:vAlign w:val="bottom"/>
          </w:tcPr>
          <w:p>
            <w:pPr>
              <w:spacing w:after="0"/>
              <w:rPr>
                <w:sz w:val="18"/>
                <w:szCs w:val="18"/>
                <w:color w:val="auto"/>
              </w:rPr>
            </w:pPr>
          </w:p>
        </w:tc>
        <w:tc>
          <w:tcPr>
            <w:tcW w:w="24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Agreement Date</w:t>
            </w:r>
          </w:p>
        </w:tc>
        <w:tc>
          <w:tcPr>
            <w:tcW w:w="100" w:type="dxa"/>
            <w:vAlign w:val="bottom"/>
          </w:tcPr>
          <w:p>
            <w:pPr>
              <w:spacing w:after="0"/>
              <w:rPr>
                <w:sz w:val="18"/>
                <w:szCs w:val="18"/>
                <w:color w:val="auto"/>
              </w:rPr>
            </w:pPr>
          </w:p>
        </w:tc>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Interest Rate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Amount(1)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Pr>
          <w:p>
            <w:pPr>
              <w:spacing w:after="0"/>
              <w:rPr>
                <w:sz w:val="18"/>
                <w:szCs w:val="18"/>
                <w:color w:val="auto"/>
              </w:rPr>
            </w:pP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i w:val="1"/>
                <w:iCs w:val="1"/>
                <w:color w:val="auto"/>
              </w:rPr>
              <w:t>(in</w:t>
            </w:r>
          </w:p>
        </w:tc>
        <w:tc>
          <w:tcPr>
            <w:tcW w:w="1320" w:type="dxa"/>
            <w:vAlign w:val="bottom"/>
            <w:gridSpan w:val="3"/>
          </w:tcPr>
          <w:p>
            <w:pPr>
              <w:jc w:val="right"/>
              <w:ind w:right="681"/>
              <w:spacing w:after="0"/>
              <w:rPr>
                <w:sz w:val="20"/>
                <w:szCs w:val="20"/>
                <w:color w:val="auto"/>
              </w:rPr>
            </w:pPr>
            <w:r>
              <w:rPr>
                <w:rFonts w:ascii="Arial" w:cs="Arial" w:eastAsia="Arial" w:hAnsi="Arial"/>
                <w:sz w:val="15"/>
                <w:szCs w:val="15"/>
                <w:i w:val="1"/>
                <w:iCs w:val="1"/>
                <w:color w:val="auto"/>
                <w:w w:val="72"/>
              </w:rPr>
              <w:t>thousands)</w:t>
            </w:r>
          </w:p>
        </w:tc>
        <w:tc>
          <w:tcPr>
            <w:tcW w:w="60" w:type="dxa"/>
            <w:vAlign w:val="bottom"/>
          </w:tcPr>
          <w:p>
            <w:pPr>
              <w:spacing w:after="0"/>
              <w:rPr>
                <w:sz w:val="16"/>
                <w:szCs w:val="16"/>
                <w:color w:val="auto"/>
              </w:rPr>
            </w:pPr>
          </w:p>
        </w:tc>
      </w:tr>
      <w:tr>
        <w:trPr>
          <w:trHeight w:val="190"/>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0D0D0D"/>
              </w:rPr>
              <w:t>China Everbright Bank</w:t>
            </w:r>
          </w:p>
        </w:tc>
        <w:tc>
          <w:tcPr>
            <w:tcW w:w="2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0D0D0D"/>
              </w:rPr>
              <w:t>July 2021</w:t>
            </w: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December 2023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3.00%~3.60%</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7"/>
              <w:spacing w:after="0"/>
              <w:rPr>
                <w:sz w:val="20"/>
                <w:szCs w:val="20"/>
                <w:color w:val="auto"/>
              </w:rPr>
            </w:pPr>
            <w:r>
              <w:rPr>
                <w:rFonts w:ascii="Arial" w:cs="Arial" w:eastAsia="Arial" w:hAnsi="Arial"/>
                <w:sz w:val="16"/>
                <w:szCs w:val="16"/>
                <w:color w:val="auto"/>
              </w:rPr>
              <w:t>RMB150,000</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RMB150,000</w:t>
            </w: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7"/>
              <w:spacing w:after="0"/>
              <w:rPr>
                <w:sz w:val="20"/>
                <w:szCs w:val="20"/>
                <w:color w:val="auto"/>
              </w:rPr>
            </w:pPr>
            <w:r>
              <w:rPr>
                <w:rFonts w:ascii="Arial" w:cs="Arial" w:eastAsia="Arial" w:hAnsi="Arial"/>
                <w:sz w:val="16"/>
                <w:szCs w:val="16"/>
                <w:color w:val="auto"/>
              </w:rPr>
              <w:t>21,540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21,540</w:t>
            </w:r>
          </w:p>
        </w:tc>
      </w:tr>
      <w:tr>
        <w:trPr>
          <w:trHeight w:val="190"/>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0D0D0D"/>
              </w:rPr>
              <w:t>Bank of Communications</w:t>
            </w:r>
          </w:p>
        </w:tc>
        <w:tc>
          <w:tcPr>
            <w:tcW w:w="2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0D0D0D"/>
              </w:rPr>
              <w:t>August 2022</w:t>
            </w: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September 2023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3.50%~3.60%</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7"/>
              <w:spacing w:after="0"/>
              <w:rPr>
                <w:sz w:val="20"/>
                <w:szCs w:val="20"/>
                <w:color w:val="auto"/>
              </w:rPr>
            </w:pPr>
            <w:r>
              <w:rPr>
                <w:rFonts w:ascii="Arial" w:cs="Arial" w:eastAsia="Arial" w:hAnsi="Arial"/>
                <w:sz w:val="16"/>
                <w:szCs w:val="16"/>
                <w:color w:val="auto"/>
              </w:rPr>
              <w:t>RMB100,000</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RMB100,000</w:t>
            </w: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7"/>
              <w:spacing w:after="0"/>
              <w:rPr>
                <w:sz w:val="20"/>
                <w:szCs w:val="20"/>
                <w:color w:val="auto"/>
              </w:rPr>
            </w:pPr>
            <w:r>
              <w:rPr>
                <w:rFonts w:ascii="Arial" w:cs="Arial" w:eastAsia="Arial" w:hAnsi="Arial"/>
                <w:sz w:val="16"/>
                <w:szCs w:val="16"/>
                <w:color w:val="auto"/>
              </w:rPr>
              <w:t>14,360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14,360</w:t>
            </w:r>
          </w:p>
        </w:tc>
      </w:tr>
      <w:tr>
        <w:trPr>
          <w:trHeight w:val="190"/>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0D0D0D"/>
              </w:rPr>
              <w:t>Bank of China</w:t>
            </w:r>
          </w:p>
        </w:tc>
        <w:tc>
          <w:tcPr>
            <w:tcW w:w="2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0D0D0D"/>
              </w:rPr>
              <w:t>August 2022</w:t>
            </w: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August 2023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7"/>
              <w:spacing w:after="0"/>
              <w:rPr>
                <w:sz w:val="20"/>
                <w:szCs w:val="20"/>
                <w:color w:val="auto"/>
              </w:rPr>
            </w:pPr>
            <w:r>
              <w:rPr>
                <w:rFonts w:ascii="Arial" w:cs="Arial" w:eastAsia="Arial" w:hAnsi="Arial"/>
                <w:sz w:val="16"/>
                <w:szCs w:val="16"/>
                <w:color w:val="auto"/>
              </w:rPr>
              <w:t>RMB40,000</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RMB40,000</w:t>
            </w: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5,744</w:t>
            </w:r>
          </w:p>
        </w:tc>
        <w:tc>
          <w:tcPr>
            <w:tcW w:w="2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5,744</w:t>
            </w:r>
          </w:p>
        </w:tc>
      </w:tr>
      <w:tr>
        <w:trPr>
          <w:trHeight w:val="190"/>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0D0D0D"/>
              </w:rPr>
              <w:t>China Merchants Bank</w:t>
            </w:r>
          </w:p>
        </w:tc>
        <w:tc>
          <w:tcPr>
            <w:tcW w:w="2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0D0D0D"/>
              </w:rPr>
              <w:t>October 2021</w:t>
            </w: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September 2023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7"/>
              <w:spacing w:after="0"/>
              <w:rPr>
                <w:sz w:val="20"/>
                <w:szCs w:val="20"/>
                <w:color w:val="auto"/>
              </w:rPr>
            </w:pPr>
            <w:r>
              <w:rPr>
                <w:rFonts w:ascii="Arial" w:cs="Arial" w:eastAsia="Arial" w:hAnsi="Arial"/>
                <w:sz w:val="16"/>
                <w:szCs w:val="16"/>
                <w:color w:val="auto"/>
              </w:rPr>
              <w:t>RMB100,000</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RMB100,000</w:t>
            </w: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7"/>
              <w:spacing w:after="0"/>
              <w:rPr>
                <w:sz w:val="20"/>
                <w:szCs w:val="20"/>
                <w:color w:val="auto"/>
              </w:rPr>
            </w:pPr>
            <w:r>
              <w:rPr>
                <w:rFonts w:ascii="Arial" w:cs="Arial" w:eastAsia="Arial" w:hAnsi="Arial"/>
                <w:sz w:val="16"/>
                <w:szCs w:val="16"/>
                <w:color w:val="auto"/>
              </w:rPr>
              <w:t>14,360</w:t>
            </w:r>
          </w:p>
        </w:tc>
        <w:tc>
          <w:tcPr>
            <w:tcW w:w="1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14,360.00</w:t>
            </w:r>
          </w:p>
        </w:tc>
      </w:tr>
      <w:tr>
        <w:trPr>
          <w:trHeight w:val="177"/>
        </w:trPr>
        <w:tc>
          <w:tcPr>
            <w:tcW w:w="2400" w:type="dxa"/>
            <w:vAlign w:val="bottom"/>
            <w:gridSpan w:val="2"/>
            <w:shd w:val="clear" w:color="auto" w:fill="CCEEFF"/>
          </w:tcPr>
          <w:p>
            <w:pPr>
              <w:ind w:left="40"/>
              <w:spacing w:after="0" w:line="178" w:lineRule="exact"/>
              <w:rPr>
                <w:sz w:val="20"/>
                <w:szCs w:val="20"/>
                <w:color w:val="auto"/>
              </w:rPr>
            </w:pPr>
            <w:r>
              <w:rPr>
                <w:rFonts w:ascii="Arial" w:cs="Arial" w:eastAsia="Arial" w:hAnsi="Arial"/>
                <w:sz w:val="16"/>
                <w:szCs w:val="16"/>
                <w:color w:val="0D0D0D"/>
              </w:rPr>
              <w:t>China Merchants Bank</w:t>
            </w:r>
          </w:p>
        </w:tc>
        <w:tc>
          <w:tcPr>
            <w:tcW w:w="2540" w:type="dxa"/>
            <w:vAlign w:val="bottom"/>
            <w:gridSpan w:val="2"/>
            <w:shd w:val="clear" w:color="auto" w:fill="CCEEFF"/>
          </w:tcPr>
          <w:p>
            <w:pPr>
              <w:ind w:left="120"/>
              <w:spacing w:after="0" w:line="178" w:lineRule="exact"/>
              <w:rPr>
                <w:sz w:val="20"/>
                <w:szCs w:val="20"/>
                <w:color w:val="auto"/>
              </w:rPr>
            </w:pPr>
            <w:r>
              <w:rPr>
                <w:rFonts w:ascii="Arial" w:cs="Arial" w:eastAsia="Arial" w:hAnsi="Arial"/>
                <w:sz w:val="16"/>
                <w:szCs w:val="16"/>
                <w:color w:val="0D0D0D"/>
              </w:rPr>
              <w:t>November 2020</w:t>
            </w:r>
          </w:p>
        </w:tc>
        <w:tc>
          <w:tcPr>
            <w:tcW w:w="2460" w:type="dxa"/>
            <w:vAlign w:val="bottom"/>
            <w:gridSpan w:val="3"/>
            <w:shd w:val="clear" w:color="auto" w:fill="CCEEFF"/>
          </w:tcPr>
          <w:p>
            <w:pPr>
              <w:ind w:left="100"/>
              <w:spacing w:after="0" w:line="178" w:lineRule="exact"/>
              <w:rPr>
                <w:sz w:val="20"/>
                <w:szCs w:val="20"/>
                <w:color w:val="auto"/>
              </w:rPr>
            </w:pPr>
            <w:r>
              <w:rPr>
                <w:rFonts w:ascii="Arial" w:cs="Arial" w:eastAsia="Arial" w:hAnsi="Arial"/>
                <w:sz w:val="16"/>
                <w:szCs w:val="16"/>
                <w:color w:val="auto"/>
                <w:w w:val="95"/>
              </w:rPr>
              <w:t>Repayable by installments and the</w:t>
            </w: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7"/>
              <w:spacing w:after="0" w:line="178" w:lineRule="exact"/>
              <w:rPr>
                <w:sz w:val="20"/>
                <w:szCs w:val="20"/>
                <w:color w:val="auto"/>
              </w:rPr>
            </w:pPr>
            <w:r>
              <w:rPr>
                <w:rFonts w:ascii="Arial" w:cs="Arial" w:eastAsia="Arial" w:hAnsi="Arial"/>
                <w:sz w:val="16"/>
                <w:szCs w:val="16"/>
                <w:color w:val="auto"/>
              </w:rPr>
              <w:t>RMB128,500</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RMB106,303</w:t>
            </w:r>
          </w:p>
        </w:tc>
      </w:tr>
      <w:tr>
        <w:trPr>
          <w:trHeight w:val="190"/>
        </w:trPr>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last installments repayable in</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8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November 2030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7"/>
              <w:spacing w:after="0"/>
              <w:rPr>
                <w:sz w:val="20"/>
                <w:szCs w:val="20"/>
                <w:color w:val="auto"/>
              </w:rPr>
            </w:pPr>
            <w:r>
              <w:rPr>
                <w:rFonts w:ascii="Arial" w:cs="Arial" w:eastAsia="Arial" w:hAnsi="Arial"/>
                <w:sz w:val="16"/>
                <w:szCs w:val="16"/>
                <w:color w:val="auto"/>
              </w:rPr>
              <w:t>18,453</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15,265</w:t>
            </w:r>
          </w:p>
        </w:tc>
      </w:tr>
      <w:tr>
        <w:trPr>
          <w:trHeight w:val="177"/>
        </w:trPr>
        <w:tc>
          <w:tcPr>
            <w:tcW w:w="2400" w:type="dxa"/>
            <w:vAlign w:val="bottom"/>
            <w:gridSpan w:val="2"/>
            <w:shd w:val="clear" w:color="auto" w:fill="CCEEFF"/>
          </w:tcPr>
          <w:p>
            <w:pPr>
              <w:ind w:left="40"/>
              <w:spacing w:after="0" w:line="178" w:lineRule="exact"/>
              <w:rPr>
                <w:sz w:val="20"/>
                <w:szCs w:val="20"/>
                <w:color w:val="auto"/>
              </w:rPr>
            </w:pPr>
            <w:r>
              <w:rPr>
                <w:rFonts w:ascii="Arial" w:cs="Arial" w:eastAsia="Arial" w:hAnsi="Arial"/>
                <w:sz w:val="16"/>
                <w:szCs w:val="16"/>
                <w:color w:val="0D0D0D"/>
              </w:rPr>
              <w:t>Bank of China</w:t>
            </w:r>
          </w:p>
        </w:tc>
        <w:tc>
          <w:tcPr>
            <w:tcW w:w="2540" w:type="dxa"/>
            <w:vAlign w:val="bottom"/>
            <w:gridSpan w:val="2"/>
            <w:shd w:val="clear" w:color="auto" w:fill="CCEEFF"/>
          </w:tcPr>
          <w:p>
            <w:pPr>
              <w:ind w:left="120"/>
              <w:spacing w:after="0" w:line="178" w:lineRule="exact"/>
              <w:rPr>
                <w:sz w:val="20"/>
                <w:szCs w:val="20"/>
                <w:color w:val="auto"/>
              </w:rPr>
            </w:pPr>
            <w:r>
              <w:rPr>
                <w:rFonts w:ascii="Arial" w:cs="Arial" w:eastAsia="Arial" w:hAnsi="Arial"/>
                <w:sz w:val="16"/>
                <w:szCs w:val="16"/>
                <w:color w:val="0D0D0D"/>
              </w:rPr>
              <w:t>June 2021</w:t>
            </w:r>
          </w:p>
        </w:tc>
        <w:tc>
          <w:tcPr>
            <w:tcW w:w="2460" w:type="dxa"/>
            <w:vAlign w:val="bottom"/>
            <w:gridSpan w:val="3"/>
            <w:shd w:val="clear" w:color="auto" w:fill="CCEEFF"/>
          </w:tcPr>
          <w:p>
            <w:pPr>
              <w:ind w:left="100"/>
              <w:spacing w:after="0" w:line="178" w:lineRule="exact"/>
              <w:rPr>
                <w:sz w:val="20"/>
                <w:szCs w:val="20"/>
                <w:color w:val="auto"/>
              </w:rPr>
            </w:pPr>
            <w:r>
              <w:rPr>
                <w:rFonts w:ascii="Arial" w:cs="Arial" w:eastAsia="Arial" w:hAnsi="Arial"/>
                <w:sz w:val="16"/>
                <w:szCs w:val="16"/>
                <w:color w:val="auto"/>
                <w:w w:val="95"/>
              </w:rPr>
              <w:t>Repayable by installments and the</w:t>
            </w: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7"/>
              <w:spacing w:after="0" w:line="178" w:lineRule="exact"/>
              <w:rPr>
                <w:sz w:val="20"/>
                <w:szCs w:val="20"/>
                <w:color w:val="auto"/>
              </w:rPr>
            </w:pPr>
            <w:r>
              <w:rPr>
                <w:rFonts w:ascii="Arial" w:cs="Arial" w:eastAsia="Arial" w:hAnsi="Arial"/>
                <w:sz w:val="16"/>
                <w:szCs w:val="16"/>
                <w:color w:val="auto"/>
              </w:rPr>
              <w:t>RMB10,000</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RMB8,500</w:t>
            </w:r>
          </w:p>
        </w:tc>
      </w:tr>
      <w:tr>
        <w:trPr>
          <w:trHeight w:val="190"/>
        </w:trPr>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5"/>
              </w:rPr>
              <w:t>last installments repayable in June</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8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0"/>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1,436</w:t>
            </w:r>
          </w:p>
        </w:tc>
        <w:tc>
          <w:tcPr>
            <w:tcW w:w="2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1,221</w:t>
            </w:r>
          </w:p>
        </w:tc>
      </w:tr>
      <w:tr>
        <w:trPr>
          <w:trHeight w:val="177"/>
        </w:trPr>
        <w:tc>
          <w:tcPr>
            <w:tcW w:w="2400" w:type="dxa"/>
            <w:vAlign w:val="bottom"/>
            <w:gridSpan w:val="2"/>
            <w:shd w:val="clear" w:color="auto" w:fill="CCEEFF"/>
          </w:tcPr>
          <w:p>
            <w:pPr>
              <w:ind w:left="40"/>
              <w:spacing w:after="0" w:line="178" w:lineRule="exact"/>
              <w:rPr>
                <w:sz w:val="20"/>
                <w:szCs w:val="20"/>
                <w:color w:val="auto"/>
              </w:rPr>
            </w:pPr>
            <w:r>
              <w:rPr>
                <w:rFonts w:ascii="Arial" w:cs="Arial" w:eastAsia="Arial" w:hAnsi="Arial"/>
                <w:sz w:val="16"/>
                <w:szCs w:val="16"/>
                <w:color w:val="0D0D0D"/>
              </w:rPr>
              <w:t>Bank of China</w:t>
            </w:r>
          </w:p>
        </w:tc>
        <w:tc>
          <w:tcPr>
            <w:tcW w:w="2540" w:type="dxa"/>
            <w:vAlign w:val="bottom"/>
            <w:gridSpan w:val="2"/>
            <w:shd w:val="clear" w:color="auto" w:fill="CCEEFF"/>
          </w:tcPr>
          <w:p>
            <w:pPr>
              <w:ind w:left="120"/>
              <w:spacing w:after="0" w:line="178" w:lineRule="exact"/>
              <w:rPr>
                <w:sz w:val="20"/>
                <w:szCs w:val="20"/>
                <w:color w:val="auto"/>
              </w:rPr>
            </w:pPr>
            <w:r>
              <w:rPr>
                <w:rFonts w:ascii="Arial" w:cs="Arial" w:eastAsia="Arial" w:hAnsi="Arial"/>
                <w:sz w:val="16"/>
                <w:szCs w:val="16"/>
                <w:color w:val="0D0D0D"/>
              </w:rPr>
              <w:t>September, 2021</w:t>
            </w:r>
          </w:p>
        </w:tc>
        <w:tc>
          <w:tcPr>
            <w:tcW w:w="2460" w:type="dxa"/>
            <w:vAlign w:val="bottom"/>
            <w:gridSpan w:val="3"/>
            <w:shd w:val="clear" w:color="auto" w:fill="CCEEFF"/>
          </w:tcPr>
          <w:p>
            <w:pPr>
              <w:ind w:left="100"/>
              <w:spacing w:after="0" w:line="178" w:lineRule="exact"/>
              <w:rPr>
                <w:sz w:val="20"/>
                <w:szCs w:val="20"/>
                <w:color w:val="auto"/>
              </w:rPr>
            </w:pPr>
            <w:r>
              <w:rPr>
                <w:rFonts w:ascii="Arial" w:cs="Arial" w:eastAsia="Arial" w:hAnsi="Arial"/>
                <w:sz w:val="16"/>
                <w:szCs w:val="16"/>
                <w:color w:val="auto"/>
                <w:w w:val="95"/>
              </w:rPr>
              <w:t>Repayable by installments and the</w:t>
            </w: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7"/>
              <w:spacing w:after="0" w:line="178" w:lineRule="exact"/>
              <w:rPr>
                <w:sz w:val="20"/>
                <w:szCs w:val="20"/>
                <w:color w:val="auto"/>
              </w:rPr>
            </w:pPr>
            <w:r>
              <w:rPr>
                <w:rFonts w:ascii="Arial" w:cs="Arial" w:eastAsia="Arial" w:hAnsi="Arial"/>
                <w:sz w:val="16"/>
                <w:szCs w:val="16"/>
                <w:color w:val="auto"/>
              </w:rPr>
              <w:t>RMB35,000</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RMB31,500</w:t>
            </w:r>
          </w:p>
        </w:tc>
      </w:tr>
      <w:tr>
        <w:trPr>
          <w:trHeight w:val="190"/>
        </w:trPr>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last installments repayable in</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8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September 2021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4"/>
        </w:trPr>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5,026</w:t>
            </w:r>
          </w:p>
        </w:tc>
        <w:tc>
          <w:tcPr>
            <w:tcW w:w="2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4,523</w:t>
            </w:r>
          </w:p>
        </w:tc>
      </w:tr>
      <w:tr>
        <w:trPr>
          <w:trHeight w:val="230"/>
        </w:trPr>
        <w:tc>
          <w:tcPr>
            <w:tcW w:w="8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80,919</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77,013</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367" w:lineRule="exact"/>
        <w:rPr>
          <w:sz w:val="20"/>
          <w:szCs w:val="20"/>
          <w:color w:val="auto"/>
        </w:rPr>
      </w:pPr>
    </w:p>
    <w:p>
      <w:pPr>
        <w:jc w:val="both"/>
        <w:ind w:left="425" w:right="20" w:hanging="425"/>
        <w:spacing w:after="0" w:line="258" w:lineRule="auto"/>
        <w:tabs>
          <w:tab w:leader="none" w:pos="425"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Converted from RMB to dollars as of December 31, 2022. All of the amounts owing under the line of credit with Bank of Shanghai Pudong Branch are guaranteed by CleanChip Technologies LTD, a wholly owned subsidiary of ACM Shanghai. The loan from China Merchants Bank is secured by a pledge of the property of ACM Shengwei and guaranteed by ACM Shanghai, as described above under “—Contractual Obligations.”</w:t>
      </w:r>
    </w:p>
    <w:p>
      <w:pPr>
        <w:spacing w:after="0" w:line="167"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b w:val="1"/>
          <w:bCs w:val="1"/>
          <w:i w:val="1"/>
          <w:iCs w:val="1"/>
          <w:color w:val="auto"/>
        </w:rPr>
        <w:t xml:space="preserve">Effect of exchange rate changes on cash, cash equivalents and restricted cash. </w:t>
      </w:r>
      <w:r>
        <w:rPr>
          <w:rFonts w:ascii="Arial" w:cs="Arial" w:eastAsia="Arial" w:hAnsi="Arial"/>
          <w:sz w:val="16"/>
          <w:szCs w:val="16"/>
          <w:color w:val="auto"/>
        </w:rPr>
        <w:t>The impact of fluctuations of the RMB to U.S. dollar currency exchange rate on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balance of our cash, and cash equivalents held in RMB-denominated accounts (Note 2) contributed to a $33.8 million decline in the value of these items during the year ended December 31, 2022.</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Contractual Obligations</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Grant Contract for State-owned Construction Land Use Right in Shanghai City</w:t>
      </w:r>
    </w:p>
    <w:p>
      <w:pPr>
        <w:spacing w:after="0" w:line="196"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In 2020 ACM Shanghai, through its wholly-owned subsidiary ACM Shengwei, entered into a Grant Contract for State-owned Construction Land Use Right in Shanghai City (Category of R&amp;D Headquarters and Industrial Projects), or the Grant Agreement, with the China (Shanghai) Pilot Free Trade Zone Lin-gang Special Area Administration, or the Grantor. ACM Shengwei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spacing w:after="0" w:line="33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09" w:right="319" w:bottom="1440" w:gutter="0" w:footer="0" w:header="0"/>
        </w:sectPr>
      </w:pPr>
    </w:p>
    <w:bookmarkStart w:id="83" w:name="page84"/>
    <w:bookmarkEnd w:id="83"/>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right="20"/>
        <w:spacing w:after="0" w:line="270" w:lineRule="auto"/>
        <w:rPr>
          <w:sz w:val="20"/>
          <w:szCs w:val="20"/>
          <w:color w:val="auto"/>
        </w:rPr>
      </w:pPr>
      <w:r>
        <w:rPr>
          <w:rFonts w:ascii="Arial" w:cs="Arial" w:eastAsia="Arial" w:hAnsi="Arial"/>
          <w:sz w:val="16"/>
          <w:szCs w:val="16"/>
          <w:color w:val="auto"/>
        </w:rPr>
        <w:t>In exchange for its land use rights, ACM Shengwei paid aggregate grant fees of RMB 61.7 million ($9.5 million), or the Grant Fees, and a performance deposit of RMB 12.3 million ($1.9 million), which is equal to 20% of the aggregate Grant Fees, to secure its achievement of the following performance milestones:</w:t>
      </w:r>
    </w:p>
    <w:p>
      <w:pPr>
        <w:spacing w:after="0" w:line="156" w:lineRule="exact"/>
        <w:rPr>
          <w:sz w:val="20"/>
          <w:szCs w:val="20"/>
          <w:color w:val="auto"/>
        </w:rPr>
      </w:pPr>
    </w:p>
    <w:p>
      <w:pPr>
        <w:ind w:left="425" w:hanging="425"/>
        <w:spacing w:after="0"/>
        <w:tabs>
          <w:tab w:leader="none" w:pos="4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start of construction within 6 months after the Delivery Date (60% of the performance deposit), or Construction Start Milestone;</w:t>
      </w:r>
    </w:p>
    <w:p>
      <w:pPr>
        <w:spacing w:after="0" w:line="17" w:lineRule="exact"/>
        <w:rPr>
          <w:rFonts w:ascii="Arial" w:cs="Arial" w:eastAsia="Arial" w:hAnsi="Arial"/>
          <w:sz w:val="16"/>
          <w:szCs w:val="16"/>
          <w:color w:val="auto"/>
        </w:rPr>
      </w:pPr>
    </w:p>
    <w:p>
      <w:pPr>
        <w:ind w:left="425" w:hanging="425"/>
        <w:spacing w:after="0"/>
        <w:tabs>
          <w:tab w:leader="none" w:pos="4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completion of construction within 30 months after the Delivery Date (20% of the performance deposit), or Construction Completion Milestone;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start of production within 42 months after the Delivery Date (20% of the performance deposit), or Production Start Milestone.</w:t>
      </w:r>
    </w:p>
    <w:p>
      <w:pPr>
        <w:spacing w:after="0" w:line="185"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Upon satisfaction of a milestone, the portion of the performance deposit attributable to that milestone will be repayable to ACM Shengwei within ten business days. If the achievement of any of the above milestones is delayed or abandoned, ACM Shengwei may be subject to additional penalties and may lose its rights to both the use of the granted land and any partially completed facilities on that land.</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status of the performance milestones for the year ended December 31, 2022 is as follows:</w:t>
      </w:r>
    </w:p>
    <w:p>
      <w:pPr>
        <w:spacing w:after="0" w:line="196" w:lineRule="exact"/>
        <w:rPr>
          <w:sz w:val="20"/>
          <w:szCs w:val="20"/>
          <w:color w:val="auto"/>
        </w:rPr>
      </w:pPr>
    </w:p>
    <w:p>
      <w:pPr>
        <w:ind w:left="565" w:hanging="280"/>
        <w:spacing w:after="0"/>
        <w:tabs>
          <w:tab w:leader="none" w:pos="56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ACM Shengwei achieved the Construction Start Milestone and 60% of the performance deposit was refunded to ACM Shanghai in 2020.</w:t>
      </w:r>
    </w:p>
    <w:p>
      <w:pPr>
        <w:spacing w:after="0" w:line="17" w:lineRule="exact"/>
        <w:rPr>
          <w:rFonts w:ascii="Arial" w:cs="Arial" w:eastAsia="Arial" w:hAnsi="Arial"/>
          <w:sz w:val="16"/>
          <w:szCs w:val="16"/>
          <w:color w:val="auto"/>
        </w:rPr>
      </w:pPr>
    </w:p>
    <w:p>
      <w:pPr>
        <w:jc w:val="both"/>
        <w:ind w:left="565" w:hanging="280"/>
        <w:spacing w:after="0" w:line="249" w:lineRule="auto"/>
        <w:tabs>
          <w:tab w:leader="none" w:pos="56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Construction Completion Milestone was originally required to be met prior to January 9, 2023. Due to COVID-19 related restrictions, ACM Shengwei has experienced delays and did not meet the milestone. In December 2022, prior to the deadline, ACM filed a request for a six-month extension, which was granted, and thus such milestone was extended until July 9, 2023. ACM Shengwei expects to receive a new grant agreement, Version 3.0, by the end of March 2023. ACM Shengwei expects it will reach the Construction Completion Milestone on or before the extended deadline. We cannot guarantee the new extension will be met or that ACM Shengwei will be refunded this 20% portion of the performance deposit.</w:t>
      </w:r>
    </w:p>
    <w:p>
      <w:pPr>
        <w:spacing w:after="0" w:line="175" w:lineRule="exact"/>
        <w:rPr>
          <w:sz w:val="20"/>
          <w:szCs w:val="20"/>
          <w:color w:val="auto"/>
        </w:rPr>
      </w:pPr>
    </w:p>
    <w:p>
      <w:pPr>
        <w:ind w:left="565"/>
        <w:spacing w:after="0"/>
        <w:rPr>
          <w:sz w:val="20"/>
          <w:szCs w:val="20"/>
          <w:color w:val="auto"/>
        </w:rPr>
      </w:pPr>
      <w:r>
        <w:rPr>
          <w:rFonts w:ascii="Arial" w:cs="Arial" w:eastAsia="Arial" w:hAnsi="Arial"/>
          <w:sz w:val="16"/>
          <w:szCs w:val="16"/>
          <w:i w:val="1"/>
          <w:iCs w:val="1"/>
          <w:color w:val="auto"/>
        </w:rPr>
        <w:t>Contractual penalties in the case of a delay of Construction Completion Milestone</w:t>
      </w:r>
      <w:r>
        <w:rPr>
          <w:rFonts w:ascii="Arial" w:cs="Arial" w:eastAsia="Arial" w:hAnsi="Arial"/>
          <w:sz w:val="16"/>
          <w:szCs w:val="16"/>
          <w:color w:val="auto"/>
        </w:rPr>
        <w:t>:</w:t>
      </w:r>
    </w:p>
    <w:p>
      <w:pPr>
        <w:spacing w:after="0" w:line="196" w:lineRule="exact"/>
        <w:rPr>
          <w:sz w:val="20"/>
          <w:szCs w:val="20"/>
          <w:color w:val="auto"/>
        </w:rPr>
      </w:pPr>
    </w:p>
    <w:p>
      <w:pPr>
        <w:ind w:left="565" w:hanging="280"/>
        <w:spacing w:after="0" w:line="255" w:lineRule="auto"/>
        <w:tabs>
          <w:tab w:leader="none" w:pos="5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ACM Shengwei fails to complete the construction pursuant to the date agreed under the Grant Agreement or any extended completion date approved by the Grantor, ACM Shengwei shall pay 50% of the deposit for timely completion of construction as liquidated damages;</w:t>
      </w:r>
    </w:p>
    <w:p>
      <w:pPr>
        <w:ind w:left="565" w:right="20" w:hanging="280"/>
        <w:spacing w:after="0" w:line="247" w:lineRule="auto"/>
        <w:tabs>
          <w:tab w:leader="none" w:pos="5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ACM Shengwei delays the completion for more than six months beyond the date agreed under the Grant Agreement, or beyond any extended completion date approved by the Grantor, it shall pay the total deposit for timely completion of construction as liquidated damages.</w:t>
      </w:r>
    </w:p>
    <w:p>
      <w:pPr>
        <w:spacing w:after="0" w:line="1" w:lineRule="exact"/>
        <w:rPr>
          <w:rFonts w:ascii="Arial" w:cs="Arial" w:eastAsia="Arial" w:hAnsi="Arial"/>
          <w:sz w:val="16"/>
          <w:szCs w:val="16"/>
          <w:color w:val="auto"/>
        </w:rPr>
      </w:pPr>
    </w:p>
    <w:p>
      <w:pPr>
        <w:jc w:val="both"/>
        <w:ind w:left="565" w:right="20" w:hanging="280"/>
        <w:spacing w:after="0" w:line="251" w:lineRule="auto"/>
        <w:tabs>
          <w:tab w:leader="none" w:pos="5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Shengwei.</w:t>
      </w:r>
    </w:p>
    <w:p>
      <w:pPr>
        <w:spacing w:after="0" w:line="172" w:lineRule="exact"/>
        <w:rPr>
          <w:sz w:val="20"/>
          <w:szCs w:val="20"/>
          <w:color w:val="auto"/>
        </w:rPr>
      </w:pPr>
    </w:p>
    <w:p>
      <w:pPr>
        <w:jc w:val="both"/>
        <w:ind w:left="565" w:hanging="280"/>
        <w:spacing w:after="0" w:line="313" w:lineRule="auto"/>
        <w:tabs>
          <w:tab w:leader="none" w:pos="565"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Production Start Milestone was originally required to be met prior to January 9, 2024. In December 2022, due to COVID-related delays, ACM filed a request for a six-month extension, which was granted, and thus such milestone was extended until July 9, 2024. ACM Shengwei expects to receive a new grant agreement, Version 3.0, by the end of March 2023. We cannot guarantee the extension will be met or that ACM Shengwei will be refunded this 20% portion of the performance deposit.</w:t>
      </w:r>
    </w:p>
    <w:p>
      <w:pPr>
        <w:spacing w:after="0" w:line="130" w:lineRule="exact"/>
        <w:rPr>
          <w:rFonts w:ascii="Arial" w:cs="Arial" w:eastAsia="Arial" w:hAnsi="Arial"/>
          <w:sz w:val="14"/>
          <w:szCs w:val="14"/>
          <w:color w:val="auto"/>
        </w:rPr>
      </w:pPr>
    </w:p>
    <w:p>
      <w:pPr>
        <w:ind w:left="565"/>
        <w:spacing w:after="0"/>
        <w:rPr>
          <w:rFonts w:ascii="Arial" w:cs="Arial" w:eastAsia="Arial" w:hAnsi="Arial"/>
          <w:sz w:val="14"/>
          <w:szCs w:val="14"/>
          <w:color w:val="auto"/>
        </w:rPr>
      </w:pPr>
      <w:r>
        <w:rPr>
          <w:rFonts w:ascii="Arial" w:cs="Arial" w:eastAsia="Arial" w:hAnsi="Arial"/>
          <w:sz w:val="16"/>
          <w:szCs w:val="16"/>
          <w:i w:val="1"/>
          <w:iCs w:val="1"/>
          <w:color w:val="auto"/>
        </w:rPr>
        <w:t>Contractual penalties in the case of a delay of Production Start Milestone</w:t>
      </w:r>
      <w:r>
        <w:rPr>
          <w:rFonts w:ascii="Arial" w:cs="Arial" w:eastAsia="Arial" w:hAnsi="Arial"/>
          <w:sz w:val="16"/>
          <w:szCs w:val="16"/>
          <w:color w:val="auto"/>
        </w:rPr>
        <w:t>:</w:t>
      </w:r>
    </w:p>
    <w:p>
      <w:pPr>
        <w:spacing w:after="0" w:line="196" w:lineRule="exact"/>
        <w:rPr>
          <w:sz w:val="20"/>
          <w:szCs w:val="20"/>
          <w:color w:val="auto"/>
        </w:rPr>
      </w:pPr>
    </w:p>
    <w:p>
      <w:pPr>
        <w:ind w:left="565" w:right="20" w:hanging="280"/>
        <w:spacing w:after="0" w:line="255" w:lineRule="auto"/>
        <w:tabs>
          <w:tab w:leader="none" w:pos="5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ACM Shengwei fails to commence production pursuant to the date agreed under the Grant Agreement or any extended commencement date approved by the Grantor, ACM Shengwei shall pay the total deposit for timely commencement of production as liquidated damages;</w:t>
      </w:r>
    </w:p>
    <w:p>
      <w:pPr>
        <w:jc w:val="both"/>
        <w:ind w:left="565" w:hanging="280"/>
        <w:spacing w:after="0" w:line="251" w:lineRule="auto"/>
        <w:tabs>
          <w:tab w:leader="none" w:pos="5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ACM Shengwei fails to commence production pursuant to the extended commencement of production date, the Grantor is entitled to terminate the Grant Agreement and take back the Land Use Right. In such case, the Grantor shall refund the Grant Fees for the remaining land use term after deducting the deposit agreed under the Grant Agreement to ACM Shengwei.</w:t>
      </w:r>
    </w:p>
    <w:p>
      <w:pPr>
        <w:spacing w:after="0" w:line="33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84" w:name="page85"/>
    <w:bookmarkEnd w:id="84"/>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4"/>
          <w:szCs w:val="14"/>
          <w:color w:val="auto"/>
        </w:rPr>
        <w:t>In addition to the milestones, covenants in the Grant Agreement require that, among other things, ACM Shengwei will be required to pay liquidated damages in the event that:</w:t>
      </w:r>
    </w:p>
    <w:p>
      <w:pPr>
        <w:spacing w:after="0" w:line="219" w:lineRule="exact"/>
        <w:rPr>
          <w:sz w:val="20"/>
          <w:szCs w:val="20"/>
          <w:color w:val="auto"/>
        </w:rPr>
      </w:pPr>
    </w:p>
    <w:p>
      <w:pPr>
        <w:jc w:val="both"/>
        <w:ind w:left="5" w:right="20" w:hanging="5"/>
        <w:spacing w:after="0" w:line="258" w:lineRule="auto"/>
        <w:tabs>
          <w:tab w:leader="none" w:pos="2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it does not make a total investment (including the costs of construction, fixtures, equipment and grant fees) of at least RMB 450.0 million ($63.4 million). ACM Shengwei shall pay the liquidated damages equal to the same proportion of the Grant Fees as the proportion of the actual shortfall amount of investment in the total agreed investment amount or the investment intensity.</w:t>
      </w:r>
    </w:p>
    <w:p>
      <w:pPr>
        <w:spacing w:after="0" w:line="166" w:lineRule="exact"/>
        <w:rPr>
          <w:rFonts w:ascii="Arial" w:cs="Arial" w:eastAsia="Arial" w:hAnsi="Arial"/>
          <w:sz w:val="16"/>
          <w:szCs w:val="16"/>
          <w:color w:val="auto"/>
        </w:rPr>
      </w:pPr>
    </w:p>
    <w:p>
      <w:pPr>
        <w:jc w:val="both"/>
        <w:ind w:left="5" w:hanging="5"/>
        <w:spacing w:after="0" w:line="313" w:lineRule="auto"/>
        <w:tabs>
          <w:tab w:leader="none" w:pos="245" w:val="left"/>
        </w:tabs>
        <w:numPr>
          <w:ilvl w:val="0"/>
          <w:numId w:val="71"/>
        </w:numPr>
        <w:rPr>
          <w:rFonts w:ascii="Arial" w:cs="Arial" w:eastAsia="Arial" w:hAnsi="Arial"/>
          <w:sz w:val="14"/>
          <w:szCs w:val="14"/>
          <w:color w:val="auto"/>
        </w:rPr>
      </w:pPr>
      <w:r>
        <w:rPr>
          <w:rFonts w:ascii="Arial" w:cs="Arial" w:eastAsia="Arial" w:hAnsi="Arial"/>
          <w:sz w:val="14"/>
          <w:szCs w:val="14"/>
          <w:color w:val="auto"/>
        </w:rPr>
        <w:t>within six years after the Delivery Date, or prior to July 9, 2026, it does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30"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If the total tax revenue of the project fails to reach but is no less than 80% of the standard agreed under the Grant Agreement, ACM Shengwei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Shengwei.</w:t>
      </w:r>
    </w:p>
    <w:p>
      <w:pPr>
        <w:spacing w:after="0" w:line="168"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If the Grant Agreement is terminated because of breach of any terms above, the Grantor shall take back the buildings, fixtures and auxiliary facilities on the land area and provide ACM Shengwei with corresponding compensation according to the residual value of the buildings, fixtures and auxiliary facilities when they are taken back. The total cumulative investment of land, buildings and construction in progress related to ACM Shengwei amounted to $35.4 million and $13.3 million at December 31, 2022 and December 31, 2021, respectively.</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How We Evaluate Our Operations</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present information below with respect to four measures of financial performance:</w:t>
      </w:r>
    </w:p>
    <w:p>
      <w:pPr>
        <w:spacing w:after="0" w:line="196" w:lineRule="exact"/>
        <w:rPr>
          <w:sz w:val="20"/>
          <w:szCs w:val="20"/>
          <w:color w:val="auto"/>
        </w:rPr>
      </w:pPr>
    </w:p>
    <w:p>
      <w:pPr>
        <w:jc w:val="both"/>
        <w:ind w:left="425" w:hanging="425"/>
        <w:spacing w:after="0" w:line="252" w:lineRule="auto"/>
        <w:tabs>
          <w:tab w:leader="none" w:pos="4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or if a purchase order is received.</w:t>
      </w:r>
    </w:p>
    <w:p>
      <w:pPr>
        <w:spacing w:after="0" w:line="1" w:lineRule="exact"/>
        <w:rPr>
          <w:rFonts w:ascii="Arial" w:cs="Arial" w:eastAsia="Arial" w:hAnsi="Arial"/>
          <w:sz w:val="16"/>
          <w:szCs w:val="16"/>
          <w:color w:val="auto"/>
        </w:rPr>
      </w:pPr>
    </w:p>
    <w:p>
      <w:pPr>
        <w:ind w:left="425" w:right="20" w:hanging="425"/>
        <w:spacing w:after="0" w:line="283" w:lineRule="auto"/>
        <w:tabs>
          <w:tab w:leader="none" w:pos="425" w:val="left"/>
        </w:tabs>
        <w:numPr>
          <w:ilvl w:val="0"/>
          <w:numId w:val="72"/>
        </w:numPr>
        <w:rPr>
          <w:rFonts w:ascii="Arial" w:cs="Arial" w:eastAsia="Arial" w:hAnsi="Arial"/>
          <w:sz w:val="14"/>
          <w:szCs w:val="14"/>
          <w:color w:val="auto"/>
        </w:rPr>
      </w:pPr>
      <w:r>
        <w:rPr>
          <w:rFonts w:ascii="Arial" w:cs="Arial" w:eastAsia="Arial" w:hAnsi="Arial"/>
          <w:sz w:val="14"/>
          <w:szCs w:val="14"/>
          <w:color w:val="auto"/>
        </w:rPr>
        <w:t>We define “adjusted EBITDA” as net income excluding interest expense (net), income tax benefit (expense), depreciation and amortization, unrealized (gain) loss on trading securities, and stock-based compensation. We define adjusted EBITDA to also exclude restructuring costs, although we have not incurred any such costs to date.</w:t>
      </w:r>
    </w:p>
    <w:p>
      <w:pPr>
        <w:ind w:left="425" w:hanging="425"/>
        <w:spacing w:after="0"/>
        <w:tabs>
          <w:tab w:leader="none" w:pos="4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define “free cash flow” as net cash provided by operating activities less purchases of property and equipment (net of proceeds from disposals).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define “adjusted operating income (loss)” as our income (loss) from operations excluding stock-based compensation.</w:t>
      </w:r>
    </w:p>
    <w:p>
      <w:pPr>
        <w:spacing w:after="0" w:line="185" w:lineRule="exact"/>
        <w:rPr>
          <w:sz w:val="20"/>
          <w:szCs w:val="20"/>
          <w:color w:val="auto"/>
        </w:rPr>
      </w:pPr>
    </w:p>
    <w:p>
      <w:pPr>
        <w:jc w:val="both"/>
        <w:ind w:left="5"/>
        <w:spacing w:after="0" w:line="270" w:lineRule="auto"/>
        <w:rPr>
          <w:sz w:val="20"/>
          <w:szCs w:val="20"/>
          <w:color w:val="auto"/>
        </w:rPr>
      </w:pPr>
      <w:r>
        <w:rPr>
          <w:rFonts w:ascii="Arial" w:cs="Arial" w:eastAsia="Arial" w:hAnsi="Arial"/>
          <w:sz w:val="16"/>
          <w:szCs w:val="16"/>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56" w:lineRule="exact"/>
        <w:rPr>
          <w:sz w:val="20"/>
          <w:szCs w:val="20"/>
          <w:color w:val="auto"/>
        </w:rPr>
      </w:pPr>
    </w:p>
    <w:p>
      <w:pPr>
        <w:jc w:val="both"/>
        <w:ind w:left="5"/>
        <w:spacing w:after="0" w:line="270" w:lineRule="auto"/>
        <w:rPr>
          <w:sz w:val="20"/>
          <w:szCs w:val="20"/>
          <w:color w:val="auto"/>
        </w:rPr>
      </w:pPr>
      <w:r>
        <w:rPr>
          <w:rFonts w:ascii="Arial" w:cs="Arial" w:eastAsia="Arial" w:hAnsi="Arial"/>
          <w:sz w:val="15"/>
          <w:szCs w:val="15"/>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32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85" w:name="page86"/>
    <w:bookmarkEnd w:id="85"/>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spacing w:after="0" w:line="270" w:lineRule="auto"/>
        <w:rPr>
          <w:sz w:val="20"/>
          <w:szCs w:val="20"/>
          <w:color w:val="auto"/>
        </w:rPr>
      </w:pPr>
      <w:r>
        <w:rPr>
          <w:rFonts w:ascii="Arial" w:cs="Arial" w:eastAsia="Arial" w:hAnsi="Arial"/>
          <w:sz w:val="16"/>
          <w:szCs w:val="16"/>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56"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Shipments</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5"/>
          <w:szCs w:val="15"/>
          <w:color w:val="auto"/>
        </w:rPr>
        <w:t>We consider shipments a key operating metric as it reflects the total value of products delivered to customers and prospective customers by our productive assets.</w:t>
      </w:r>
    </w:p>
    <w:p>
      <w:pPr>
        <w:spacing w:after="0" w:line="208" w:lineRule="exact"/>
        <w:rPr>
          <w:sz w:val="20"/>
          <w:szCs w:val="20"/>
          <w:color w:val="auto"/>
        </w:rPr>
      </w:pPr>
    </w:p>
    <w:p>
      <w:pPr>
        <w:ind w:left="5"/>
        <w:spacing w:after="0"/>
        <w:rPr>
          <w:sz w:val="20"/>
          <w:szCs w:val="20"/>
          <w:color w:val="auto"/>
        </w:rPr>
      </w:pPr>
      <w:r>
        <w:rPr>
          <w:rFonts w:ascii="Arial" w:cs="Arial" w:eastAsia="Arial" w:hAnsi="Arial"/>
          <w:sz w:val="16"/>
          <w:szCs w:val="16"/>
          <w:color w:val="auto"/>
        </w:rPr>
        <w:t>Shipments consist of two components:</w:t>
      </w:r>
    </w:p>
    <w:p>
      <w:pPr>
        <w:spacing w:after="0" w:line="196" w:lineRule="exact"/>
        <w:rPr>
          <w:sz w:val="20"/>
          <w:szCs w:val="20"/>
          <w:color w:val="auto"/>
        </w:rPr>
      </w:pPr>
    </w:p>
    <w:p>
      <w:pPr>
        <w:ind w:left="425" w:hanging="425"/>
        <w:spacing w:after="0"/>
        <w:tabs>
          <w:tab w:leader="none" w:pos="42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 accepted, for which we recognize revenue when the tool is delivered; and</w:t>
      </w:r>
    </w:p>
    <w:p>
      <w:pPr>
        <w:spacing w:after="0" w:line="17" w:lineRule="exact"/>
        <w:rPr>
          <w:rFonts w:ascii="Arial" w:cs="Arial" w:eastAsia="Arial" w:hAnsi="Arial"/>
          <w:sz w:val="16"/>
          <w:szCs w:val="16"/>
          <w:color w:val="auto"/>
        </w:rPr>
      </w:pPr>
    </w:p>
    <w:p>
      <w:pPr>
        <w:jc w:val="both"/>
        <w:ind w:left="425" w:right="20" w:hanging="425"/>
        <w:spacing w:after="0" w:line="251" w:lineRule="auto"/>
        <w:tabs>
          <w:tab w:leader="none" w:pos="42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172"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56"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Shipments for the years ended December 31, 2022, 2021, and 2020 totaled $539 million, $372 million, and $182 million, respectively. Repeat tool shipments in the years ended December 31, 2022, 2021 and 2020 totaled $288 million, $210 million and $121 million, respectively. First tool shipments for the years ended December 31, 2022, 2021, and 2020 totaled $251 million, $162 million, and $62 million, respectively.</w:t>
      </w:r>
    </w:p>
    <w:p>
      <w:pPr>
        <w:spacing w:after="0" w:line="167" w:lineRule="exact"/>
        <w:rPr>
          <w:sz w:val="20"/>
          <w:szCs w:val="20"/>
          <w:color w:val="auto"/>
        </w:rPr>
      </w:pPr>
    </w:p>
    <w:p>
      <w:pPr>
        <w:jc w:val="both"/>
        <w:ind w:left="5"/>
        <w:spacing w:after="0" w:line="270" w:lineRule="auto"/>
        <w:rPr>
          <w:sz w:val="20"/>
          <w:szCs w:val="20"/>
          <w:color w:val="auto"/>
        </w:rPr>
      </w:pPr>
      <w:r>
        <w:rPr>
          <w:rFonts w:ascii="Arial" w:cs="Arial" w:eastAsia="Arial" w:hAnsi="Arial"/>
          <w:sz w:val="15"/>
          <w:szCs w:val="15"/>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does not have a basis to expect future revenue.</w:t>
      </w:r>
    </w:p>
    <w:p>
      <w:pPr>
        <w:spacing w:after="0" w:line="158" w:lineRule="exact"/>
        <w:rPr>
          <w:sz w:val="20"/>
          <w:szCs w:val="20"/>
          <w:color w:val="auto"/>
        </w:rPr>
      </w:pPr>
    </w:p>
    <w:p>
      <w:pPr>
        <w:ind w:left="565"/>
        <w:spacing w:after="0"/>
        <w:rPr>
          <w:sz w:val="20"/>
          <w:szCs w:val="20"/>
          <w:color w:val="auto"/>
        </w:rPr>
      </w:pPr>
      <w:r>
        <w:rPr>
          <w:rFonts w:ascii="Arial" w:cs="Arial" w:eastAsia="Arial" w:hAnsi="Arial"/>
          <w:sz w:val="16"/>
          <w:szCs w:val="16"/>
          <w:b w:val="1"/>
          <w:bCs w:val="1"/>
          <w:i w:val="1"/>
          <w:iCs w:val="1"/>
          <w:color w:val="auto"/>
        </w:rPr>
        <w:t>Adjusted EBITDA</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4"/>
          <w:szCs w:val="14"/>
          <w:color w:val="auto"/>
        </w:rPr>
        <w:t>There are a number of limitations related to the use of adjusted EBITDA rather than net income (loss), which is the nearest GAAP equivalent. Some of these limitations are:</w:t>
      </w:r>
    </w:p>
    <w:p>
      <w:pPr>
        <w:spacing w:after="0" w:line="219" w:lineRule="exact"/>
        <w:rPr>
          <w:sz w:val="20"/>
          <w:szCs w:val="20"/>
          <w:color w:val="auto"/>
        </w:rPr>
      </w:pPr>
    </w:p>
    <w:p>
      <w:pPr>
        <w:ind w:left="425" w:hanging="425"/>
        <w:spacing w:after="0" w:line="255" w:lineRule="auto"/>
        <w:tabs>
          <w:tab w:leader="none" w:pos="42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adjusted EBITDA excludes depreciation and amortization and, although these are non-cash expenses, the assets being depreciated or amortized may have to be replaced in the future;</w:t>
      </w:r>
    </w:p>
    <w:p>
      <w:pPr>
        <w:jc w:val="both"/>
        <w:ind w:left="425" w:hanging="425"/>
        <w:spacing w:after="0" w:line="304" w:lineRule="auto"/>
        <w:tabs>
          <w:tab w:leader="none" w:pos="425"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300"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86" w:name="page87"/>
    <w:bookmarkEnd w:id="86"/>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425" w:right="20" w:hanging="425"/>
        <w:spacing w:after="0" w:line="255" w:lineRule="auto"/>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425" w:hanging="425"/>
        <w:spacing w:after="0"/>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working capital needs;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requirements necessary to service interest or principal payments on debt;</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adjusted EBITDA does not reflect income tax expense (benefit) or the cash requirements to pay taxes;</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6" w:lineRule="exact"/>
        <w:rPr>
          <w:rFonts w:ascii="Arial" w:cs="Arial" w:eastAsia="Arial" w:hAnsi="Arial"/>
          <w:sz w:val="16"/>
          <w:szCs w:val="16"/>
          <w:color w:val="auto"/>
        </w:rPr>
      </w:pPr>
    </w:p>
    <w:p>
      <w:pPr>
        <w:ind w:left="425" w:right="20" w:hanging="425"/>
        <w:spacing w:after="0" w:line="247" w:lineRule="auto"/>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1" w:lineRule="exact"/>
        <w:rPr>
          <w:rFonts w:ascii="Arial" w:cs="Arial" w:eastAsia="Arial" w:hAnsi="Arial"/>
          <w:sz w:val="16"/>
          <w:szCs w:val="16"/>
          <w:color w:val="auto"/>
        </w:rPr>
      </w:pPr>
    </w:p>
    <w:p>
      <w:pPr>
        <w:jc w:val="both"/>
        <w:ind w:left="425" w:right="20" w:hanging="425"/>
        <w:spacing w:after="0" w:line="251" w:lineRule="auto"/>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table reconciles net income, the most directly comparable GAAP financial measure, to adjusted EBITDA:</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line="174" w:lineRule="exact"/>
              <w:rPr>
                <w:sz w:val="20"/>
                <w:szCs w:val="20"/>
                <w:color w:val="auto"/>
              </w:rPr>
            </w:pPr>
            <w:r>
              <w:rPr>
                <w:rFonts w:ascii="Arial" w:cs="Arial" w:eastAsia="Arial" w:hAnsi="Arial"/>
                <w:sz w:val="16"/>
                <w:szCs w:val="16"/>
                <w:b w:val="1"/>
                <w:bCs w:val="1"/>
                <w:color w:val="auto"/>
                <w:w w:val="87"/>
              </w:rPr>
              <w:t>Absolute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Change 2022 v</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2022 v 2021</w:t>
            </w:r>
          </w:p>
        </w:tc>
        <w:tc>
          <w:tcPr>
            <w:tcW w:w="180" w:type="dxa"/>
            <w:vAlign w:val="bottom"/>
          </w:tcPr>
          <w:p>
            <w:pPr>
              <w:spacing w:after="0"/>
              <w:rPr>
                <w:sz w:val="18"/>
                <w:szCs w:val="18"/>
                <w:color w:val="auto"/>
              </w:rPr>
            </w:pPr>
          </w:p>
        </w:tc>
        <w:tc>
          <w:tcPr>
            <w:tcW w:w="940" w:type="dxa"/>
            <w:vAlign w:val="bottom"/>
          </w:tcPr>
          <w:p>
            <w:pPr>
              <w:jc w:val="center"/>
              <w:ind w:right="10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Adjusted EBITDA Data:</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i w:val="1"/>
                <w:iCs w:val="1"/>
                <w:color w:val="auto"/>
                <w:w w:val="88"/>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50,564</w:t>
            </w:r>
          </w:p>
        </w:tc>
        <w:tc>
          <w:tcPr>
            <w:tcW w:w="1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42,921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21,677</w:t>
            </w: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Interest expense (income), net</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(7,085)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85</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-2825.0%</w:t>
            </w: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(7,345)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(2,382)</w:t>
            </w: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12435.8%</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2,353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1,055</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128.0%</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based compensation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5,117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5,628</w:t>
            </w: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Change in fair value of financial liability</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11,964</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loss on trading securities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(12,574)</w:t>
            </w: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-1394.1%</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8,462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Adjusted EBITDA</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81,228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50,178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25,453</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The $31.0 million increase in adjusted EBITDA for the year ended December 31, 2022 as compared to the year ended December 31, 2021 reflected higher income tax expense, an increase in unrealized loss on trading securities, an increase in net income, an increase in stock-based compensation, and an increase in depreciation and amortization, partly offset by a negative impact from an increase in interest income, net.</w:t>
      </w:r>
    </w:p>
    <w:p>
      <w:pPr>
        <w:spacing w:after="0" w:line="167"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31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Free Cash Flow</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(used in) operating activities, the most directly comparable GAAP financial measure, to free cash flow: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line="174" w:lineRule="exact"/>
              <w:rPr>
                <w:sz w:val="20"/>
                <w:szCs w:val="20"/>
                <w:color w:val="auto"/>
              </w:rPr>
            </w:pPr>
            <w:r>
              <w:rPr>
                <w:rFonts w:ascii="Arial" w:cs="Arial" w:eastAsia="Arial" w:hAnsi="Arial"/>
                <w:sz w:val="16"/>
                <w:szCs w:val="16"/>
                <w:b w:val="1"/>
                <w:bCs w:val="1"/>
                <w:color w:val="auto"/>
                <w:w w:val="87"/>
              </w:rPr>
              <w:t>Absolute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Change 2022 v</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2022 v 2021</w:t>
            </w:r>
          </w:p>
        </w:tc>
        <w:tc>
          <w:tcPr>
            <w:tcW w:w="180" w:type="dxa"/>
            <w:vAlign w:val="bottom"/>
          </w:tcPr>
          <w:p>
            <w:pPr>
              <w:spacing w:after="0"/>
              <w:rPr>
                <w:sz w:val="18"/>
                <w:szCs w:val="18"/>
                <w:color w:val="auto"/>
              </w:rPr>
            </w:pPr>
          </w:p>
        </w:tc>
        <w:tc>
          <w:tcPr>
            <w:tcW w:w="940" w:type="dxa"/>
            <w:vAlign w:val="bottom"/>
          </w:tcPr>
          <w:p>
            <w:pPr>
              <w:jc w:val="center"/>
              <w:ind w:right="10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Free Cash Flow Data:</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i w:val="1"/>
                <w:iCs w:val="1"/>
                <w:color w:val="auto"/>
                <w:w w:val="88"/>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(62,194)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(40,093)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(13,547)</w:t>
            </w: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(22,101)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(91,094)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(9,153)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(5,211)</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895.2%</w:t>
            </w: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(81,941)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Purchase of land-use-right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(9,744)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Prepayment for property</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(40,206)</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trading securities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(4,279)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Free cash flow</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(157,567)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(49,246)</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(83,728)</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(108,321)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changes in free cash flow for the years ended December 31, 2022, 2021 and 2020 reflected the factors driving net cash used in operating activities, and an increase of purchases of property and equipment. Consistent with our methodology for calculating adjusted EBITDA, we do not adjust free cash flow for the effects of PRC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Operating Income</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9"/>
          </w:tcPr>
          <w:p>
            <w:pPr>
              <w:jc w:val="center"/>
              <w:ind w:right="240"/>
              <w:spacing w:after="0"/>
              <w:rPr>
                <w:sz w:val="20"/>
                <w:szCs w:val="20"/>
                <w:color w:val="auto"/>
              </w:rPr>
            </w:pPr>
            <w:r>
              <w:rPr>
                <w:rFonts w:ascii="Arial" w:cs="Arial" w:eastAsia="Arial" w:hAnsi="Arial"/>
                <w:sz w:val="16"/>
                <w:szCs w:val="16"/>
                <w:b w:val="1"/>
                <w:bCs w:val="1"/>
                <w:color w:val="auto"/>
                <w:w w:val="89"/>
              </w:rPr>
              <w:t>Year Ended 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2021</w:t>
            </w:r>
          </w:p>
        </w:tc>
        <w:tc>
          <w:tcPr>
            <w:tcW w:w="2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1"/>
              <w:spacing w:after="0" w:line="174" w:lineRule="exact"/>
              <w:rPr>
                <w:sz w:val="20"/>
                <w:szCs w:val="20"/>
                <w:color w:val="auto"/>
              </w:rPr>
            </w:pPr>
            <w:r>
              <w:rPr>
                <w:rFonts w:ascii="Arial" w:cs="Arial" w:eastAsia="Arial" w:hAnsi="Arial"/>
                <w:sz w:val="16"/>
                <w:szCs w:val="16"/>
                <w:b w:val="1"/>
                <w:bCs w:val="1"/>
                <w:color w:val="auto"/>
                <w:w w:val="87"/>
              </w:rPr>
              <w:t>Adjusted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(Non-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Adjusted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(GAAP)</w:t>
            </w: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6"/>
                <w:szCs w:val="16"/>
                <w:b w:val="1"/>
                <w:bCs w:val="1"/>
                <w:color w:val="auto"/>
              </w:rPr>
              <w:t>SBC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GAAP)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(GAAP)</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SBC</w:t>
            </w: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(Non-GAAP)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(GAAP)</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SBC</w:t>
            </w:r>
          </w:p>
        </w:tc>
        <w:tc>
          <w:tcPr>
            <w:tcW w:w="8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74"/>
              </w:rPr>
              <w:t>(in thousands)</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388,832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388,832</w:t>
            </w: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259,751</w:t>
            </w:r>
          </w:p>
        </w:tc>
        <w:tc>
          <w:tcPr>
            <w:tcW w:w="2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259,751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156,624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156,624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Cost of revenue</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(205,217)</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(204,697)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(144,895)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(144,498)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(87,025)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(86,850)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183,615</w:t>
            </w: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184,135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114,856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(39,889)</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(38,012)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(26,733)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(1,802)</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(24,931)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(1,199)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(15,574)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w w:val="92"/>
              </w:rPr>
              <w:t>Research and development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(62,226)</w:t>
            </w:r>
          </w:p>
        </w:tc>
        <w:tc>
          <w:tcPr>
            <w:tcW w:w="1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(2,565)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(59,661)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(34,207)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(1,115)</w:t>
            </w: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(33,092)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(19,119)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(18,356)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5"/>
              </w:rPr>
              <w:t>General and administrative</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(22,465)</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(15,214)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(1,803)</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(13,411)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(12,215)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(8,724)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9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80" w:type="dxa"/>
            <w:vAlign w:val="bottom"/>
          </w:tcPr>
          <w:p>
            <w:pPr>
              <w:spacing w:after="0"/>
              <w:rPr>
                <w:sz w:val="20"/>
                <w:szCs w:val="20"/>
                <w:color w:val="auto"/>
              </w:rPr>
            </w:pPr>
            <w:r>
              <w:rPr>
                <w:rFonts w:ascii="Arial" w:cs="Arial" w:eastAsia="Arial" w:hAnsi="Arial"/>
                <w:sz w:val="16"/>
                <w:szCs w:val="16"/>
                <w:color w:val="auto"/>
                <w:w w:val="91"/>
              </w:rPr>
              <w:t>Income (loss) from operations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59,035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(7,730)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66,765</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38,702</w:t>
            </w:r>
          </w:p>
        </w:tc>
        <w:tc>
          <w:tcPr>
            <w:tcW w:w="24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(5,117)</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43,819</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21,492</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(5,628)</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27,120</w:t>
            </w: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22"/>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88" w:name="page89"/>
    <w:bookmarkEnd w:id="8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Adjusted operating income for the year ended December 31, 2022, as compared with the year ended December 31, 2021, increased due to a $20.3 million increase in income from operations partially offset by a $2.6 million increase in stock-based compensation expense. Adjusted operating income for the year ended December 31, 2021, as compared to December 31, 2020 reflected an increase in operating income of $17.2 million and a decrease in stock-based compensation of $0.5 million.</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0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00" w:lineRule="exact"/>
        <w:rPr>
          <w:sz w:val="20"/>
          <w:szCs w:val="20"/>
          <w:color w:val="auto"/>
        </w:rPr>
      </w:pPr>
    </w:p>
    <w:p>
      <w:pPr>
        <w:jc w:val="both"/>
        <w:ind w:right="20"/>
        <w:spacing w:after="0" w:line="291" w:lineRule="auto"/>
        <w:rPr>
          <w:sz w:val="20"/>
          <w:szCs w:val="20"/>
          <w:color w:val="auto"/>
        </w:rPr>
      </w:pPr>
      <w:r>
        <w:rPr>
          <w:rFonts w:ascii="Arial" w:cs="Arial" w:eastAsia="Arial" w:hAnsi="Arial"/>
          <w:sz w:val="14"/>
          <w:szCs w:val="14"/>
          <w:color w:val="auto"/>
        </w:rPr>
        <w:t xml:space="preserve">Our consolidated financial statements are presented in U.S. dollars, which is our reporting currency, while the functional currency of our subsidiaries in the PRC is RMB, and the functional currency of our subsidiary in South Korea is the South Korean Won, or the KRW.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ASC Topic 830, </w:t>
      </w:r>
      <w:r>
        <w:rPr>
          <w:rFonts w:ascii="Arial" w:cs="Arial" w:eastAsia="Arial" w:hAnsi="Arial"/>
          <w:sz w:val="14"/>
          <w:szCs w:val="14"/>
          <w:i w:val="1"/>
          <w:iCs w:val="1"/>
          <w:color w:val="auto"/>
        </w:rPr>
        <w:t>Foreign Currency Matters</w:t>
      </w:r>
      <w:r>
        <w:rPr>
          <w:rFonts w:ascii="Arial" w:cs="Arial" w:eastAsia="Arial" w:hAnsi="Arial"/>
          <w:sz w:val="14"/>
          <w:szCs w:val="14"/>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majority of our business is conducted through our ACM Shanghai subsidiary that manufactures and sells our products in various global markets, and we also have operations in South Korea, the Taiwan Region, the United States, and other countries. We sell the majority of our products in transactions denominated in U.S. dollars; however, we purchase raw materials, pay wages, and make payments to our supply chain in foreign currencies, primarily RMB, and also the KRW. As a result, our earnings, cash flows and cash balances are exposed to fluctuations in foreign currency exchange rates. For example, because of our significant manufacturing operations in the PRC, a weakening RMB is advantageous and a strengthening RMB is disadvantageous to our financial results. At this time, we have not established a formal hedging policy to attempt to reduce the inherent risks of potential currency fluctuations on our global operations. We report the impact of foreign exchange fluctuations in the other income (expense) line item of our Consolidated Statements of Operations and Comprehensive Income statements. For 2022, 2021 and 2020, the effect of fluctuations of foreign currencies contributed realized gains (losses) of $1.7 million, ($0.6 million) and ($4.4 million), respectively.</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0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As of December 31, 2022, 2021 and 2020, the balance of our short term bank borrowings (see note 9 in the Notes to Consolidated Financial Statements included herein under “Item 8. Financial Statements and Supplementary Data.”), mature at various dates within the following year and do not expose us to interest rate risk. As of December 31, 2022, the balance of our long-term borrowings (see note 12 in the Notes to Consolidated Financial Statements included herein under “Item 8. Financial Statements and Supplementary Data.”) carries a fixed interest rated and we may be exposed to fair value interest rate risk.</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We have implemented policies and procedures to measure, manage, monitor and report risk exposures, which are reviewed regularly by management and the board of directors.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We identify risk exposures and monitor and manage such risks on an ongoing basis.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Financial Statements and Supplementary Data</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07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spacing w:after="0" w:line="160" w:lineRule="exact"/>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6"/>
                <w:szCs w:val="16"/>
                <w:color w:val="auto"/>
              </w:rPr>
              <w:t>Consolidated Financial Statements</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6"/>
                <w:szCs w:val="16"/>
                <w:color w:val="auto"/>
              </w:rPr>
              <w:t>Report of Independent Registered Public Accounting Firm (Armanino LLP, San Ramon, California, PCAOB ID#32)</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6"/>
                <w:szCs w:val="16"/>
                <w:color w:val="auto"/>
                <w:w w:val="97"/>
              </w:rPr>
              <w:t>Report of Independent Registered Public Accounting Firm (BDO China Shu Lun Pan Certified Public Accountants LLP, Shenzhen, China, PCAOB ID#1818)</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6"/>
                <w:szCs w:val="16"/>
                <w:color w:val="auto"/>
              </w:rPr>
              <w:t>Consolidated Balance Sheets as of December 31, 2022 and 2021</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Statements of Operations and Comprehensive Income (Loss) for the Years ended December 31, 2022, 2021 and 2020</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Statements of Changes in Stockholders’ Equity for the Years ended December 31, 2022, 2021 and 2020</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Statements of Cash Flows for the Years ended December 31, 2022, 2021 and 2020</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0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6"/>
                <w:szCs w:val="16"/>
                <w:color w:val="auto"/>
              </w:rPr>
              <w:t>Notes to Consolidated Financial Statements</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01"/>
        </w:trPr>
        <w:tc>
          <w:tcPr>
            <w:tcW w:w="10740" w:type="dxa"/>
            <w:vAlign w:val="bottom"/>
            <w:gridSpan w:val="2"/>
          </w:tcPr>
          <w:p>
            <w:pPr>
              <w:jc w:val="right"/>
              <w:ind w:right="4981"/>
              <w:spacing w:after="0"/>
              <w:rPr>
                <w:sz w:val="20"/>
                <w:szCs w:val="20"/>
                <w:color w:val="auto"/>
              </w:rPr>
            </w:pPr>
            <w:r>
              <w:rPr>
                <w:rFonts w:ascii="Arial" w:cs="Arial" w:eastAsia="Arial" w:hAnsi="Arial"/>
                <w:sz w:val="13"/>
                <w:szCs w:val="13"/>
                <w:color w:val="auto"/>
              </w:rPr>
              <w:t>90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90" w:name="page91"/>
    <w:bookmarkEnd w:id="9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ACM Research, Inc.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audited the accompanying consolidated balance sheet of ACM Research, Inc. and subsidiaries (the Company) as of December 31, 2022, and the related consolidated statements of operations and comprehensive income (loss), changes in stockholders’ equity, and cash flows for the year ended December 31, 2022,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17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and our report dated March 1, 2023, expressed an adverse opinion thereon.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As described in Notes 2 and 3 to the consolidated financial statements, the Company derives revenue principally from the sale of semiconductor equipment. Revenue from the sale of semiconductor equipment is recognized when the Company satisfies performance obligations by transferring the control over products promised in the contract with customer, which is the point in time when the equipment has been demonstrated to meet the customer’s predetermined specifications and is accepted by the customer. For repeat orders, the Company recognizes revenue upon shipment or delivery, and when legal title to the semiconductor equipment is passed to a customer. For first tool orders, the Company recognizes revenue upon customer acceptance. These revenue contracts contain multiple performance obligations, such as delivery of goods, installation, training and software updates. Once these performance obligations are identified, the total contract consideration, including offer of free goods that can be used towards future purchases, is allocated to the performance obligations.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1" w:name="page92"/>
    <w:bookmarkEnd w:id="91"/>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We identified the evaluation of performance obligations and the timing of revenue recognition of those performance obligations as a critical audit matter because the Company’s revenue contracts have a variety of specifications, payment terms and customer acceptance clauses. Significant judgement is applied by the Company regarding the identified performance obligations in distinguishing the contract consideration of the systems to be delivered. Auditing the allocation of the total contract consideration to these performance obligations and evaluating customer acceptance clauses involves especially challenging auditor judgment in evaluating the appropriateness of the Company’s revenue recognition of various contracts.</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The primary procedures we performed to address this critical audit matter included:</w:t>
      </w:r>
    </w:p>
    <w:p>
      <w:pPr>
        <w:spacing w:after="0" w:line="17" w:lineRule="exact"/>
        <w:rPr>
          <w:sz w:val="20"/>
          <w:szCs w:val="20"/>
          <w:color w:val="auto"/>
        </w:rPr>
      </w:pPr>
    </w:p>
    <w:p>
      <w:pPr>
        <w:jc w:val="both"/>
        <w:ind w:left="365" w:hanging="365"/>
        <w:spacing w:after="0" w:line="247" w:lineRule="auto"/>
        <w:tabs>
          <w:tab w:leader="none" w:pos="3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Tested the design and operating effectiveness of controls over revenue recognition including management’s controls related to the identification and evaluation of performance obligations in contracts with customers and the allocation of the total contract consideration to these performance obligations, and assessment of contract terms</w:t>
      </w:r>
    </w:p>
    <w:p>
      <w:pPr>
        <w:spacing w:after="0" w:line="1" w:lineRule="exact"/>
        <w:rPr>
          <w:rFonts w:ascii="Arial" w:cs="Arial" w:eastAsia="Arial" w:hAnsi="Arial"/>
          <w:sz w:val="16"/>
          <w:szCs w:val="16"/>
          <w:color w:val="auto"/>
        </w:rPr>
      </w:pPr>
    </w:p>
    <w:p>
      <w:pPr>
        <w:ind w:left="365" w:hanging="365"/>
        <w:spacing w:after="0" w:line="247" w:lineRule="auto"/>
        <w:tabs>
          <w:tab w:leader="none" w:pos="3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Evaluated management’s accounting policies and practices including the reasonableness of management’s judgments and assumptions relating to the timing of revenue recognition of those performance obligations including evaluation of customer acceptance clauses</w:t>
      </w:r>
    </w:p>
    <w:p>
      <w:pPr>
        <w:spacing w:after="0" w:line="1" w:lineRule="exact"/>
        <w:rPr>
          <w:rFonts w:ascii="Arial" w:cs="Arial" w:eastAsia="Arial" w:hAnsi="Arial"/>
          <w:sz w:val="16"/>
          <w:szCs w:val="16"/>
          <w:color w:val="auto"/>
        </w:rPr>
      </w:pPr>
    </w:p>
    <w:p>
      <w:pPr>
        <w:ind w:left="365" w:hanging="365"/>
        <w:spacing w:after="0"/>
        <w:tabs>
          <w:tab w:leader="none" w:pos="3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Tested a sample of revenue contracts and underlying support documents to evaluate appropriateness of management’s revenue recognition</w:t>
      </w:r>
    </w:p>
    <w:p>
      <w:pPr>
        <w:spacing w:after="0" w:line="6" w:lineRule="exact"/>
        <w:rPr>
          <w:rFonts w:ascii="Arial" w:cs="Arial" w:eastAsia="Arial" w:hAnsi="Arial"/>
          <w:sz w:val="16"/>
          <w:szCs w:val="16"/>
          <w:color w:val="auto"/>
        </w:rPr>
      </w:pPr>
    </w:p>
    <w:p>
      <w:pPr>
        <w:ind w:left="365" w:hanging="365"/>
        <w:spacing w:after="0"/>
        <w:tabs>
          <w:tab w:leader="none" w:pos="3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Tested the completeness and accuracy of management’s calculation of revenue and associated timing of revenue recognized</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Valuation of Inventories</w:t>
      </w:r>
    </w:p>
    <w:p>
      <w:pPr>
        <w:spacing w:after="0" w:line="196" w:lineRule="exact"/>
        <w:rPr>
          <w:sz w:val="20"/>
          <w:szCs w:val="20"/>
          <w:color w:val="auto"/>
        </w:rPr>
      </w:pPr>
    </w:p>
    <w:p>
      <w:pPr>
        <w:jc w:val="both"/>
        <w:ind w:left="5" w:right="20"/>
        <w:spacing w:after="0" w:line="251" w:lineRule="auto"/>
        <w:rPr>
          <w:sz w:val="20"/>
          <w:szCs w:val="20"/>
          <w:color w:val="auto"/>
        </w:rPr>
      </w:pPr>
      <w:r>
        <w:rPr>
          <w:rFonts w:ascii="Arial" w:cs="Arial" w:eastAsia="Arial" w:hAnsi="Arial"/>
          <w:sz w:val="16"/>
          <w:szCs w:val="16"/>
          <w:color w:val="auto"/>
        </w:rPr>
        <w:t>As discussed in Notes 2 and 5 to the consolidated financial statements, the Company records inventory at the lower of cost or net realizable value. Obsolete inventory or inventory in excess of management’s estimated usage requirement is written down to its estimated net realizable value based upon assumptions about future demand and market conditions. If actual demand were to be substantially lower than estimated, there could be a significant adverse impact on the carrying value of inventories and results of operations.</w:t>
      </w:r>
    </w:p>
    <w:p>
      <w:pPr>
        <w:spacing w:after="0" w:line="1"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color w:val="auto"/>
        </w:rPr>
        <w:t>We identified the evaluation of net realizable value write down adjustments to certain inventories for excess or obsolescence as a critical audit matter. Auditing management’s estimates for excess and obsolete inventory involved subjective auditor judgment because management’s assessment of whether a write down is required, and the measurement of any excess of cost over net realizable value, is judgmental and considers a number of qualitative factors that are affected by market and economic conditions outside the Company’s control.</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The primary procedures we performed to address this critical audit matter included:</w:t>
      </w:r>
    </w:p>
    <w:p>
      <w:pPr>
        <w:spacing w:after="0" w:line="17" w:lineRule="exact"/>
        <w:rPr>
          <w:sz w:val="20"/>
          <w:szCs w:val="20"/>
          <w:color w:val="auto"/>
        </w:rPr>
      </w:pPr>
    </w:p>
    <w:p>
      <w:pPr>
        <w:ind w:left="425" w:right="20" w:hanging="425"/>
        <w:spacing w:after="0" w:line="247" w:lineRule="auto"/>
        <w:tabs>
          <w:tab w:leader="none" w:pos="4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Tested the design and operating effectiveness of internal controls over management’s assessment of inventory valuation, including the development of management’s assumptions related to future demand and market condition</w:t>
      </w:r>
    </w:p>
    <w:p>
      <w:pPr>
        <w:spacing w:after="0" w:line="1" w:lineRule="exact"/>
        <w:rPr>
          <w:rFonts w:ascii="Arial" w:cs="Arial" w:eastAsia="Arial" w:hAnsi="Arial"/>
          <w:sz w:val="16"/>
          <w:szCs w:val="16"/>
          <w:color w:val="auto"/>
        </w:rPr>
      </w:pPr>
    </w:p>
    <w:p>
      <w:pPr>
        <w:ind w:left="425" w:right="20" w:hanging="425"/>
        <w:spacing w:after="0" w:line="264" w:lineRule="auto"/>
        <w:tabs>
          <w:tab w:leader="none" w:pos="425" w:val="left"/>
        </w:tabs>
        <w:numPr>
          <w:ilvl w:val="0"/>
          <w:numId w:val="77"/>
        </w:numPr>
        <w:rPr>
          <w:rFonts w:ascii="Arial" w:cs="Arial" w:eastAsia="Arial" w:hAnsi="Arial"/>
          <w:sz w:val="15"/>
          <w:szCs w:val="15"/>
          <w:color w:val="auto"/>
        </w:rPr>
      </w:pPr>
      <w:r>
        <w:rPr>
          <w:rFonts w:ascii="Arial" w:cs="Arial" w:eastAsia="Arial" w:hAnsi="Arial"/>
          <w:sz w:val="15"/>
          <w:szCs w:val="15"/>
          <w:color w:val="auto"/>
        </w:rPr>
        <w:t>Evaluated the significant assumptions (e.g., forecasts related to the Company’s future manufacturing schedules, customer demand, technological and/or market obsolescence, and possible alternative uses) and the underlying data used in management’s excess and obsolete inventory valuation assessment</w:t>
      </w:r>
    </w:p>
    <w:p>
      <w:pPr>
        <w:ind w:left="425" w:right="20" w:hanging="425"/>
        <w:spacing w:after="0" w:line="247" w:lineRule="auto"/>
        <w:tabs>
          <w:tab w:leader="none" w:pos="4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Evaluated certain inventories for excess or obsolescence by comparing the Company’s sales and inventory consumption forecast to historical sales, historical inventory usage and known customer orders</w:t>
      </w:r>
    </w:p>
    <w:p>
      <w:pPr>
        <w:spacing w:after="0" w:line="1" w:lineRule="exact"/>
        <w:rPr>
          <w:rFonts w:ascii="Arial" w:cs="Arial" w:eastAsia="Arial" w:hAnsi="Arial"/>
          <w:sz w:val="16"/>
          <w:szCs w:val="16"/>
          <w:color w:val="auto"/>
        </w:rPr>
      </w:pPr>
    </w:p>
    <w:p>
      <w:pPr>
        <w:ind w:left="425" w:hanging="425"/>
        <w:spacing w:after="0"/>
        <w:tabs>
          <w:tab w:leader="none" w:pos="425" w:val="left"/>
        </w:tabs>
        <w:numPr>
          <w:ilvl w:val="0"/>
          <w:numId w:val="77"/>
        </w:numPr>
        <w:rPr>
          <w:rFonts w:ascii="Arial" w:cs="Arial" w:eastAsia="Arial" w:hAnsi="Arial"/>
          <w:sz w:val="14"/>
          <w:szCs w:val="14"/>
          <w:color w:val="auto"/>
        </w:rPr>
      </w:pPr>
      <w:r>
        <w:rPr>
          <w:rFonts w:ascii="Arial" w:cs="Arial" w:eastAsia="Arial" w:hAnsi="Arial"/>
          <w:sz w:val="14"/>
          <w:szCs w:val="14"/>
          <w:color w:val="auto"/>
        </w:rPr>
        <w:t>Tested the completeness and accuracy of underlying data used in calculating the inventory valuation assessment related to the provisions for excess or obsolescence</w:t>
      </w:r>
    </w:p>
    <w:p>
      <w:pPr>
        <w:spacing w:after="0" w:line="204" w:lineRule="exact"/>
        <w:rPr>
          <w:sz w:val="20"/>
          <w:szCs w:val="20"/>
          <w:color w:val="auto"/>
        </w:rPr>
      </w:pPr>
    </w:p>
    <w:p>
      <w:pPr>
        <w:jc w:val="both"/>
        <w:ind w:left="5" w:right="20"/>
        <w:spacing w:after="0" w:line="275" w:lineRule="auto"/>
        <w:rPr>
          <w:sz w:val="20"/>
          <w:szCs w:val="20"/>
          <w:color w:val="auto"/>
        </w:rPr>
      </w:pPr>
      <w:r>
        <w:rPr>
          <w:rFonts w:ascii="Arial" w:cs="Arial" w:eastAsia="Arial" w:hAnsi="Arial"/>
          <w:sz w:val="16"/>
          <w:szCs w:val="16"/>
          <w:b w:val="1"/>
          <w:bCs w:val="1"/>
          <w:color w:val="auto"/>
        </w:rPr>
        <w:t>Impact on Consolidated Financial Statements of Material Weaknesses in Internal Control Over Reporting - Refer to Management’s Report on Internal Control Over Financial Reporting</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Critical Audit Matter Description</w:t>
      </w:r>
    </w:p>
    <w:p>
      <w:pPr>
        <w:spacing w:after="0" w:line="196"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 xml:space="preserve">As discussed in Management’s Report on Internal Control Over Financial Reporting, the Company identified material weaknesses in certain components of the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w:t>
      </w:r>
      <w:r>
        <w:rPr>
          <w:rFonts w:ascii="Arial" w:cs="Arial" w:eastAsia="Arial" w:hAnsi="Arial"/>
          <w:sz w:val="16"/>
          <w:szCs w:val="16"/>
          <w:color w:val="auto"/>
        </w:rPr>
        <w:t>Framework (2013) issued by COSO. These material weaknesses contribute to the potential for there to have been material accounting errors in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 account balances and disclosures, and result in a critical audit matter that required us to increase the extent of our audit effort, including the need to modify the nature, timing, and extent of our audit procedures.</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How the Critical Audit Matter Was Addressed in the Audit</w:t>
      </w:r>
    </w:p>
    <w:p>
      <w:pPr>
        <w:spacing w:after="0" w:line="196"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As a result of the material weaknesses, in performing our audit procedures we lowered the threshold for investigating differences between recorded amounts and independent expectations developed by us that we would have otherwise used, and increased the number of selections we would have otherwise made if the Company’s controls were designed and operating effectively.</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6"/>
          <w:szCs w:val="16"/>
          <w:color w:val="auto"/>
        </w:rPr>
        <w:t>Armanino LLP</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have served as the Company’s auditor since 2022.</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6"/>
          <w:szCs w:val="16"/>
          <w:color w:val="auto"/>
        </w:rPr>
        <w:t>San Ramon, California</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March 1, 2023</w:t>
      </w:r>
    </w:p>
    <w:p>
      <w:pPr>
        <w:spacing w:after="0" w:line="35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92" w:name="page93"/>
    <w:bookmarkEnd w:id="92"/>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REPORT OF INDEPENDENT REGISTERED PUBLIC ACCOUNTING FIRM</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the Board of Directors and</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6"/>
          <w:szCs w:val="16"/>
          <w:color w:val="auto"/>
        </w:rPr>
        <w:t>Stockholders of ACM Research, Inc.</w:t>
      </w:r>
    </w:p>
    <w:p>
      <w:pPr>
        <w:spacing w:after="0" w:line="18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Adverse Opinion on Internal Control over Financial Reporting</w:t>
      </w:r>
    </w:p>
    <w:p>
      <w:pPr>
        <w:spacing w:after="0" w:line="200" w:lineRule="exact"/>
        <w:rPr>
          <w:sz w:val="20"/>
          <w:szCs w:val="20"/>
          <w:color w:val="auto"/>
        </w:rPr>
      </w:pPr>
    </w:p>
    <w:p>
      <w:pPr>
        <w:jc w:val="both"/>
        <w:ind w:left="5" w:right="20"/>
        <w:spacing w:after="0" w:line="303" w:lineRule="auto"/>
        <w:rPr>
          <w:sz w:val="20"/>
          <w:szCs w:val="20"/>
          <w:color w:val="auto"/>
        </w:rPr>
      </w:pPr>
      <w:r>
        <w:rPr>
          <w:rFonts w:ascii="Arial" w:cs="Arial" w:eastAsia="Arial" w:hAnsi="Arial"/>
          <w:sz w:val="14"/>
          <w:szCs w:val="14"/>
          <w:color w:val="auto"/>
        </w:rPr>
        <w:t xml:space="preserve">We have audited ACM Research, Inc. and subsidiaries’ (the Company’s) internal control over financial reporting as of December 31, 2022, based on criteria established in </w:t>
      </w:r>
      <w:r>
        <w:rPr>
          <w:rFonts w:ascii="Arial" w:cs="Arial" w:eastAsia="Arial" w:hAnsi="Arial"/>
          <w:sz w:val="14"/>
          <w:szCs w:val="14"/>
          <w:i w:val="1"/>
          <w:iCs w:val="1"/>
          <w:color w:val="auto"/>
        </w:rPr>
        <w:t xml:space="preserve">Internal Control—Integrated Framework (2013) </w:t>
      </w:r>
      <w:r>
        <w:rPr>
          <w:rFonts w:ascii="Arial" w:cs="Arial" w:eastAsia="Arial" w:hAnsi="Arial"/>
          <w:sz w:val="14"/>
          <w:szCs w:val="14"/>
          <w:color w:val="auto"/>
        </w:rPr>
        <w:t>issued by the Committee of Sponsoring Organizations of the Treadway Commission (COSO). In our opinion, because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effect of the material weaknesses described in the following paragraphs on the achievement of the objectives of the control criteria, the Company has not maintained effective internal control over financial reporting as of December 31, 2022, based on criteria established in </w:t>
      </w:r>
      <w:r>
        <w:rPr>
          <w:rFonts w:ascii="Arial" w:cs="Arial" w:eastAsia="Arial" w:hAnsi="Arial"/>
          <w:sz w:val="14"/>
          <w:szCs w:val="14"/>
          <w:i w:val="1"/>
          <w:iCs w:val="1"/>
          <w:color w:val="auto"/>
        </w:rPr>
        <w:t>Internal Control—Integrated Framework (2013)</w:t>
      </w:r>
      <w:r>
        <w:rPr>
          <w:rFonts w:ascii="Arial" w:cs="Arial" w:eastAsia="Arial" w:hAnsi="Arial"/>
          <w:sz w:val="14"/>
          <w:szCs w:val="14"/>
          <w:color w:val="auto"/>
        </w:rPr>
        <w:t xml:space="preserve"> issued by COSO.</w:t>
      </w:r>
    </w:p>
    <w:p>
      <w:pPr>
        <w:spacing w:after="0" w:line="137"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A material weakness is a control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67"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The Company did not design and maintain effective internal control over financial reporting based on the criteria established in the COSO framework. Specifically, control deficiencies constituted material weaknesses, either individually or in the aggregate, related to:</w:t>
      </w:r>
    </w:p>
    <w:p>
      <w:pPr>
        <w:spacing w:after="0" w:line="156" w:lineRule="exact"/>
        <w:rPr>
          <w:sz w:val="20"/>
          <w:szCs w:val="20"/>
          <w:color w:val="auto"/>
        </w:rPr>
      </w:pPr>
    </w:p>
    <w:p>
      <w:pPr>
        <w:jc w:val="both"/>
        <w:ind w:left="285" w:right="20" w:hanging="285"/>
        <w:spacing w:after="0" w:line="258" w:lineRule="auto"/>
        <w:tabs>
          <w:tab w:leader="none" w:pos="2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risk assessment procedures and monitoring activities, including insufficient identification and assessment of risks impacting the design, implementation, and operating effectiveness of internal control over financial reporting, and insufficient evaluation and determination as to whether the components of internal control were present and functioning.</w:t>
      </w:r>
    </w:p>
    <w:p>
      <w:pPr>
        <w:spacing w:after="0" w:line="166" w:lineRule="exact"/>
        <w:rPr>
          <w:rFonts w:ascii="Arial" w:cs="Arial" w:eastAsia="Arial" w:hAnsi="Arial"/>
          <w:sz w:val="16"/>
          <w:szCs w:val="16"/>
          <w:color w:val="auto"/>
        </w:rPr>
      </w:pPr>
    </w:p>
    <w:p>
      <w:pPr>
        <w:jc w:val="both"/>
        <w:ind w:left="285" w:hanging="285"/>
        <w:spacing w:after="0" w:line="255" w:lineRule="auto"/>
        <w:tabs>
          <w:tab w:leader="none" w:pos="2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information technology controls related to: (i) user access controls to ensure appropriate segregation of duties and adequately restrict user and privileged access to financial applications, programs, and data to appropriate Company personnel; (ii) computer operations controls to ensure that critical information is monitored, and data backups are authorized and monitored; (iii) appropriate controls to evaluate automated controls; and (iv) appropriate controls to validate the completeness and accuracy of key reports used within controls across substantially all financial statement areas.</w:t>
      </w:r>
    </w:p>
    <w:p>
      <w:pPr>
        <w:spacing w:after="0" w:line="168" w:lineRule="exact"/>
        <w:rPr>
          <w:sz w:val="20"/>
          <w:szCs w:val="20"/>
          <w:color w:val="auto"/>
        </w:rPr>
      </w:pPr>
    </w:p>
    <w:p>
      <w:pPr>
        <w:jc w:val="both"/>
        <w:ind w:left="5" w:right="20"/>
        <w:spacing w:after="0" w:line="303" w:lineRule="auto"/>
        <w:rPr>
          <w:sz w:val="20"/>
          <w:szCs w:val="20"/>
          <w:color w:val="auto"/>
        </w:rPr>
      </w:pPr>
      <w:r>
        <w:rPr>
          <w:rFonts w:ascii="Arial" w:cs="Arial" w:eastAsia="Arial" w:hAnsi="Arial"/>
          <w:sz w:val="14"/>
          <w:szCs w:val="14"/>
          <w:color w:val="auto"/>
        </w:rPr>
        <w:t>These material weaknesses were considered in determining the nature, timing, and extent of audit tests applied in our audit of the 2022 consolidated financial statements, and this report does not affect our report dated March 1, 2023, on those consolidated financial statements. We also have audited, in accordance with the standards of the Public Company Accounting Oversight Board (United States) (PCAOB), the consolidated balance sheet and the related consolidated statements of operations and comprehensive income (loss), changes in stockholders’ equity, and cash flows of the Company, and our report dated March 1, 2023, expressed an unqualified opinion thereon.</w:t>
      </w:r>
    </w:p>
    <w:p>
      <w:pPr>
        <w:spacing w:after="0" w:line="13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Basis for Opinion</w:t>
      </w:r>
    </w:p>
    <w:p>
      <w:pPr>
        <w:spacing w:after="0" w:line="200" w:lineRule="exact"/>
        <w:rPr>
          <w:sz w:val="20"/>
          <w:szCs w:val="20"/>
          <w:color w:val="auto"/>
        </w:rPr>
      </w:pPr>
    </w:p>
    <w:p>
      <w:pPr>
        <w:jc w:val="both"/>
        <w:ind w:left="5"/>
        <w:spacing w:after="0" w:line="303"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ind w:left="5" w:right="20"/>
        <w:spacing w:after="0" w:line="25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3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93" w:name="page94"/>
    <w:bookmarkEnd w:id="9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5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Armanino LLP</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San Ramon, California</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95885</wp:posOffset>
            </wp:positionV>
            <wp:extent cx="4479290" cy="459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79290"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ACM Research, Inc.</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Fremont, California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have audited the accompanying consolidated balance sheet of ACM Research, Inc. and subsidiaries (the “Company”) as of December 31, 2021, the related consolidated statements of operations and comprehensive income, changes in stockholders’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the results of its operations and its cash flows for each of the two years in the period ended December 31, 2021</w:t>
      </w:r>
      <w:r>
        <w:rPr>
          <w:rFonts w:ascii="Arial" w:cs="Arial" w:eastAsia="Arial" w:hAnsi="Arial"/>
          <w:sz w:val="15"/>
          <w:szCs w:val="15"/>
          <w:b w:val="1"/>
          <w:bCs w:val="1"/>
          <w:color w:val="auto"/>
        </w:rPr>
        <w:t>,</w:t>
      </w:r>
      <w:r>
        <w:rPr>
          <w:rFonts w:ascii="Arial" w:cs="Arial" w:eastAsia="Arial" w:hAnsi="Arial"/>
          <w:sz w:val="15"/>
          <w:szCs w:val="15"/>
          <w:color w:val="auto"/>
        </w:rPr>
        <w:t xml:space="preserve"> in conformity with accounting principles generally accepted in the United States of America.</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0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BDO China Shu Lun Pan Certified Public Accountants LLP</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We served as the Company’s auditor from 2015 to 2022.</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19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March 1, 2022, except for the effects of the common stock split discussed in Notes 1 and 2 to the consolidated financial statements, as to which the date is March 1, 2023.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49"/>
        </w:trPr>
        <w:tc>
          <w:tcPr>
            <w:tcW w:w="342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5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5340" w:type="dxa"/>
            <w:vAlign w:val="bottom"/>
            <w:gridSpan w:val="2"/>
          </w:tcPr>
          <w:p>
            <w:pPr>
              <w:jc w:val="right"/>
              <w:ind w:right="2207"/>
              <w:spacing w:after="0"/>
              <w:rPr>
                <w:sz w:val="20"/>
                <w:szCs w:val="20"/>
                <w:color w:val="auto"/>
              </w:rPr>
            </w:pPr>
            <w:r>
              <w:rPr>
                <w:rFonts w:ascii="Arial" w:cs="Arial" w:eastAsia="Arial" w:hAnsi="Arial"/>
                <w:sz w:val="16"/>
                <w:szCs w:val="16"/>
                <w:b w:val="1"/>
                <w:bCs w:val="1"/>
                <w:color w:val="auto"/>
              </w:rPr>
              <w:t>ACM RESEARCH, INC.</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340" w:type="dxa"/>
            <w:vAlign w:val="bottom"/>
            <w:gridSpan w:val="2"/>
          </w:tcPr>
          <w:p>
            <w:pPr>
              <w:jc w:val="right"/>
              <w:ind w:right="2087"/>
              <w:spacing w:after="0"/>
              <w:rPr>
                <w:sz w:val="20"/>
                <w:szCs w:val="20"/>
                <w:color w:val="auto"/>
              </w:rPr>
            </w:pPr>
            <w:r>
              <w:rPr>
                <w:rFonts w:ascii="Arial" w:cs="Arial" w:eastAsia="Arial" w:hAnsi="Arial"/>
                <w:sz w:val="16"/>
                <w:szCs w:val="16"/>
                <w:b w:val="1"/>
                <w:bCs w:val="1"/>
                <w:color w:val="auto"/>
              </w:rPr>
              <w:t>Consolidated Balance Sheets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40" w:type="dxa"/>
            <w:vAlign w:val="bottom"/>
            <w:gridSpan w:val="2"/>
          </w:tcPr>
          <w:p>
            <w:pPr>
              <w:jc w:val="right"/>
              <w:ind w:right="1947"/>
              <w:spacing w:after="0"/>
              <w:rPr>
                <w:sz w:val="20"/>
                <w:szCs w:val="20"/>
                <w:color w:val="auto"/>
              </w:rPr>
            </w:pPr>
            <w:r>
              <w:rPr>
                <w:rFonts w:ascii="Arial" w:cs="Arial" w:eastAsia="Arial" w:hAnsi="Arial"/>
                <w:sz w:val="16"/>
                <w:szCs w:val="16"/>
                <w:i w:val="1"/>
                <w:iCs w:val="1"/>
                <w:color w:val="auto"/>
              </w:rPr>
              <w:t>(In thousands, except per share data)</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gridSpan w:val="3"/>
            <w:vMerge w:val="restart"/>
          </w:tcPr>
          <w:p>
            <w:pPr>
              <w:spacing w:after="0"/>
              <w:rPr>
                <w:sz w:val="20"/>
                <w:szCs w:val="20"/>
                <w:color w:val="auto"/>
              </w:rPr>
            </w:pPr>
            <w:r>
              <w:rPr>
                <w:rFonts w:ascii="Arial" w:cs="Arial" w:eastAsia="Arial" w:hAnsi="Arial"/>
                <w:sz w:val="16"/>
                <w:szCs w:val="16"/>
                <w:color w:val="auto"/>
              </w:rPr>
              <w:t>Current assets:</w:t>
            </w:r>
          </w:p>
        </w:tc>
        <w:tc>
          <w:tcPr>
            <w:tcW w:w="5260" w:type="dxa"/>
            <w:vAlign w:val="bottom"/>
          </w:tcPr>
          <w:p>
            <w:pPr>
              <w:jc w:val="right"/>
              <w:ind w:right="4121"/>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20" w:type="dxa"/>
            <w:vAlign w:val="bottom"/>
            <w:gridSpan w:val="3"/>
            <w:vMerge w:val="continue"/>
          </w:tcPr>
          <w:p>
            <w:pPr>
              <w:spacing w:after="0"/>
              <w:rPr>
                <w:sz w:val="16"/>
                <w:szCs w:val="16"/>
                <w:color w:val="auto"/>
              </w:rPr>
            </w:pP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247,951</w:t>
            </w: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562,548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Restricted cash</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time deposits (note 2)</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Trading securities (note 16)</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29,498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 (note 4)</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105,553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Income tax receivable</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Inventories (note 5)</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393,172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218,116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Advances to related party (note 17)</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Prepaid expenses</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14,256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current assets</w:t>
            </w:r>
          </w:p>
        </w:tc>
        <w:tc>
          <w:tcPr>
            <w:tcW w:w="52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963,806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952,934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Property, plant and equipment, net (note 6)</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82,875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14,042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 use right, net (note 7)</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w w:val="96"/>
              </w:rPr>
              <w:t>Operating lease right-of-use assets, net (note 11)</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4,182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Long-term time deposits (note 2)</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101,956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assets (note 20)</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Long-term investments (note 14)</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12,694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 (note 8)</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gridSpan w:val="2"/>
          </w:tcPr>
          <w:p>
            <w:pPr>
              <w:ind w:left="820"/>
              <w:spacing w:after="0"/>
              <w:rPr>
                <w:sz w:val="20"/>
                <w:szCs w:val="20"/>
                <w:color w:val="auto"/>
              </w:rPr>
            </w:pPr>
            <w:r>
              <w:rPr>
                <w:rFonts w:ascii="Arial" w:cs="Arial" w:eastAsia="Arial" w:hAnsi="Arial"/>
                <w:sz w:val="16"/>
                <w:szCs w:val="16"/>
                <w:b w:val="1"/>
                <w:bCs w:val="1"/>
                <w:color w:val="auto"/>
              </w:rPr>
              <w:t>Total assets</w:t>
            </w:r>
          </w:p>
        </w:tc>
        <w:tc>
          <w:tcPr>
            <w:tcW w:w="5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1,235,500</w:t>
            </w:r>
          </w:p>
        </w:tc>
        <w:tc>
          <w:tcPr>
            <w:tcW w:w="1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1,052,179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5260" w:type="dxa"/>
            <w:vAlign w:val="bottom"/>
            <w:shd w:val="clear" w:color="auto" w:fill="CCEEFF"/>
          </w:tcPr>
          <w:p>
            <w:pPr>
              <w:jc w:val="right"/>
              <w:ind w:right="3581"/>
              <w:spacing w:after="0"/>
              <w:rPr>
                <w:sz w:val="20"/>
                <w:szCs w:val="20"/>
                <w:color w:val="auto"/>
              </w:rPr>
            </w:pPr>
            <w:r>
              <w:rPr>
                <w:rFonts w:ascii="Arial" w:cs="Arial" w:eastAsia="Arial" w:hAnsi="Arial"/>
                <w:sz w:val="16"/>
                <w:szCs w:val="16"/>
                <w:b w:val="1"/>
                <w:bCs w:val="1"/>
                <w:color w:val="auto"/>
                <w:w w:val="98"/>
              </w:rPr>
              <w:t>Liabilities and Equity</w:t>
            </w: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borrowings (note 9)</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56,004</w:t>
            </w: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w w:val="97"/>
              </w:rPr>
              <w:t>Current portion of long-term borrowings (note 12)</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Related party accounts payable (note 17)</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101,735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93,451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Advances from customers</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153,773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52,824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Deferred revenue</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payable (note 20)</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FIN-48 payable (note 20)</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6,686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Other payables and accrued expenses (note 10)</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31,735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w w:val="94"/>
              </w:rPr>
              <w:t>Current portion of operating lease liability (note 11)</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jc w:val="center"/>
              <w:ind w:right="1081"/>
              <w:spacing w:after="0"/>
              <w:rPr>
                <w:sz w:val="20"/>
                <w:szCs w:val="20"/>
                <w:color w:val="auto"/>
              </w:rPr>
            </w:pPr>
            <w:r>
              <w:rPr>
                <w:rFonts w:ascii="Arial" w:cs="Arial" w:eastAsia="Arial" w:hAnsi="Arial"/>
                <w:sz w:val="16"/>
                <w:szCs w:val="16"/>
                <w:color w:val="auto"/>
                <w:w w:val="93"/>
              </w:rPr>
              <w:t>Total current liabilities</w:t>
            </w:r>
          </w:p>
        </w:tc>
        <w:tc>
          <w:tcPr>
            <w:tcW w:w="52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205,939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Long-term borrowings (note 12)</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22,957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operating lease liability (note 11)</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Deferred tax liability (note 20)</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jc w:val="center"/>
              <w:ind w:right="1041"/>
              <w:spacing w:after="0"/>
              <w:rPr>
                <w:sz w:val="20"/>
                <w:szCs w:val="20"/>
                <w:color w:val="auto"/>
              </w:rPr>
            </w:pPr>
            <w:r>
              <w:rPr>
                <w:rFonts w:ascii="Arial" w:cs="Arial" w:eastAsia="Arial" w:hAnsi="Arial"/>
                <w:sz w:val="16"/>
                <w:szCs w:val="16"/>
                <w:color w:val="auto"/>
                <w:w w:val="92"/>
              </w:rPr>
              <w:t>Other long-term liabilities (note 13)</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tcPr>
          <w:p>
            <w:pPr>
              <w:ind w:left="100"/>
              <w:spacing w:after="0"/>
              <w:rPr>
                <w:sz w:val="20"/>
                <w:szCs w:val="20"/>
                <w:color w:val="auto"/>
              </w:rPr>
            </w:pPr>
            <w:r>
              <w:rPr>
                <w:rFonts w:ascii="Arial" w:cs="Arial" w:eastAsia="Arial" w:hAnsi="Arial"/>
                <w:sz w:val="16"/>
                <w:szCs w:val="16"/>
                <w:b w:val="1"/>
                <w:bCs w:val="1"/>
                <w:color w:val="auto"/>
              </w:rPr>
              <w:t>Total liabilities</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423,329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240,514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(note 21)</w:t>
            </w:r>
          </w:p>
        </w:tc>
        <w:tc>
          <w:tcPr>
            <w:tcW w:w="52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Equity</w:t>
            </w:r>
            <w:r>
              <w:rPr>
                <w:rFonts w:ascii="Arial" w:cs="Arial" w:eastAsia="Arial" w:hAnsi="Arial"/>
                <w:sz w:val="16"/>
                <w:szCs w:val="16"/>
                <w:color w:val="auto"/>
              </w:rPr>
              <w:t>:</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Class A Common stock (1) (note 18)</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B Common stock (1) (note 18)</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604,089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595,045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94,426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63,732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Statutory surplus reserve (note 23)</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8,312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Accumulated other comprehensive income (loss)</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(40,546)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9,109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b w:val="1"/>
                <w:bCs w:val="1"/>
                <w:color w:val="auto"/>
                <w:w w:val="95"/>
              </w:rPr>
              <w:t>Total ACM Research, Inc. stockholders’ equity</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674,856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676,204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5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135,461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Total equity</w:t>
            </w: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812,171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811,665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liabilities and equity</w:t>
            </w:r>
          </w:p>
        </w:tc>
        <w:tc>
          <w:tcPr>
            <w:tcW w:w="5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1,235,500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1,052,179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(1) Prior period results have been adjusted to reflect the three-for-one stock split effected in the form of a stock dividend in March 2022. See Note 2 for details.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49"/>
        </w:trPr>
        <w:tc>
          <w:tcPr>
            <w:tcW w:w="732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6440" w:type="dxa"/>
            <w:vAlign w:val="bottom"/>
          </w:tcPr>
          <w:p>
            <w:pPr>
              <w:jc w:val="center"/>
              <w:ind w:left="2981"/>
              <w:spacing w:after="0"/>
              <w:rPr>
                <w:sz w:val="20"/>
                <w:szCs w:val="20"/>
                <w:color w:val="auto"/>
              </w:rPr>
            </w:pPr>
            <w:r>
              <w:rPr>
                <w:rFonts w:ascii="Arial" w:cs="Arial" w:eastAsia="Arial" w:hAnsi="Arial"/>
                <w:sz w:val="16"/>
                <w:szCs w:val="16"/>
                <w:b w:val="1"/>
                <w:bCs w:val="1"/>
                <w:color w:val="auto"/>
                <w:w w:val="99"/>
              </w:rPr>
              <w:t>ACM RESEARCH,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20" w:type="dxa"/>
            <w:vAlign w:val="bottom"/>
            <w:gridSpan w:val="4"/>
          </w:tcPr>
          <w:p>
            <w:pPr>
              <w:jc w:val="center"/>
              <w:ind w:left="1601"/>
              <w:spacing w:after="0"/>
              <w:rPr>
                <w:sz w:val="20"/>
                <w:szCs w:val="20"/>
                <w:color w:val="auto"/>
              </w:rPr>
            </w:pPr>
            <w:r>
              <w:rPr>
                <w:rFonts w:ascii="Arial" w:cs="Arial" w:eastAsia="Arial" w:hAnsi="Arial"/>
                <w:sz w:val="16"/>
                <w:szCs w:val="16"/>
                <w:b w:val="1"/>
                <w:bCs w:val="1"/>
                <w:color w:val="auto"/>
                <w:w w:val="87"/>
              </w:rPr>
              <w:t>Consolidated Statements of Operations and Comprehensive Income (Loss)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jc w:val="center"/>
              <w:ind w:left="2961"/>
              <w:spacing w:after="0"/>
              <w:rPr>
                <w:sz w:val="20"/>
                <w:szCs w:val="20"/>
                <w:color w:val="auto"/>
              </w:rPr>
            </w:pPr>
            <w:r>
              <w:rPr>
                <w:rFonts w:ascii="Arial" w:cs="Arial" w:eastAsia="Arial" w:hAnsi="Arial"/>
                <w:sz w:val="16"/>
                <w:szCs w:val="16"/>
                <w:i w:val="1"/>
                <w:iCs w:val="1"/>
                <w:color w:val="auto"/>
                <w:w w:val="88"/>
              </w:rPr>
              <w:t>(In thousands, except per share data)</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(note 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388,832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259,751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205,217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144,895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87,025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183,615</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114,856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69,599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39,889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26,733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16,773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62,226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34,207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19,119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22,465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12,215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124,580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76,154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48,107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Income from operations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59,035</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8,740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(1,655)</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Change in fair value of financial liability</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(11,964)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Realized gain from sale of trading securities</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Unrealized gain (loss) on trading securities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(7,855)</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12,574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Equity income in net income of affiliates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4,637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67,362</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Income tax benefit (expense) (note 20)</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(16,798)</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50,564</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11,301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5,164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Net income attributable to ACM Research, Inc.</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39,263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gridSpan w:val="2"/>
          </w:tcPr>
          <w:p>
            <w:pPr>
              <w:spacing w:after="0" w:line="178" w:lineRule="exact"/>
              <w:rPr>
                <w:sz w:val="20"/>
                <w:szCs w:val="20"/>
                <w:color w:val="auto"/>
              </w:rPr>
            </w:pPr>
            <w:r>
              <w:rPr>
                <w:rFonts w:ascii="Arial" w:cs="Arial" w:eastAsia="Arial" w:hAnsi="Arial"/>
                <w:sz w:val="16"/>
                <w:szCs w:val="16"/>
                <w:color w:val="auto"/>
              </w:rPr>
              <w:t>Comprehensive income (loss):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50,564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42,921</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21,677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Foreign currency translation adjustment, net of tax</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(59,102)</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4,695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10,493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Comprehensive income (loss)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(8,538)</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5,607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Comprehensive income (loss) attributable to ACM Research, Inc.</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(10,392)</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64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ACM Research, Inc. per common share (note 2):</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0.66</w:t>
            </w:r>
          </w:p>
        </w:tc>
        <w:tc>
          <w:tcPr>
            <w:tcW w:w="2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0.65</w:t>
            </w:r>
          </w:p>
        </w:tc>
        <w:tc>
          <w:tcPr>
            <w:tcW w:w="30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Borders>
              <w:bottom w:val="single" w:sz="8" w:color="CCEEFF"/>
            </w:tcBorders>
            <w:gridSpan w:val="2"/>
            <w:shd w:val="clear" w:color="auto" w:fill="CCEEFF"/>
          </w:tcPr>
          <w:p>
            <w:pPr>
              <w:ind w:left="80"/>
              <w:spacing w:after="0" w:line="178" w:lineRule="exact"/>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0.59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0.58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common shares outstanding used in computing per share amounts (note 2):</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Basic (1)</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59,235,975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57,654,708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54,700,083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Borders>
              <w:bottom w:val="single" w:sz="8" w:color="CCEEFF"/>
            </w:tcBorders>
            <w:gridSpan w:val="2"/>
            <w:shd w:val="clear" w:color="auto" w:fill="CCEEFF"/>
          </w:tcPr>
          <w:p>
            <w:pPr>
              <w:ind w:left="80"/>
              <w:spacing w:after="0" w:line="178" w:lineRule="exact"/>
              <w:rPr>
                <w:sz w:val="20"/>
                <w:szCs w:val="20"/>
                <w:color w:val="auto"/>
              </w:rPr>
            </w:pPr>
            <w:r>
              <w:rPr>
                <w:rFonts w:ascii="Arial" w:cs="Arial" w:eastAsia="Arial" w:hAnsi="Arial"/>
                <w:sz w:val="16"/>
                <w:szCs w:val="16"/>
                <w:color w:val="auto"/>
              </w:rPr>
              <w:t>Diluted (1)</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65,341,771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65,356,716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63,550,407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Prior period results have been adjusted to reflect the three-for-one stock split effected in the form of a stock dividend in March 2022. See Note 2 for details.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49"/>
        </w:trPr>
        <w:tc>
          <w:tcPr>
            <w:tcW w:w="258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2580" w:type="dxa"/>
            <w:vAlign w:val="bottom"/>
            <w:gridSpan w:val="3"/>
          </w:tcPr>
          <w:p>
            <w:pPr>
              <w:spacing w:after="0"/>
              <w:rPr>
                <w:sz w:val="20"/>
                <w:szCs w:val="20"/>
                <w:color w:val="auto"/>
              </w:rPr>
            </w:pPr>
            <w:r>
              <w:rPr>
                <w:rFonts w:ascii="Arial" w:cs="Arial" w:eastAsia="Arial" w:hAnsi="Arial"/>
                <w:sz w:val="16"/>
                <w:szCs w:val="16"/>
                <w:b w:val="1"/>
                <w:bCs w:val="1"/>
                <w:color w:val="auto"/>
              </w:rPr>
              <w:t>ACM RESEARCH, INC.</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80" w:type="dxa"/>
            <w:vAlign w:val="bottom"/>
            <w:gridSpan w:val="7"/>
          </w:tcPr>
          <w:p>
            <w:pPr>
              <w:spacing w:after="0"/>
              <w:rPr>
                <w:sz w:val="20"/>
                <w:szCs w:val="20"/>
                <w:color w:val="auto"/>
              </w:rPr>
            </w:pPr>
            <w:r>
              <w:rPr>
                <w:rFonts w:ascii="Arial" w:cs="Arial" w:eastAsia="Arial" w:hAnsi="Arial"/>
                <w:sz w:val="16"/>
                <w:szCs w:val="16"/>
                <w:b w:val="1"/>
                <w:bCs w:val="1"/>
                <w:color w:val="auto"/>
                <w:w w:val="88"/>
              </w:rPr>
              <w:t>Consolidated Statement of Changes in Stockholders’ Equity</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80" w:type="dxa"/>
            <w:vAlign w:val="bottom"/>
            <w:gridSpan w:val="3"/>
          </w:tcPr>
          <w:p>
            <w:pPr>
              <w:spacing w:after="0"/>
              <w:rPr>
                <w:sz w:val="20"/>
                <w:szCs w:val="20"/>
                <w:color w:val="auto"/>
              </w:rPr>
            </w:pPr>
            <w:r>
              <w:rPr>
                <w:rFonts w:ascii="Arial" w:cs="Arial" w:eastAsia="Arial" w:hAnsi="Arial"/>
                <w:sz w:val="16"/>
                <w:szCs w:val="16"/>
                <w:i w:val="1"/>
                <w:iCs w:val="1"/>
                <w:color w:val="auto"/>
                <w:w w:val="96"/>
              </w:rPr>
              <w:t>(In thousands, except per share data)</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gridSpan w:val="2"/>
          </w:tcPr>
          <w:p>
            <w:pPr>
              <w:jc w:val="center"/>
              <w:ind w:left="81"/>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left="61"/>
              <w:spacing w:after="0"/>
              <w:rPr>
                <w:sz w:val="20"/>
                <w:szCs w:val="20"/>
                <w:color w:val="auto"/>
              </w:rPr>
            </w:pPr>
            <w:r>
              <w:rPr>
                <w:rFonts w:ascii="Arial" w:cs="Arial" w:eastAsia="Arial" w:hAnsi="Arial"/>
                <w:sz w:val="16"/>
                <w:szCs w:val="16"/>
                <w:b w:val="1"/>
                <w:bCs w:val="1"/>
                <w:color w:val="auto"/>
                <w:w w:val="89"/>
              </w:rPr>
              <w:t>Common</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b w:val="1"/>
                <w:bCs w:val="1"/>
                <w:color w:val="auto"/>
                <w:w w:val="86"/>
              </w:rPr>
              <w:t>Stock Class A</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6"/>
                <w:szCs w:val="16"/>
                <w:b w:val="1"/>
                <w:bCs w:val="1"/>
                <w:color w:val="auto"/>
                <w:w w:val="88"/>
              </w:rPr>
              <w:t>Stock Class B</w:t>
            </w:r>
          </w:p>
        </w:tc>
        <w:tc>
          <w:tcPr>
            <w:tcW w:w="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tcPr>
          <w:p>
            <w:pPr>
              <w:ind w:left="40"/>
              <w:spacing w:after="0" w:line="174" w:lineRule="exact"/>
              <w:rPr>
                <w:sz w:val="20"/>
                <w:szCs w:val="20"/>
                <w:color w:val="auto"/>
              </w:rPr>
            </w:pPr>
            <w:r>
              <w:rPr>
                <w:rFonts w:ascii="Arial" w:cs="Arial" w:eastAsia="Arial" w:hAnsi="Arial"/>
                <w:sz w:val="16"/>
                <w:szCs w:val="16"/>
                <w:b w:val="1"/>
                <w:bCs w:val="1"/>
                <w:color w:val="auto"/>
                <w:w w:val="93"/>
              </w:rPr>
              <w:t>Statutory</w:t>
            </w:r>
          </w:p>
        </w:tc>
        <w:tc>
          <w:tcPr>
            <w:tcW w:w="1460" w:type="dxa"/>
            <w:vAlign w:val="bottom"/>
            <w:gridSpan w:val="2"/>
          </w:tcPr>
          <w:p>
            <w:pPr>
              <w:ind w:left="40"/>
              <w:spacing w:after="0" w:line="174" w:lineRule="exact"/>
              <w:rPr>
                <w:sz w:val="20"/>
                <w:szCs w:val="20"/>
                <w:color w:val="auto"/>
              </w:rPr>
            </w:pPr>
            <w:r>
              <w:rPr>
                <w:rFonts w:ascii="Arial" w:cs="Arial" w:eastAsia="Arial" w:hAnsi="Arial"/>
                <w:sz w:val="16"/>
                <w:szCs w:val="16"/>
                <w:b w:val="1"/>
                <w:bCs w:val="1"/>
                <w:color w:val="auto"/>
                <w:w w:val="94"/>
              </w:rPr>
              <w:t>Accumulated Other</w:t>
            </w:r>
          </w:p>
        </w:tc>
        <w:tc>
          <w:tcPr>
            <w:tcW w:w="100" w:type="dxa"/>
            <w:vAlign w:val="bottom"/>
          </w:tcPr>
          <w:p>
            <w:pPr>
              <w:spacing w:after="0"/>
              <w:rPr>
                <w:sz w:val="15"/>
                <w:szCs w:val="15"/>
                <w:color w:val="auto"/>
              </w:rPr>
            </w:pPr>
          </w:p>
        </w:tc>
        <w:tc>
          <w:tcPr>
            <w:tcW w:w="740" w:type="dxa"/>
            <w:vAlign w:val="bottom"/>
          </w:tcPr>
          <w:p>
            <w:pPr>
              <w:jc w:val="right"/>
              <w:ind w:right="201"/>
              <w:spacing w:after="0" w:line="174" w:lineRule="exact"/>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w w:val="96"/>
              </w:rPr>
              <w:t>Additional Paid-</w:t>
            </w: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Retained</w:t>
            </w:r>
          </w:p>
        </w:tc>
        <w:tc>
          <w:tcPr>
            <w:tcW w:w="72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Surplus</w:t>
            </w:r>
          </w:p>
        </w:tc>
        <w:tc>
          <w:tcPr>
            <w:tcW w:w="160" w:type="dxa"/>
            <w:vAlign w:val="bottom"/>
          </w:tcPr>
          <w:p>
            <w:pPr>
              <w:spacing w:after="0"/>
              <w:rPr>
                <w:sz w:val="16"/>
                <w:szCs w:val="16"/>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b w:val="1"/>
                <w:bCs w:val="1"/>
                <w:color w:val="auto"/>
                <w:w w:val="88"/>
              </w:rPr>
              <w:t>Comprehensive</w:t>
            </w: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controlling</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w w:val="90"/>
              </w:rPr>
              <w:t>Shares (1)</w:t>
            </w:r>
          </w:p>
        </w:tc>
        <w:tc>
          <w:tcPr>
            <w:tcW w:w="66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right"/>
              <w:ind w:right="1"/>
              <w:spacing w:after="0"/>
              <w:rPr>
                <w:sz w:val="20"/>
                <w:szCs w:val="20"/>
                <w:color w:val="auto"/>
              </w:rPr>
            </w:pPr>
            <w:r>
              <w:rPr>
                <w:rFonts w:ascii="Arial" w:cs="Arial" w:eastAsia="Arial" w:hAnsi="Arial"/>
                <w:sz w:val="16"/>
                <w:szCs w:val="16"/>
                <w:b w:val="1"/>
                <w:bCs w:val="1"/>
                <w:color w:val="auto"/>
                <w:w w:val="85"/>
              </w:rPr>
              <w:t>Shares (1)</w:t>
            </w:r>
          </w:p>
        </w:tc>
        <w:tc>
          <w:tcPr>
            <w:tcW w:w="64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b w:val="1"/>
                <w:bCs w:val="1"/>
                <w:color w:val="auto"/>
              </w:rPr>
              <w:t>in Capital</w:t>
            </w:r>
          </w:p>
        </w:tc>
        <w:tc>
          <w:tcPr>
            <w:tcW w:w="70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earnings</w:t>
            </w:r>
          </w:p>
        </w:tc>
        <w:tc>
          <w:tcPr>
            <w:tcW w:w="72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6"/>
              </w:rPr>
              <w:t>Reserve</w:t>
            </w:r>
          </w:p>
        </w:tc>
        <w:tc>
          <w:tcPr>
            <w:tcW w:w="160" w:type="dxa"/>
            <w:vAlign w:val="bottom"/>
          </w:tcPr>
          <w:p>
            <w:pPr>
              <w:spacing w:after="0"/>
              <w:rPr>
                <w:sz w:val="18"/>
                <w:szCs w:val="18"/>
                <w:color w:val="auto"/>
              </w:rPr>
            </w:pPr>
          </w:p>
        </w:tc>
        <w:tc>
          <w:tcPr>
            <w:tcW w:w="1300" w:type="dxa"/>
            <w:vAlign w:val="bottom"/>
          </w:tcPr>
          <w:p>
            <w:pPr>
              <w:jc w:val="right"/>
              <w:ind w:right="421"/>
              <w:spacing w:after="0"/>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w w:val="83"/>
              </w:rPr>
              <w:t>interests</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2"/>
              </w:rPr>
              <w:t>48,546,453</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2"/>
              </w:rPr>
              <w:t>5,587,824</w:t>
            </w:r>
          </w:p>
        </w:tc>
        <w:tc>
          <w:tcPr>
            <w:tcW w:w="4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83,483</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3"/>
              </w:rPr>
              <w:t>14,436</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1,071</w:t>
            </w: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(1,675)</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97,321</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w w:val="93"/>
              </w:rPr>
              <w:t>18,780</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2,254</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Appropriation to statutory surplus</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reserves</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w w:val="90"/>
              </w:rPr>
              <w:t>Foreign currency translation adjustment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6,532</w:t>
            </w:r>
          </w:p>
        </w:tc>
        <w:tc>
          <w:tcPr>
            <w:tcW w:w="10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4,808</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2,497,512</w:t>
            </w:r>
          </w:p>
        </w:tc>
        <w:tc>
          <w:tcPr>
            <w:tcW w:w="4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2,745</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5,628</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w w:val="93"/>
              </w:rPr>
              <w:t>Conversion of class B common shares</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to Class A common shares</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180,006</w:t>
            </w:r>
          </w:p>
        </w:tc>
        <w:tc>
          <w:tcPr>
            <w:tcW w:w="4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(180,006)</w:t>
            </w:r>
          </w:p>
        </w:tc>
        <w:tc>
          <w:tcPr>
            <w:tcW w:w="4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Share cancellation (note 16)</w:t>
            </w:r>
          </w:p>
        </w:tc>
        <w:tc>
          <w:tcPr>
            <w:tcW w:w="840" w:type="dxa"/>
            <w:vAlign w:val="bottom"/>
          </w:tcPr>
          <w:p>
            <w:pPr>
              <w:jc w:val="right"/>
              <w:spacing w:after="0"/>
              <w:rPr>
                <w:sz w:val="20"/>
                <w:szCs w:val="20"/>
                <w:color w:val="auto"/>
              </w:rPr>
            </w:pPr>
            <w:r>
              <w:rPr>
                <w:rFonts w:ascii="Arial" w:cs="Arial" w:eastAsia="Arial" w:hAnsi="Arial"/>
                <w:sz w:val="16"/>
                <w:szCs w:val="16"/>
                <w:color w:val="auto"/>
              </w:rPr>
              <w:t>(728,043)</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(9,715)</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(9,715)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warrants (note 16)</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19,859</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Exercise of stock warrants</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194,151</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w w:val="99"/>
              </w:rPr>
              <w:t>Reclassification of redeemable non-</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controlling interest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59,958</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Balance at December 31, 2020</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2"/>
              </w:rPr>
              <w:t>50,690,079</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5</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2"/>
              </w:rPr>
              <w:t>5,407,818</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102,000</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29,899</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4,388</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4,857</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67,020</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208,170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2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jc w:val="right"/>
              <w:ind w:right="1"/>
              <w:spacing w:after="0" w:line="178"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line="178"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line="178" w:lineRule="exact"/>
              <w:rPr>
                <w:sz w:val="20"/>
                <w:szCs w:val="20"/>
                <w:color w:val="auto"/>
              </w:rPr>
            </w:pPr>
            <w:r>
              <w:rPr>
                <w:rFonts w:ascii="Arial" w:cs="Arial" w:eastAsia="Arial" w:hAnsi="Arial"/>
                <w:sz w:val="16"/>
                <w:szCs w:val="16"/>
                <w:color w:val="auto"/>
                <w:w w:val="93"/>
              </w:rPr>
              <w:t>37,757</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
              <w:spacing w:after="0" w:line="178" w:lineRule="exact"/>
              <w:rPr>
                <w:sz w:val="20"/>
                <w:szCs w:val="20"/>
                <w:color w:val="auto"/>
              </w:rPr>
            </w:pPr>
            <w:r>
              <w:rPr>
                <w:rFonts w:ascii="Arial" w:cs="Arial" w:eastAsia="Arial" w:hAnsi="Arial"/>
                <w:sz w:val="16"/>
                <w:szCs w:val="16"/>
                <w:color w:val="auto"/>
              </w:rPr>
              <w:t>5,164</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42,921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gridSpan w:val="2"/>
          </w:tcPr>
          <w:p>
            <w:pPr>
              <w:spacing w:after="0" w:line="178" w:lineRule="exact"/>
              <w:rPr>
                <w:sz w:val="20"/>
                <w:szCs w:val="20"/>
                <w:color w:val="auto"/>
              </w:rPr>
            </w:pPr>
            <w:r>
              <w:rPr>
                <w:rFonts w:ascii="Arial" w:cs="Arial" w:eastAsia="Arial" w:hAnsi="Arial"/>
                <w:sz w:val="16"/>
                <w:szCs w:val="16"/>
                <w:color w:val="auto"/>
              </w:rPr>
              <w:t>Appropriation to statutory surplus</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reserves</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(3,924)</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3,924</w:t>
            </w:r>
          </w:p>
        </w:tc>
        <w:tc>
          <w:tcPr>
            <w:tcW w:w="16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0"/>
              </w:rPr>
              <w:t>Foreign currency translation adjustment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4,252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443</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1,870,803</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3,430</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5,117</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Exercise of stock warrants</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728,043</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1,820</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w w:val="95"/>
              </w:rPr>
              <w:t>Conversion of Class B common stock</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to Class A common stock</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320,004</w:t>
            </w:r>
          </w:p>
        </w:tc>
        <w:tc>
          <w:tcPr>
            <w:tcW w:w="4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(320,004)</w:t>
            </w:r>
          </w:p>
        </w:tc>
        <w:tc>
          <w:tcPr>
            <w:tcW w:w="4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gridSpan w:val="2"/>
          </w:tcPr>
          <w:p>
            <w:pPr>
              <w:spacing w:after="0" w:line="178" w:lineRule="exact"/>
              <w:rPr>
                <w:sz w:val="20"/>
                <w:szCs w:val="20"/>
                <w:color w:val="auto"/>
              </w:rPr>
            </w:pPr>
            <w:r>
              <w:rPr>
                <w:rFonts w:ascii="Arial" w:cs="Arial" w:eastAsia="Arial" w:hAnsi="Arial"/>
                <w:sz w:val="16"/>
                <w:szCs w:val="16"/>
                <w:color w:val="auto"/>
              </w:rPr>
              <w:t>Proceeds from a subsidiary equity</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issuance, net of issuance costs</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482,678</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62,834</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545,512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2"/>
              </w:rPr>
              <w:t>53,608,929</w:t>
            </w:r>
          </w:p>
        </w:tc>
        <w:tc>
          <w:tcPr>
            <w:tcW w:w="4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2"/>
              </w:rPr>
              <w:t>5,087,814</w:t>
            </w:r>
          </w:p>
        </w:tc>
        <w:tc>
          <w:tcPr>
            <w:tcW w:w="4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595,045</w:t>
            </w: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3"/>
              </w:rPr>
              <w:t>63,732</w:t>
            </w: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8,312</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9,109</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135,461</w:t>
            </w: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811,665</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gridSpan w:val="2"/>
          </w:tcPr>
          <w:p>
            <w:pPr>
              <w:spacing w:after="0" w:line="178" w:lineRule="exact"/>
              <w:rPr>
                <w:sz w:val="20"/>
                <w:szCs w:val="20"/>
                <w:color w:val="auto"/>
              </w:rPr>
            </w:pPr>
            <w:r>
              <w:rPr>
                <w:rFonts w:ascii="Arial" w:cs="Arial" w:eastAsia="Arial" w:hAnsi="Arial"/>
                <w:sz w:val="16"/>
                <w:szCs w:val="16"/>
                <w:color w:val="auto"/>
              </w:rPr>
              <w:t>Net income</w:t>
            </w:r>
          </w:p>
        </w:tc>
        <w:tc>
          <w:tcPr>
            <w:tcW w:w="840" w:type="dxa"/>
            <w:vAlign w:val="bottom"/>
          </w:tcPr>
          <w:p>
            <w:pPr>
              <w:jc w:val="right"/>
              <w:ind w:right="1"/>
              <w:spacing w:after="0" w:line="178" w:lineRule="exact"/>
              <w:rPr>
                <w:sz w:val="20"/>
                <w:szCs w:val="20"/>
                <w:color w:val="auto"/>
              </w:rPr>
            </w:pPr>
            <w:r>
              <w:rPr>
                <w:rFonts w:ascii="Arial" w:cs="Arial" w:eastAsia="Arial" w:hAnsi="Arial"/>
                <w:sz w:val="16"/>
                <w:szCs w:val="16"/>
                <w:color w:val="FF0000"/>
              </w:rPr>
              <w:t>-</w:t>
            </w:r>
          </w:p>
        </w:tc>
        <w:tc>
          <w:tcPr>
            <w:tcW w:w="400" w:type="dxa"/>
            <w:vAlign w:val="bottom"/>
          </w:tcPr>
          <w:p>
            <w:pPr>
              <w:spacing w:after="0"/>
              <w:rPr>
                <w:sz w:val="15"/>
                <w:szCs w:val="15"/>
                <w:color w:val="auto"/>
              </w:rPr>
            </w:pPr>
          </w:p>
        </w:tc>
        <w:tc>
          <w:tcPr>
            <w:tcW w:w="2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FF0000"/>
              </w:rPr>
              <w:t>-</w:t>
            </w:r>
          </w:p>
        </w:tc>
        <w:tc>
          <w:tcPr>
            <w:tcW w:w="760" w:type="dxa"/>
            <w:vAlign w:val="bottom"/>
          </w:tcPr>
          <w:p>
            <w:pPr>
              <w:jc w:val="right"/>
              <w:ind w:right="1"/>
              <w:spacing w:after="0" w:line="178" w:lineRule="exact"/>
              <w:rPr>
                <w:sz w:val="20"/>
                <w:szCs w:val="20"/>
                <w:color w:val="auto"/>
              </w:rPr>
            </w:pPr>
            <w:r>
              <w:rPr>
                <w:rFonts w:ascii="Arial" w:cs="Arial" w:eastAsia="Arial" w:hAnsi="Arial"/>
                <w:sz w:val="16"/>
                <w:szCs w:val="16"/>
                <w:color w:val="FF0000"/>
              </w:rPr>
              <w:t>-</w:t>
            </w:r>
          </w:p>
        </w:tc>
        <w:tc>
          <w:tcPr>
            <w:tcW w:w="440" w:type="dxa"/>
            <w:vAlign w:val="bottom"/>
          </w:tcPr>
          <w:p>
            <w:pPr>
              <w:spacing w:after="0"/>
              <w:rPr>
                <w:sz w:val="15"/>
                <w:szCs w:val="15"/>
                <w:color w:val="auto"/>
              </w:rPr>
            </w:pPr>
          </w:p>
        </w:tc>
        <w:tc>
          <w:tcPr>
            <w:tcW w:w="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60" w:type="dxa"/>
            <w:vAlign w:val="bottom"/>
          </w:tcPr>
          <w:p>
            <w:pPr>
              <w:jc w:val="right"/>
              <w:ind w:right="1"/>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560" w:type="dxa"/>
            <w:vAlign w:val="bottom"/>
          </w:tcPr>
          <w:p>
            <w:pPr>
              <w:jc w:val="right"/>
              <w:ind w:right="1"/>
              <w:spacing w:after="0" w:line="178" w:lineRule="exact"/>
              <w:rPr>
                <w:sz w:val="20"/>
                <w:szCs w:val="20"/>
                <w:color w:val="auto"/>
              </w:rPr>
            </w:pPr>
            <w:r>
              <w:rPr>
                <w:rFonts w:ascii="Arial" w:cs="Arial" w:eastAsia="Arial" w:hAnsi="Arial"/>
                <w:sz w:val="16"/>
                <w:szCs w:val="16"/>
                <w:color w:val="auto"/>
                <w:w w:val="93"/>
              </w:rPr>
              <w:t>39,263</w:t>
            </w:r>
          </w:p>
        </w:tc>
        <w:tc>
          <w:tcPr>
            <w:tcW w:w="18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300" w:type="dxa"/>
            <w:vAlign w:val="bottom"/>
          </w:tcPr>
          <w:p>
            <w:pPr>
              <w:jc w:val="right"/>
              <w:ind w:right="1"/>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40" w:type="dxa"/>
            <w:vAlign w:val="bottom"/>
          </w:tcPr>
          <w:p>
            <w:pPr>
              <w:jc w:val="right"/>
              <w:ind w:right="1"/>
              <w:spacing w:after="0" w:line="178" w:lineRule="exact"/>
              <w:rPr>
                <w:sz w:val="20"/>
                <w:szCs w:val="20"/>
                <w:color w:val="auto"/>
              </w:rPr>
            </w:pPr>
            <w:r>
              <w:rPr>
                <w:rFonts w:ascii="Arial" w:cs="Arial" w:eastAsia="Arial" w:hAnsi="Arial"/>
                <w:sz w:val="16"/>
                <w:szCs w:val="16"/>
                <w:color w:val="auto"/>
              </w:rPr>
              <w:t>11,301</w:t>
            </w:r>
          </w:p>
        </w:tc>
        <w:tc>
          <w:tcPr>
            <w:tcW w:w="22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color w:val="auto"/>
              </w:rPr>
              <w:t>50,564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Appropriation to statutory surplus</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reserves</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w w:val="90"/>
              </w:rPr>
              <w:t>Foreign currency translation adjustment</w:t>
            </w:r>
          </w:p>
        </w:tc>
        <w:tc>
          <w:tcPr>
            <w:tcW w:w="840" w:type="dxa"/>
            <w:vAlign w:val="bottom"/>
          </w:tcPr>
          <w:p>
            <w:pPr>
              <w:jc w:val="right"/>
              <w:ind w:right="1"/>
              <w:spacing w:after="0"/>
              <w:rPr>
                <w:sz w:val="20"/>
                <w:szCs w:val="20"/>
                <w:color w:val="auto"/>
              </w:rPr>
            </w:pPr>
            <w:r>
              <w:rPr>
                <w:rFonts w:ascii="Arial" w:cs="Arial" w:eastAsia="Arial" w:hAnsi="Arial"/>
                <w:sz w:val="16"/>
                <w:szCs w:val="16"/>
                <w:color w:val="FF0000"/>
              </w:rPr>
              <w:t>-</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FF0000"/>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FF0000"/>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(49,655)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(9,447)</w:t>
            </w:r>
          </w:p>
        </w:tc>
        <w:tc>
          <w:tcPr>
            <w:tcW w:w="2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(59,102)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980,354</w:t>
            </w:r>
          </w:p>
        </w:tc>
        <w:tc>
          <w:tcPr>
            <w:tcW w:w="4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1,314</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7,730</w:t>
            </w:r>
          </w:p>
        </w:tc>
        <w:tc>
          <w:tcPr>
            <w:tcW w:w="140" w:type="dxa"/>
            <w:vAlign w:val="bottom"/>
          </w:tcPr>
          <w:p>
            <w:pPr>
              <w:spacing w:after="0"/>
              <w:rPr>
                <w:sz w:val="16"/>
                <w:szCs w:val="16"/>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w w:val="95"/>
              </w:rPr>
              <w:t>Conversion of Class B common stock</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to Class A common stock</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66,003</w:t>
            </w:r>
          </w:p>
        </w:tc>
        <w:tc>
          <w:tcPr>
            <w:tcW w:w="4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(66,003)</w:t>
            </w:r>
          </w:p>
        </w:tc>
        <w:tc>
          <w:tcPr>
            <w:tcW w:w="4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Balance at December 31, 2022</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2"/>
              </w:rPr>
              <w:t>54,655,286</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5</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2"/>
              </w:rPr>
              <w:t>5,021,811</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604,089</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94,426</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16,881</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(40,546)</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137,315</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812,171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(1) Prior period results have been adjusted to reflect the three-for-one stock split effected in the form of a stock dividend in March 2022. See Note 2 for details.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340"/>
          </w:cols>
          <w:pgMar w:left="320" w:top="109"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49"/>
        </w:trPr>
        <w:tc>
          <w:tcPr>
            <w:tcW w:w="732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ACM RESEARCH,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20" w:type="dxa"/>
            <w:vAlign w:val="bottom"/>
            <w:gridSpan w:val="3"/>
          </w:tcPr>
          <w:p>
            <w:pPr>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50,564</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42,921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Adjustments to reconcile net income from operations to net cash used in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2,353</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Loss on disposals of property, plant and equipment</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Realized gain on trading securities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Equity income in net income of affiliates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(4,666)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(4,637)</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loss (gain) on trading securities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(607)</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(12,574)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(1,840)</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5,117</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5,628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Change in fair value of financial liability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11,964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changes in operating assets and liabilities: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(88,655)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(47,624)</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(22,085)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 recoverable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(1,082)</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Other receivables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(8,420)</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(6,882)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(193,314)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(127,656)</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(40,768)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Advances to related party (note 17)</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(776)</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(3,695)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(9,830)</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(4,521)</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Related party accounts payable (note 17)</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3,806</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61,405</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18,397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Advances from customers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104,258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34,831</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(3,137)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2,200</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FIN-48 payable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10,551</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5,236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payables and accrued expenses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3,180</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(2,362)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310</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3,558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(62,194)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(40,093)</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(91,094)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(9,153)</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(5,211)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(1,426)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(559)</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Purchase of land-use-right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(9,744)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of trading securities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(4,279)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Prepayment for property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(40,206)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Increase of time deposits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(172,448)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Proceeds from selling trading securities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affiliates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(1,568)</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Dividends from unconsolidated affiliates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(265,670)</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(11,280)</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(69,950)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Proceeds from short-term borrowings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56,004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22,884</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32,573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Repayments of short-term borrowings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(9,224)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(39,809)</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(20,234)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Proceeds from long-term borrowings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7,056</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19,699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Repayments of long-term borrowings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(2,223)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(2,127)</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Repayments of notes payable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3,430</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Proceeds from a subsidiary equity issuance, net of issuance costs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545,512</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warrant exercise to common stock</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1,820</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ind w:left="400"/>
              <w:spacing w:after="0"/>
              <w:rPr>
                <w:sz w:val="20"/>
                <w:szCs w:val="20"/>
                <w:color w:val="auto"/>
              </w:rPr>
            </w:pPr>
            <w:r>
              <w:rPr>
                <w:rFonts w:ascii="Arial" w:cs="Arial" w:eastAsia="Arial" w:hAnsi="Arial"/>
                <w:sz w:val="16"/>
                <w:szCs w:val="16"/>
                <w:b w:val="1"/>
                <w:bCs w:val="1"/>
                <w:color w:val="auto"/>
              </w:rPr>
              <w:t>Net cash provided by financing activities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45,871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538,766</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32,834</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10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(32,623)</w:t>
            </w:r>
          </w:p>
        </w:tc>
        <w:tc>
          <w:tcPr>
            <w:tcW w:w="3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3,908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4,570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491,301</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(46,093)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71,766</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117,859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248,451</w:t>
            </w:r>
          </w:p>
        </w:tc>
        <w:tc>
          <w:tcPr>
            <w:tcW w:w="140" w:type="dxa"/>
            <w:vAlign w:val="bottom"/>
          </w:tcPr>
          <w:p>
            <w:pPr>
              <w:spacing w:after="0"/>
              <w:rPr>
                <w:sz w:val="16"/>
                <w:szCs w:val="16"/>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563,067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71,766</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paid, net of capitalized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gridSpan w:val="2"/>
          </w:tcPr>
          <w:p>
            <w:pPr>
              <w:ind w:left="120"/>
              <w:spacing w:after="0" w:line="178" w:lineRule="exact"/>
              <w:rPr>
                <w:sz w:val="20"/>
                <w:szCs w:val="20"/>
                <w:color w:val="auto"/>
              </w:rPr>
            </w:pPr>
            <w:r>
              <w:rPr>
                <w:rFonts w:ascii="Arial" w:cs="Arial" w:eastAsia="Arial" w:hAnsi="Arial"/>
                <w:sz w:val="16"/>
                <w:szCs w:val="16"/>
                <w:color w:val="auto"/>
              </w:rPr>
              <w:t>Cash paid for income taxes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3,586</w:t>
            </w:r>
          </w:p>
        </w:tc>
        <w:tc>
          <w:tcPr>
            <w:tcW w:w="140" w:type="dxa"/>
            <w:vAlign w:val="bottom"/>
          </w:tcPr>
          <w:p>
            <w:pPr>
              <w:spacing w:after="0"/>
              <w:rPr>
                <w:sz w:val="15"/>
                <w:szCs w:val="15"/>
                <w:color w:val="auto"/>
              </w:rPr>
            </w:pPr>
          </w:p>
        </w:tc>
        <w:tc>
          <w:tcPr>
            <w:tcW w:w="320" w:type="dxa"/>
            <w:vAlign w:val="bottom"/>
            <w:gridSpan w:val="2"/>
          </w:tcPr>
          <w:p>
            <w:pPr>
              <w:jc w:val="right"/>
              <w:ind w:right="87"/>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1,132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4,971</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w w:val="93"/>
              </w:rPr>
              <w:t>Reconciliation of cash, cash equivalents and restricted cash in consolidated statements of cash flows: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247,951</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562,548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71,766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519</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Cash, cash equivalents and restricted cash</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248,451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563,067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Non-cash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conversion to common stock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7300" w:type="dxa"/>
            <w:vAlign w:val="bottom"/>
            <w:gridSpan w:val="2"/>
          </w:tcPr>
          <w:p>
            <w:pPr>
              <w:spacing w:after="0" w:line="178" w:lineRule="exact"/>
              <w:rPr>
                <w:sz w:val="20"/>
                <w:szCs w:val="20"/>
                <w:color w:val="auto"/>
              </w:rPr>
            </w:pPr>
            <w:r>
              <w:rPr>
                <w:rFonts w:ascii="Arial" w:cs="Arial" w:eastAsia="Arial" w:hAnsi="Arial"/>
                <w:sz w:val="16"/>
                <w:szCs w:val="16"/>
                <w:color w:val="auto"/>
              </w:rPr>
              <w:t>Share cancellation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320" w:type="dxa"/>
            <w:vAlign w:val="bottom"/>
            <w:gridSpan w:val="2"/>
          </w:tcPr>
          <w:p>
            <w:pPr>
              <w:jc w:val="right"/>
              <w:ind w:right="87"/>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9,715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7300" w:type="dxa"/>
            <w:vAlign w:val="bottom"/>
            <w:tcBorders>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Cashless exercise of stock options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221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gridSpan w:val="2"/>
          </w:tcPr>
          <w:p>
            <w:pPr>
              <w:spacing w:after="0" w:line="178" w:lineRule="exact"/>
              <w:rPr>
                <w:sz w:val="20"/>
                <w:szCs w:val="20"/>
                <w:color w:val="auto"/>
              </w:rPr>
            </w:pPr>
            <w:r>
              <w:rPr>
                <w:rFonts w:ascii="Arial" w:cs="Arial" w:eastAsia="Arial" w:hAnsi="Arial"/>
                <w:sz w:val="16"/>
                <w:szCs w:val="16"/>
                <w:color w:val="auto"/>
              </w:rPr>
              <w:t>Issuance of warrant for settlement of financial liability and cancellation of note receivable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320" w:type="dxa"/>
            <w:vAlign w:val="bottom"/>
            <w:gridSpan w:val="2"/>
          </w:tcPr>
          <w:p>
            <w:pPr>
              <w:jc w:val="right"/>
              <w:ind w:right="87"/>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19,859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7300" w:type="dxa"/>
            <w:vAlign w:val="bottom"/>
            <w:tcBorders>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Non-cash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gridSpan w:val="2"/>
          </w:tcPr>
          <w:p>
            <w:pPr>
              <w:spacing w:after="0" w:line="178" w:lineRule="exact"/>
              <w:rPr>
                <w:sz w:val="20"/>
                <w:szCs w:val="20"/>
                <w:color w:val="auto"/>
              </w:rPr>
            </w:pPr>
            <w:r>
              <w:rPr>
                <w:rFonts w:ascii="Arial" w:cs="Arial" w:eastAsia="Arial" w:hAnsi="Arial"/>
                <w:sz w:val="16"/>
                <w:szCs w:val="16"/>
                <w:color w:val="auto"/>
              </w:rPr>
              <w:t>Transfer of prepayment for property to property, plant and equipment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41,497</w:t>
            </w:r>
          </w:p>
        </w:tc>
        <w:tc>
          <w:tcPr>
            <w:tcW w:w="140" w:type="dxa"/>
            <w:vAlign w:val="bottom"/>
          </w:tcPr>
          <w:p>
            <w:pPr>
              <w:spacing w:after="0"/>
              <w:rPr>
                <w:sz w:val="15"/>
                <w:szCs w:val="15"/>
                <w:color w:val="auto"/>
              </w:rPr>
            </w:pPr>
          </w:p>
        </w:tc>
        <w:tc>
          <w:tcPr>
            <w:tcW w:w="320" w:type="dxa"/>
            <w:vAlign w:val="bottom"/>
            <w:gridSpan w:val="2"/>
          </w:tcPr>
          <w:p>
            <w:pPr>
              <w:jc w:val="right"/>
              <w:ind w:right="87"/>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1">
            <w:col w:w="11260"/>
          </w:cols>
          <w:pgMar w:left="320" w:top="109" w:right="319" w:bottom="0" w:gutter="0" w:footer="0" w:header="0"/>
        </w:sect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260"/>
          </w:cols>
          <w:pgMar w:left="320" w:top="109" w:right="319" w:bottom="0" w:gutter="0" w:footer="0" w:header="0"/>
          <w:type w:val="continuous"/>
        </w:sectPr>
      </w:pPr>
    </w:p>
    <w:bookmarkStart w:id="100" w:name="page101"/>
    <w:bookmarkEnd w:id="100"/>
    <w:p>
      <w:pPr>
        <w:jc w:val="center"/>
        <w:ind w:right="19"/>
        <w:spacing w:after="0"/>
        <w:rPr>
          <w:sz w:val="20"/>
          <w:szCs w:val="20"/>
          <w:color w:val="auto"/>
        </w:rPr>
      </w:pPr>
      <w:r>
        <w:rPr>
          <w:rFonts w:ascii="Arial" w:cs="Arial" w:eastAsia="Arial" w:hAnsi="Arial"/>
          <w:sz w:val="11"/>
          <w:szCs w:val="1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43180</wp:posOffset>
            </wp:positionV>
            <wp:extent cx="714883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BUSINESS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54"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ACM was incorporated in California in 1998, and it initially focused on developing tools for manufacturing process steps involving the integration of ultra-low-K materials and copper. The Company’s early efforts focused on stress-free copper-polishing technology, and it sold tools based on that technology in the early 2000s.</w:t>
      </w:r>
    </w:p>
    <w:p>
      <w:pPr>
        <w:spacing w:after="0" w:line="133"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5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consolidated financial statements have been adjusted retrospectively to reflect the reverse stock split.</w:t>
      </w:r>
    </w:p>
    <w:p>
      <w:pPr>
        <w:spacing w:after="0" w:line="1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December 2017, ACM formed a wholly owned subsidiary in the Republic of Korea, ACM Research Korea CO., LTD. (“ACM Korea”), to serve customers based in the Republic of Korea and perform sales, marketing, research and development activities for new products and solutions.</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March 2019, ACM Shanghai formed a wholly owned subsidiary in the PRC, Shengwei Research (Shanghai), Inc. (“ACM Shengwei”), to manage activities related to the addition of future long-term production capacity.</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June 2019, CleanChip formed a wholly owned subsidiary in California, ACM Research (CA), Inc. (“ACM California”), to provide procurement services on behalf of ACM Shanghai.</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June 2019, ACM announced plans to complete over the next three years a listing (the “STAR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w:t>
      </w:r>
    </w:p>
    <w:p>
      <w:pPr>
        <w:spacing w:after="0" w:line="17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August 2021, ACM formed a wholly owned subsidiary in Singapore, ACM research (Singapore) PTE, Ltd. to perform sales, marketing, and other business development activities.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November 2021, ACM’s operating subsidiary ACM Shanghai, completed its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w:t>
      </w:r>
    </w:p>
    <w:p>
      <w:pPr>
        <w:spacing w:after="0" w:line="16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February 2022, ACM Shanghai formed a wholly owned subsidiary in China, ACM Research (Beijing), Inc. (“ACM Beijing”), to perform sales, marketing and other business development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 March 2022, ACM formed a wholly owned subsidiary in South Korea, Hanguk ACM CO., LTD, to perform business development and other related activities.</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March 2022, the Board of Directors of ACM declared a 3-for-1 stock split of Class A and Class B common stock effected in the form of a stock dividend (the “Stock Split”).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 Unless otherwise indicated, all share numbers, per share amount, share prices, exercise prices and conversion rates set forth in these notes and the accompanying consolidated financial statements have been adjusted retrospectively to reflect the Stock Split.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49"/>
        </w:trPr>
        <w:tc>
          <w:tcPr>
            <w:tcW w:w="3400" w:type="dxa"/>
            <w:vAlign w:val="bottom"/>
            <w:gridSpan w:val="2"/>
          </w:tcPr>
          <w:p>
            <w:pPr>
              <w:spacing w:after="0"/>
              <w:rPr>
                <w:sz w:val="20"/>
                <w:szCs w:val="20"/>
                <w:color w:val="auto"/>
              </w:rPr>
            </w:pPr>
            <w:r>
              <w:rPr>
                <w:rFonts w:ascii="Arial" w:cs="Arial" w:eastAsia="Arial" w:hAnsi="Arial"/>
                <w:sz w:val="13"/>
                <w:szCs w:val="13"/>
                <w:i w:val="1"/>
                <w:iCs w:val="1"/>
                <w:color w:val="0000EE"/>
              </w:rPr>
              <w:t>Table of Contents</w:t>
            </w:r>
          </w:p>
        </w:tc>
        <w:tc>
          <w:tcPr>
            <w:tcW w:w="4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35"/>
        </w:trPr>
        <w:tc>
          <w:tcPr>
            <w:tcW w:w="7660" w:type="dxa"/>
            <w:vAlign w:val="bottom"/>
            <w:gridSpan w:val="3"/>
          </w:tcPr>
          <w:p>
            <w:pPr>
              <w:spacing w:after="0"/>
              <w:rPr>
                <w:sz w:val="20"/>
                <w:szCs w:val="20"/>
                <w:color w:val="auto"/>
              </w:rPr>
            </w:pPr>
            <w:r>
              <w:rPr>
                <w:rFonts w:ascii="Arial" w:cs="Arial" w:eastAsia="Arial" w:hAnsi="Arial"/>
                <w:sz w:val="16"/>
                <w:szCs w:val="16"/>
                <w:color w:val="auto"/>
              </w:rPr>
              <w:t>The Company has direct or indirect interests in the following subsidiaries:</w:t>
            </w:r>
          </w:p>
        </w:tc>
        <w:tc>
          <w:tcPr>
            <w:tcW w:w="1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Effective interest held as at</w:t>
            </w:r>
          </w:p>
        </w:tc>
      </w:tr>
      <w:tr>
        <w:trPr>
          <w:trHeight w:val="222"/>
        </w:trPr>
        <w:tc>
          <w:tcPr>
            <w:tcW w:w="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260" w:type="dxa"/>
            <w:vAlign w:val="bottom"/>
          </w:tcPr>
          <w:p>
            <w:pPr>
              <w:ind w:left="980"/>
              <w:spacing w:after="0"/>
              <w:rPr>
                <w:sz w:val="20"/>
                <w:szCs w:val="20"/>
                <w:color w:val="auto"/>
              </w:rPr>
            </w:pPr>
            <w:r>
              <w:rPr>
                <w:rFonts w:ascii="Arial" w:cs="Arial" w:eastAsia="Arial" w:hAnsi="Arial"/>
                <w:sz w:val="16"/>
                <w:szCs w:val="16"/>
                <w:b w:val="1"/>
                <w:bCs w:val="1"/>
                <w:color w:val="auto"/>
              </w:rPr>
              <w:t>Place and date of</w:t>
            </w:r>
          </w:p>
        </w:tc>
        <w:tc>
          <w:tcPr>
            <w:tcW w:w="1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right="1121"/>
              <w:spacing w:after="0"/>
              <w:rPr>
                <w:sz w:val="20"/>
                <w:szCs w:val="20"/>
                <w:color w:val="auto"/>
              </w:rPr>
            </w:pPr>
            <w:r>
              <w:rPr>
                <w:rFonts w:ascii="Arial" w:cs="Arial" w:eastAsia="Arial" w:hAnsi="Arial"/>
                <w:sz w:val="16"/>
                <w:szCs w:val="16"/>
                <w:b w:val="1"/>
                <w:bCs w:val="1"/>
                <w:color w:val="auto"/>
                <w:w w:val="88"/>
              </w:rPr>
              <w:t>December 31,</w:t>
            </w:r>
          </w:p>
        </w:tc>
      </w:tr>
      <w:tr>
        <w:trPr>
          <w:trHeight w:val="194"/>
        </w:trPr>
        <w:tc>
          <w:tcPr>
            <w:tcW w:w="3400" w:type="dxa"/>
            <w:vAlign w:val="bottom"/>
            <w:tcBorders>
              <w:bottom w:val="single" w:sz="8" w:color="auto"/>
            </w:tcBorders>
            <w:gridSpan w:val="2"/>
          </w:tcPr>
          <w:p>
            <w:pPr>
              <w:spacing w:after="0" w:line="177" w:lineRule="exact"/>
              <w:rPr>
                <w:sz w:val="20"/>
                <w:szCs w:val="20"/>
                <w:color w:val="auto"/>
              </w:rPr>
            </w:pPr>
            <w:r>
              <w:rPr>
                <w:rFonts w:ascii="Arial" w:cs="Arial" w:eastAsia="Arial" w:hAnsi="Arial"/>
                <w:sz w:val="16"/>
                <w:szCs w:val="16"/>
                <w:b w:val="1"/>
                <w:bCs w:val="1"/>
                <w:color w:val="auto"/>
              </w:rPr>
              <w:t>Name of subsidiaries</w:t>
            </w:r>
          </w:p>
        </w:tc>
        <w:tc>
          <w:tcPr>
            <w:tcW w:w="42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incorporation</w:t>
            </w:r>
          </w:p>
        </w:tc>
        <w:tc>
          <w:tcPr>
            <w:tcW w:w="1240" w:type="dxa"/>
            <w:vAlign w:val="bottom"/>
            <w:tcBorders>
              <w:bottom w:val="single" w:sz="8" w:color="auto"/>
            </w:tcBorders>
          </w:tcPr>
          <w:p>
            <w:pPr>
              <w:jc w:val="center"/>
              <w:ind w:left="481"/>
              <w:spacing w:after="0"/>
              <w:rPr>
                <w:sz w:val="20"/>
                <w:szCs w:val="20"/>
                <w:color w:val="auto"/>
              </w:rPr>
            </w:pPr>
            <w:r>
              <w:rPr>
                <w:rFonts w:ascii="Arial" w:cs="Arial" w:eastAsia="Arial" w:hAnsi="Arial"/>
                <w:sz w:val="16"/>
                <w:szCs w:val="16"/>
                <w:b w:val="1"/>
                <w:bCs w:val="1"/>
                <w:color w:val="auto"/>
                <w:w w:val="89"/>
              </w:rPr>
              <w:t>2022</w:t>
            </w:r>
          </w:p>
        </w:tc>
        <w:tc>
          <w:tcPr>
            <w:tcW w:w="2360" w:type="dxa"/>
            <w:vAlign w:val="bottom"/>
            <w:tcBorders>
              <w:bottom w:val="single" w:sz="8" w:color="auto"/>
            </w:tcBorders>
          </w:tcPr>
          <w:p>
            <w:pPr>
              <w:jc w:val="center"/>
              <w:ind w:left="481"/>
              <w:spacing w:after="0"/>
              <w:rPr>
                <w:sz w:val="20"/>
                <w:szCs w:val="20"/>
                <w:color w:val="auto"/>
              </w:rPr>
            </w:pPr>
            <w:r>
              <w:rPr>
                <w:rFonts w:ascii="Arial" w:cs="Arial" w:eastAsia="Arial" w:hAnsi="Arial"/>
                <w:sz w:val="16"/>
                <w:szCs w:val="16"/>
                <w:b w:val="1"/>
                <w:bCs w:val="1"/>
                <w:color w:val="auto"/>
                <w:w w:val="89"/>
              </w:rPr>
              <w:t>2021</w:t>
            </w:r>
          </w:p>
        </w:tc>
      </w:tr>
      <w:tr>
        <w:trPr>
          <w:trHeight w:val="190"/>
        </w:trPr>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ACM Research (Shanghai), Inc.</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PRC, May 2005</w:t>
            </w:r>
          </w:p>
        </w:tc>
        <w:tc>
          <w:tcPr>
            <w:tcW w:w="124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82.5%</w:t>
            </w:r>
          </w:p>
        </w:tc>
        <w:tc>
          <w:tcPr>
            <w:tcW w:w="236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82.5%</w:t>
            </w:r>
          </w:p>
        </w:tc>
      </w:tr>
      <w:tr>
        <w:trPr>
          <w:trHeight w:val="190"/>
        </w:trPr>
        <w:tc>
          <w:tcPr>
            <w:tcW w:w="3400" w:type="dxa"/>
            <w:vAlign w:val="bottom"/>
            <w:gridSpan w:val="2"/>
          </w:tcPr>
          <w:p>
            <w:pPr>
              <w:spacing w:after="0"/>
              <w:rPr>
                <w:sz w:val="20"/>
                <w:szCs w:val="20"/>
                <w:color w:val="auto"/>
              </w:rPr>
            </w:pPr>
            <w:r>
              <w:rPr>
                <w:rFonts w:ascii="Arial" w:cs="Arial" w:eastAsia="Arial" w:hAnsi="Arial"/>
                <w:sz w:val="16"/>
                <w:szCs w:val="16"/>
                <w:color w:val="auto"/>
              </w:rPr>
              <w:t>ACM Research (Wuxi), Inc.</w:t>
            </w:r>
          </w:p>
        </w:tc>
        <w:tc>
          <w:tcPr>
            <w:tcW w:w="4260" w:type="dxa"/>
            <w:vAlign w:val="bottom"/>
          </w:tcPr>
          <w:p>
            <w:pPr>
              <w:ind w:left="980"/>
              <w:spacing w:after="0"/>
              <w:rPr>
                <w:sz w:val="20"/>
                <w:szCs w:val="20"/>
                <w:color w:val="auto"/>
              </w:rPr>
            </w:pPr>
            <w:r>
              <w:rPr>
                <w:rFonts w:ascii="Arial" w:cs="Arial" w:eastAsia="Arial" w:hAnsi="Arial"/>
                <w:sz w:val="16"/>
                <w:szCs w:val="16"/>
                <w:color w:val="auto"/>
              </w:rPr>
              <w:t>PRC, July 2011</w:t>
            </w:r>
          </w:p>
        </w:tc>
        <w:tc>
          <w:tcPr>
            <w:tcW w:w="1240" w:type="dxa"/>
            <w:vAlign w:val="bottom"/>
          </w:tcPr>
          <w:p>
            <w:pPr>
              <w:jc w:val="center"/>
              <w:ind w:left="481"/>
              <w:spacing w:after="0"/>
              <w:rPr>
                <w:sz w:val="20"/>
                <w:szCs w:val="20"/>
                <w:color w:val="auto"/>
              </w:rPr>
            </w:pPr>
            <w:r>
              <w:rPr>
                <w:rFonts w:ascii="Arial" w:cs="Arial" w:eastAsia="Arial" w:hAnsi="Arial"/>
                <w:sz w:val="16"/>
                <w:szCs w:val="16"/>
                <w:color w:val="auto"/>
                <w:w w:val="88"/>
              </w:rPr>
              <w:t>82.5%</w:t>
            </w:r>
          </w:p>
        </w:tc>
        <w:tc>
          <w:tcPr>
            <w:tcW w:w="2360" w:type="dxa"/>
            <w:vAlign w:val="bottom"/>
          </w:tcPr>
          <w:p>
            <w:pPr>
              <w:jc w:val="center"/>
              <w:ind w:left="481"/>
              <w:spacing w:after="0"/>
              <w:rPr>
                <w:sz w:val="20"/>
                <w:szCs w:val="20"/>
                <w:color w:val="auto"/>
              </w:rPr>
            </w:pPr>
            <w:r>
              <w:rPr>
                <w:rFonts w:ascii="Arial" w:cs="Arial" w:eastAsia="Arial" w:hAnsi="Arial"/>
                <w:sz w:val="16"/>
                <w:szCs w:val="16"/>
                <w:color w:val="auto"/>
                <w:w w:val="88"/>
              </w:rPr>
              <w:t>82.5%</w:t>
            </w:r>
          </w:p>
        </w:tc>
      </w:tr>
      <w:tr>
        <w:trPr>
          <w:trHeight w:val="190"/>
        </w:trPr>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CleanChip Technologies Limited</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Hong Kong, June 2017</w:t>
            </w:r>
          </w:p>
        </w:tc>
        <w:tc>
          <w:tcPr>
            <w:tcW w:w="124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82.5%</w:t>
            </w:r>
          </w:p>
        </w:tc>
        <w:tc>
          <w:tcPr>
            <w:tcW w:w="236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82.5%</w:t>
            </w:r>
          </w:p>
        </w:tc>
      </w:tr>
      <w:tr>
        <w:trPr>
          <w:trHeight w:val="190"/>
        </w:trPr>
        <w:tc>
          <w:tcPr>
            <w:tcW w:w="3400" w:type="dxa"/>
            <w:vAlign w:val="bottom"/>
            <w:gridSpan w:val="2"/>
          </w:tcPr>
          <w:p>
            <w:pPr>
              <w:spacing w:after="0"/>
              <w:rPr>
                <w:sz w:val="20"/>
                <w:szCs w:val="20"/>
                <w:color w:val="auto"/>
              </w:rPr>
            </w:pPr>
            <w:r>
              <w:rPr>
                <w:rFonts w:ascii="Arial" w:cs="Arial" w:eastAsia="Arial" w:hAnsi="Arial"/>
                <w:sz w:val="16"/>
                <w:szCs w:val="16"/>
                <w:color w:val="auto"/>
              </w:rPr>
              <w:t>ACM Research Korea CO., LTD.</w:t>
            </w:r>
          </w:p>
        </w:tc>
        <w:tc>
          <w:tcPr>
            <w:tcW w:w="4260" w:type="dxa"/>
            <w:vAlign w:val="bottom"/>
          </w:tcPr>
          <w:p>
            <w:pPr>
              <w:ind w:left="980"/>
              <w:spacing w:after="0"/>
              <w:rPr>
                <w:sz w:val="20"/>
                <w:szCs w:val="20"/>
                <w:color w:val="auto"/>
              </w:rPr>
            </w:pPr>
            <w:r>
              <w:rPr>
                <w:rFonts w:ascii="Arial" w:cs="Arial" w:eastAsia="Arial" w:hAnsi="Arial"/>
                <w:sz w:val="16"/>
                <w:szCs w:val="16"/>
                <w:color w:val="auto"/>
              </w:rPr>
              <w:t>Korea, December 2017</w:t>
            </w:r>
          </w:p>
        </w:tc>
        <w:tc>
          <w:tcPr>
            <w:tcW w:w="1240" w:type="dxa"/>
            <w:vAlign w:val="bottom"/>
          </w:tcPr>
          <w:p>
            <w:pPr>
              <w:jc w:val="center"/>
              <w:ind w:left="481"/>
              <w:spacing w:after="0"/>
              <w:rPr>
                <w:sz w:val="20"/>
                <w:szCs w:val="20"/>
                <w:color w:val="auto"/>
              </w:rPr>
            </w:pPr>
            <w:r>
              <w:rPr>
                <w:rFonts w:ascii="Arial" w:cs="Arial" w:eastAsia="Arial" w:hAnsi="Arial"/>
                <w:sz w:val="16"/>
                <w:szCs w:val="16"/>
                <w:color w:val="auto"/>
                <w:w w:val="88"/>
              </w:rPr>
              <w:t>82.5%</w:t>
            </w:r>
          </w:p>
        </w:tc>
        <w:tc>
          <w:tcPr>
            <w:tcW w:w="2360" w:type="dxa"/>
            <w:vAlign w:val="bottom"/>
          </w:tcPr>
          <w:p>
            <w:pPr>
              <w:jc w:val="center"/>
              <w:ind w:left="481"/>
              <w:spacing w:after="0"/>
              <w:rPr>
                <w:sz w:val="20"/>
                <w:szCs w:val="20"/>
                <w:color w:val="auto"/>
              </w:rPr>
            </w:pPr>
            <w:r>
              <w:rPr>
                <w:rFonts w:ascii="Arial" w:cs="Arial" w:eastAsia="Arial" w:hAnsi="Arial"/>
                <w:sz w:val="16"/>
                <w:szCs w:val="16"/>
                <w:color w:val="auto"/>
                <w:w w:val="88"/>
              </w:rPr>
              <w:t>82.5%</w:t>
            </w:r>
          </w:p>
        </w:tc>
      </w:tr>
      <w:tr>
        <w:trPr>
          <w:trHeight w:val="190"/>
        </w:trPr>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Shengwei Research (Shanghai), Inc.</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PRC, March 2019</w:t>
            </w:r>
          </w:p>
        </w:tc>
        <w:tc>
          <w:tcPr>
            <w:tcW w:w="124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82.5%</w:t>
            </w:r>
          </w:p>
        </w:tc>
        <w:tc>
          <w:tcPr>
            <w:tcW w:w="236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82.5%</w:t>
            </w:r>
          </w:p>
        </w:tc>
      </w:tr>
      <w:tr>
        <w:trPr>
          <w:trHeight w:val="190"/>
        </w:trPr>
        <w:tc>
          <w:tcPr>
            <w:tcW w:w="3400" w:type="dxa"/>
            <w:vAlign w:val="bottom"/>
            <w:gridSpan w:val="2"/>
          </w:tcPr>
          <w:p>
            <w:pPr>
              <w:spacing w:after="0"/>
              <w:rPr>
                <w:sz w:val="20"/>
                <w:szCs w:val="20"/>
                <w:color w:val="auto"/>
              </w:rPr>
            </w:pPr>
            <w:r>
              <w:rPr>
                <w:rFonts w:ascii="Arial" w:cs="Arial" w:eastAsia="Arial" w:hAnsi="Arial"/>
                <w:sz w:val="16"/>
                <w:szCs w:val="16"/>
                <w:color w:val="auto"/>
              </w:rPr>
              <w:t>ACM Research (CA), Inc.</w:t>
            </w:r>
          </w:p>
        </w:tc>
        <w:tc>
          <w:tcPr>
            <w:tcW w:w="4260" w:type="dxa"/>
            <w:vAlign w:val="bottom"/>
          </w:tcPr>
          <w:p>
            <w:pPr>
              <w:ind w:left="980"/>
              <w:spacing w:after="0"/>
              <w:rPr>
                <w:sz w:val="20"/>
                <w:szCs w:val="20"/>
                <w:color w:val="auto"/>
              </w:rPr>
            </w:pPr>
            <w:r>
              <w:rPr>
                <w:rFonts w:ascii="Arial" w:cs="Arial" w:eastAsia="Arial" w:hAnsi="Arial"/>
                <w:sz w:val="16"/>
                <w:szCs w:val="16"/>
                <w:color w:val="auto"/>
              </w:rPr>
              <w:t>USA, April 2019</w:t>
            </w:r>
          </w:p>
        </w:tc>
        <w:tc>
          <w:tcPr>
            <w:tcW w:w="1240" w:type="dxa"/>
            <w:vAlign w:val="bottom"/>
          </w:tcPr>
          <w:p>
            <w:pPr>
              <w:jc w:val="center"/>
              <w:ind w:left="481"/>
              <w:spacing w:after="0"/>
              <w:rPr>
                <w:sz w:val="20"/>
                <w:szCs w:val="20"/>
                <w:color w:val="auto"/>
              </w:rPr>
            </w:pPr>
            <w:r>
              <w:rPr>
                <w:rFonts w:ascii="Arial" w:cs="Arial" w:eastAsia="Arial" w:hAnsi="Arial"/>
                <w:sz w:val="16"/>
                <w:szCs w:val="16"/>
                <w:color w:val="auto"/>
                <w:w w:val="88"/>
              </w:rPr>
              <w:t>82.5%</w:t>
            </w:r>
          </w:p>
        </w:tc>
        <w:tc>
          <w:tcPr>
            <w:tcW w:w="2360" w:type="dxa"/>
            <w:vAlign w:val="bottom"/>
          </w:tcPr>
          <w:p>
            <w:pPr>
              <w:jc w:val="center"/>
              <w:ind w:left="481"/>
              <w:spacing w:after="0"/>
              <w:rPr>
                <w:sz w:val="20"/>
                <w:szCs w:val="20"/>
                <w:color w:val="auto"/>
              </w:rPr>
            </w:pPr>
            <w:r>
              <w:rPr>
                <w:rFonts w:ascii="Arial" w:cs="Arial" w:eastAsia="Arial" w:hAnsi="Arial"/>
                <w:sz w:val="16"/>
                <w:szCs w:val="16"/>
                <w:color w:val="auto"/>
                <w:w w:val="88"/>
              </w:rPr>
              <w:t>82.5%</w:t>
            </w:r>
          </w:p>
        </w:tc>
      </w:tr>
      <w:tr>
        <w:trPr>
          <w:trHeight w:val="190"/>
        </w:trPr>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ACM Research (Cayman), Inc.</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Cayman Islands, April 2019</w:t>
            </w:r>
          </w:p>
        </w:tc>
        <w:tc>
          <w:tcPr>
            <w:tcW w:w="124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100.0%</w:t>
            </w:r>
          </w:p>
        </w:tc>
        <w:tc>
          <w:tcPr>
            <w:tcW w:w="236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100.0%</w:t>
            </w:r>
          </w:p>
        </w:tc>
      </w:tr>
      <w:tr>
        <w:trPr>
          <w:trHeight w:val="190"/>
        </w:trPr>
        <w:tc>
          <w:tcPr>
            <w:tcW w:w="3400" w:type="dxa"/>
            <w:vAlign w:val="bottom"/>
            <w:gridSpan w:val="2"/>
          </w:tcPr>
          <w:p>
            <w:pPr>
              <w:spacing w:after="0"/>
              <w:rPr>
                <w:sz w:val="20"/>
                <w:szCs w:val="20"/>
                <w:color w:val="auto"/>
              </w:rPr>
            </w:pPr>
            <w:r>
              <w:rPr>
                <w:rFonts w:ascii="Arial" w:cs="Arial" w:eastAsia="Arial" w:hAnsi="Arial"/>
                <w:sz w:val="16"/>
                <w:szCs w:val="16"/>
                <w:color w:val="auto"/>
              </w:rPr>
              <w:t>ACM Research (Singapore) PTE. Ltd.</w:t>
            </w:r>
          </w:p>
        </w:tc>
        <w:tc>
          <w:tcPr>
            <w:tcW w:w="4260" w:type="dxa"/>
            <w:vAlign w:val="bottom"/>
          </w:tcPr>
          <w:p>
            <w:pPr>
              <w:ind w:left="980"/>
              <w:spacing w:after="0"/>
              <w:rPr>
                <w:sz w:val="20"/>
                <w:szCs w:val="20"/>
                <w:color w:val="auto"/>
              </w:rPr>
            </w:pPr>
            <w:r>
              <w:rPr>
                <w:rFonts w:ascii="Arial" w:cs="Arial" w:eastAsia="Arial" w:hAnsi="Arial"/>
                <w:sz w:val="16"/>
                <w:szCs w:val="16"/>
                <w:color w:val="auto"/>
              </w:rPr>
              <w:t>Singapore, August 2021</w:t>
            </w:r>
          </w:p>
        </w:tc>
        <w:tc>
          <w:tcPr>
            <w:tcW w:w="1240" w:type="dxa"/>
            <w:vAlign w:val="bottom"/>
          </w:tcPr>
          <w:p>
            <w:pPr>
              <w:jc w:val="center"/>
              <w:ind w:left="481"/>
              <w:spacing w:after="0"/>
              <w:rPr>
                <w:sz w:val="20"/>
                <w:szCs w:val="20"/>
                <w:color w:val="auto"/>
              </w:rPr>
            </w:pPr>
            <w:r>
              <w:rPr>
                <w:rFonts w:ascii="Arial" w:cs="Arial" w:eastAsia="Arial" w:hAnsi="Arial"/>
                <w:sz w:val="16"/>
                <w:szCs w:val="16"/>
                <w:color w:val="auto"/>
                <w:w w:val="88"/>
              </w:rPr>
              <w:t>100.0%</w:t>
            </w:r>
          </w:p>
        </w:tc>
        <w:tc>
          <w:tcPr>
            <w:tcW w:w="2360" w:type="dxa"/>
            <w:vAlign w:val="bottom"/>
          </w:tcPr>
          <w:p>
            <w:pPr>
              <w:jc w:val="center"/>
              <w:ind w:left="481"/>
              <w:spacing w:after="0"/>
              <w:rPr>
                <w:sz w:val="20"/>
                <w:szCs w:val="20"/>
                <w:color w:val="auto"/>
              </w:rPr>
            </w:pPr>
            <w:r>
              <w:rPr>
                <w:rFonts w:ascii="Arial" w:cs="Arial" w:eastAsia="Arial" w:hAnsi="Arial"/>
                <w:sz w:val="16"/>
                <w:szCs w:val="16"/>
                <w:color w:val="auto"/>
                <w:w w:val="88"/>
              </w:rPr>
              <w:t>100.0%</w:t>
            </w:r>
          </w:p>
        </w:tc>
      </w:tr>
      <w:tr>
        <w:trPr>
          <w:trHeight w:val="190"/>
        </w:trPr>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ACM Research (Beijing), Inc.</w:t>
            </w:r>
          </w:p>
        </w:tc>
        <w:tc>
          <w:tcPr>
            <w:tcW w:w="4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PRC, February 2022</w:t>
            </w:r>
          </w:p>
        </w:tc>
        <w:tc>
          <w:tcPr>
            <w:tcW w:w="124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8"/>
              </w:rPr>
              <w:t>82.5%</w:t>
            </w:r>
          </w:p>
        </w:tc>
        <w:tc>
          <w:tcPr>
            <w:tcW w:w="236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74"/>
              </w:rPr>
              <w:t>-</w:t>
            </w:r>
          </w:p>
        </w:tc>
      </w:tr>
      <w:tr>
        <w:trPr>
          <w:trHeight w:val="201"/>
        </w:trPr>
        <w:tc>
          <w:tcPr>
            <w:tcW w:w="3400" w:type="dxa"/>
            <w:vAlign w:val="bottom"/>
            <w:gridSpan w:val="2"/>
          </w:tcPr>
          <w:p>
            <w:pPr>
              <w:spacing w:after="0"/>
              <w:rPr>
                <w:sz w:val="20"/>
                <w:szCs w:val="20"/>
                <w:color w:val="auto"/>
              </w:rPr>
            </w:pPr>
            <w:r>
              <w:rPr>
                <w:rFonts w:ascii="Arial" w:cs="Arial" w:eastAsia="Arial" w:hAnsi="Arial"/>
                <w:sz w:val="16"/>
                <w:szCs w:val="16"/>
                <w:color w:val="auto"/>
              </w:rPr>
              <w:t>Hanguk ACM CO., LTD</w:t>
            </w:r>
          </w:p>
        </w:tc>
        <w:tc>
          <w:tcPr>
            <w:tcW w:w="4260" w:type="dxa"/>
            <w:vAlign w:val="bottom"/>
          </w:tcPr>
          <w:p>
            <w:pPr>
              <w:ind w:left="980"/>
              <w:spacing w:after="0"/>
              <w:rPr>
                <w:sz w:val="20"/>
                <w:szCs w:val="20"/>
                <w:color w:val="auto"/>
              </w:rPr>
            </w:pPr>
            <w:r>
              <w:rPr>
                <w:rFonts w:ascii="Arial" w:cs="Arial" w:eastAsia="Arial" w:hAnsi="Arial"/>
                <w:sz w:val="16"/>
                <w:szCs w:val="16"/>
                <w:color w:val="auto"/>
              </w:rPr>
              <w:t>Korea, March 2022</w:t>
            </w:r>
          </w:p>
        </w:tc>
        <w:tc>
          <w:tcPr>
            <w:tcW w:w="1240" w:type="dxa"/>
            <w:vAlign w:val="bottom"/>
          </w:tcPr>
          <w:p>
            <w:pPr>
              <w:jc w:val="center"/>
              <w:ind w:left="481"/>
              <w:spacing w:after="0"/>
              <w:rPr>
                <w:sz w:val="20"/>
                <w:szCs w:val="20"/>
                <w:color w:val="auto"/>
              </w:rPr>
            </w:pPr>
            <w:r>
              <w:rPr>
                <w:rFonts w:ascii="Arial" w:cs="Arial" w:eastAsia="Arial" w:hAnsi="Arial"/>
                <w:sz w:val="16"/>
                <w:szCs w:val="16"/>
                <w:color w:val="auto"/>
                <w:w w:val="88"/>
              </w:rPr>
              <w:t>100.0%</w:t>
            </w:r>
          </w:p>
        </w:tc>
        <w:tc>
          <w:tcPr>
            <w:tcW w:w="2360" w:type="dxa"/>
            <w:vAlign w:val="bottom"/>
          </w:tcPr>
          <w:p>
            <w:pPr>
              <w:jc w:val="center"/>
              <w:ind w:left="481"/>
              <w:spacing w:after="0"/>
              <w:rPr>
                <w:sz w:val="20"/>
                <w:szCs w:val="20"/>
                <w:color w:val="auto"/>
              </w:rPr>
            </w:pPr>
            <w:r>
              <w:rPr>
                <w:rFonts w:ascii="Arial" w:cs="Arial" w:eastAsia="Arial" w:hAnsi="Arial"/>
                <w:sz w:val="16"/>
                <w:szCs w:val="16"/>
                <w:color w:val="auto"/>
                <w:w w:val="74"/>
              </w:rPr>
              <w:t>-</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1. ACM Research (Lingang) Inc., or ACM Lingang, is the English name referred to by its Chinese language name Shengwei Research (Shanghai), Inc. in prior filings</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Basis of Presentation and Principles of Consolidation</w:t>
      </w:r>
    </w:p>
    <w:p>
      <w:pPr>
        <w:spacing w:after="0" w:line="196"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The Company’s consolidated financial statements include the accounts of ACM and its subsidiaries, including ACM Shanghai and its subsidiaries, which include ACM Wuxi, ACM Shengwei, ACM Beijing and CleanChip (the subsidiaries of which include ACM California and ACM Korea). ACM’s subsidiaries are those entities in which ACM, directly and indirectly, controls more than one half of the voting power. All significant intercompany transactions and balances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COVID-19 Assessment</w:t>
      </w:r>
    </w:p>
    <w:p>
      <w:pPr>
        <w:spacing w:after="0" w:line="196"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could continue to result in economic uncertainty and global economic policies that could reduce demand for the Company’s products and its customers’ chips and have a material adverse impact on the Company’s business, operating results and financial condition.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104" w:name="page105"/>
    <w:bookmarkEnd w:id="104"/>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spacing w:after="0" w:line="270" w:lineRule="auto"/>
        <w:rPr>
          <w:sz w:val="20"/>
          <w:szCs w:val="20"/>
          <w:color w:val="auto"/>
        </w:rPr>
      </w:pPr>
      <w:r>
        <w:rPr>
          <w:rFonts w:ascii="Arial" w:cs="Arial" w:eastAsia="Arial" w:hAnsi="Arial"/>
          <w:sz w:val="16"/>
          <w:szCs w:val="16"/>
          <w:color w:val="auto"/>
        </w:rPr>
        <w:t>The Company conducts substantially all of its product development, manufacturing, support and services in the PRC, and those activities have been directly impacted by COVID-19 and related restrictions on transportation and public appearances.</w:t>
      </w:r>
    </w:p>
    <w:p>
      <w:pPr>
        <w:spacing w:after="0" w:line="156" w:lineRule="exact"/>
        <w:rPr>
          <w:sz w:val="20"/>
          <w:szCs w:val="20"/>
          <w:color w:val="auto"/>
        </w:rPr>
      </w:pPr>
    </w:p>
    <w:p>
      <w:pPr>
        <w:jc w:val="both"/>
        <w:ind w:left="285" w:hanging="285"/>
        <w:spacing w:after="0" w:line="265" w:lineRule="auto"/>
        <w:tabs>
          <w:tab w:leader="none" w:pos="285"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 March 2022, several regions in China began to experience elevated levels of COVID-19 infections, and the PRC government instituted policies to restrict the spread of the virus.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Although the facility remained partially operational with a number of personnel staying on-site for a prolonged period, the level of production declined significantly versus more normal levels. Furthermore, a number of the Company’s customers have substantial operations based in operations areas of the PRC, including in the City of Shanghai, subject to full-city restrictions, which began limiting the operations of those customers since the first quarter of 2022, including inhibiting their ability to receive, implement and operate new tools for their manufacturing facilities. As a result, in some cases, ACM Shanghai was required to defer shipments of finished products to these customers because of operational and logistical limitations affecting customers other than, or in addition to, ACM Shanghai.</w:t>
      </w:r>
    </w:p>
    <w:p>
      <w:pPr>
        <w:spacing w:after="0" w:line="5" w:lineRule="exact"/>
        <w:rPr>
          <w:rFonts w:ascii="Arial" w:cs="Arial" w:eastAsia="Arial" w:hAnsi="Arial"/>
          <w:sz w:val="15"/>
          <w:szCs w:val="15"/>
          <w:color w:val="auto"/>
        </w:rPr>
      </w:pPr>
    </w:p>
    <w:p>
      <w:pPr>
        <w:jc w:val="both"/>
        <w:ind w:left="285" w:hanging="285"/>
        <w:spacing w:after="0" w:line="283" w:lineRule="auto"/>
        <w:tabs>
          <w:tab w:leader="none" w:pos="285"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late April 2022, ACM Shanghai began to increase the level of its operations at the Chuansha manufacturing site using the “closed loop method,” in which a limited collection of workers remain together as a group between a single hotel, the ACM Shanghai facility, and a dedicated bus transportation route, also referred to as “two spots and one line,” and had resumed substantially all of its Chuansha manufacturing site operations by the end of the second quarter of 2022. On July 1, 2022, the Company transitioned operations at the Chuansha facility to a more normal production process, in which workers were able to return home following their factory shifts.</w:t>
      </w:r>
    </w:p>
    <w:p>
      <w:pPr>
        <w:jc w:val="both"/>
        <w:ind w:left="285" w:hanging="285"/>
        <w:spacing w:after="0" w:line="283" w:lineRule="auto"/>
        <w:tabs>
          <w:tab w:leader="none" w:pos="285"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mid-June 2022, substantially all of ACM Shanghai’s R&amp;D and administrative employees were allowed to return to work at the ZhangJiang facility following a 6–8-week period of restricted access during which many employees had continued to work from home. ACM Shanghai established several policies to help avoid or limit future outbreaks among employees and aimed at protecting employee safety and limiting the possibility of a facility reclosing. The effects of the PRC restrictions continued for several months, with a gradual return of PRC operations, production capacity, and global logistics as Shanghai and other areas in the PRC began to reopen. The Company cannot assure you that closures or reductions of PRC operations or production, whether of ACM Shanghai or of some of its key customers, may not be extended in the future as the result of business interruptions arising from protective measures being taken by the PRC and other governmental agencies or of other consequences of COVID-19.</w:t>
      </w:r>
    </w:p>
    <w:p>
      <w:pPr>
        <w:spacing w:after="0" w:line="1" w:lineRule="exact"/>
        <w:rPr>
          <w:rFonts w:ascii="Arial" w:cs="Arial" w:eastAsia="Arial" w:hAnsi="Arial"/>
          <w:sz w:val="14"/>
          <w:szCs w:val="14"/>
          <w:color w:val="auto"/>
        </w:rPr>
      </w:pPr>
    </w:p>
    <w:p>
      <w:pPr>
        <w:jc w:val="both"/>
        <w:ind w:left="285" w:hanging="285"/>
        <w:spacing w:after="0" w:line="297" w:lineRule="auto"/>
        <w:tabs>
          <w:tab w:leader="none" w:pos="285"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December 2022, the PRC government relaxed its zero-COVID policies, which resulted in large scale COVID-19 infections throughout China, including Shanghai. A significant number of ACM Shanghai employees were also infected, and in many cases missed work for one or several weeks, which caused administrative and operational challenges in late 2022 and early 2023. The Company cannot assure you that illnesses of ACM Shanghai employees, or of its customers, suppliers or other third parties, may not result in closures, reductions of PRC operations or production, or additional administrative inefficiencies in the upcoming months or quarters.</w:t>
      </w:r>
    </w:p>
    <w:p>
      <w:pPr>
        <w:spacing w:after="0" w:line="142" w:lineRule="exact"/>
        <w:rPr>
          <w:sz w:val="20"/>
          <w:szCs w:val="20"/>
          <w:color w:val="auto"/>
        </w:rPr>
      </w:pPr>
    </w:p>
    <w:p>
      <w:pPr>
        <w:jc w:val="both"/>
        <w:ind w:left="5"/>
        <w:spacing w:after="0" w:line="274" w:lineRule="auto"/>
        <w:rPr>
          <w:sz w:val="20"/>
          <w:szCs w:val="20"/>
          <w:color w:val="auto"/>
        </w:rPr>
      </w:pPr>
      <w:r>
        <w:rPr>
          <w:rFonts w:ascii="Arial" w:cs="Arial" w:eastAsia="Arial" w:hAnsi="Arial"/>
          <w:sz w:val="15"/>
          <w:szCs w:val="15"/>
          <w:color w:val="auto"/>
        </w:rPr>
        <w:t>During the first six months of 2022, the Company experienced a negative impact to revenue and shipments as a result of restricted access and logistics to its Shanghai-based production and administrative facilities. Thirteen tools amounting to $13 million in revenue and $24 million in shipments that could not be shipped to customers in the three-months ended March 31, 2022 were subsequently shipped in the three months ended June 30, 2022. As a result of the restrictions, the Company experienced a modest increase to operational costs due to increased logistics costs and inefficiencies that resulted from the restrictions, and an increase in cash used in operations due in part to an increase in accounts receivables that resulted from a shift of shipments towards the latter part of the period.</w:t>
      </w:r>
    </w:p>
    <w:p>
      <w:pPr>
        <w:spacing w:after="0" w:line="155"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During the year ended December 31, 2022, the Company experienced general inefficiencies in administrative, research and development and other activities due to some employees who were required to quarantine ‘in place’ at their residence due presumably to the detected possible exposure to COVID infections. In many cases, the employees were able to work remotely to mitigate the effects. With the relaxation of the PRC’s zero-COVID policies in December 2022, and the subsequent widespread infections of China’s population, the Company anticipates potential impacts to its PRC operations for the foreseeable future.</w:t>
      </w:r>
    </w:p>
    <w:p>
      <w:pPr>
        <w:spacing w:after="0" w:line="168"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The Company’s corporate headquarters are located in Fremont, California. The effects of actions taken by local governmental agencies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330"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To date, the Company’s operations in South Korea, including the R&amp;D center and production facilities of ACM Korea and the business development activities of Hanguk ACM CO., LTD, have been largely unaffected directly by government restrictions relating to the COVID-19 pandemic.</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worldwide prolonged and broad-based shift to remote working environments resulting from COVID-19 continues to create inherent productivity, connectivity, and oversight challenges and could affect the Company’s ability to enhance, develop and support existing products and services, detect and prevent spam and problematic content, hold product sales and marketing events, and generate new sales leads. In addition, the changed environment under which the Company is operating could have an effect on its internal controls over financial reporting as well as its ability to comply with a number of timing and quality requirements. Additional or extended governmental quarantines, restrictions or regulations could significantly impact the ability of the Company’s employees and vendors to work productively. Governmental restrictions have been inconsistent globally and it remains unclear when a return to worksite locations or travel will be permitted or what restrictions will be in place in those environments.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Estimates</w:t>
      </w:r>
    </w:p>
    <w:p>
      <w:pPr>
        <w:spacing w:after="0" w:line="196"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fair value of trading securities, stock-based compensation arrangements,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Management evaluates these estimates and assumptions on a regular basis. Actual results could differ from those estimates and assumptions.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Common Stock Split</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All prior period share and per share amounts, common stock, other capital, and retained earnings information presented in the accompanying financial statements and these notes thereto has been retroactively adjusted to reflect the impact of the Stock Split. Proportional adjustments were also made to outstanding awards under the Company’s stock-based compensation plans.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Reclassifications</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Certain prior year amounts in the notes to the Consolidated Financial Statements have been reclassified to conform with the current year presentation. These classifications within the statements had no impact on the Company’s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Restrictions by the U.S. Department of Commerce on PRC-Based Semiconductor Producers</w:t>
      </w:r>
    </w:p>
    <w:p>
      <w:pPr>
        <w:spacing w:after="0" w:line="19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In early October 2022 the U.S. government enacted new rules aimed at restricting U.S. support for the PRC’s ability to manufacture advanced semiconductors. The rules include new export license requirements for exports, re-exports or transfers to or within the PRC of additional types of semiconductor manufacturing items, items for use in manufacturing designated types of semiconductor manufacturing equipment in the PRC, and semiconductor manufacturing equipment for use at certain IC manufacturing and development facilities in the PRC. In addition, the U.S. government imposed new restrictions by which U.S. persons anywhere in the world are effectively barred from engaging in certain activities related to the development and production of certain semiconductors at PRC fabrication facilities meeting specified criteria, even if no items subject to the EAR are involved.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329"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ACM Shanghai has determined that several of its customers have PRC-based facilities that meet the restricted criteria, and has also determined that several of its products may meet the parameters of export control classification numbers, or ECCNs, affected by the restrictions. Accordingly, depending on the details of the final implementation of these new restrictions and associates licensing policies, ACM may not be able to import, or may face substantial restrictions in importing, parts from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their supply chains more broadly to comply with the new regulations.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ACM and ACM Shanghai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three months ended December 31, 2022. ACM and ACM Shanghai anticipate these factors will continue to have an adverse impact on ACM Shanghai’s shipments and sales in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and Cash Equivalents</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Cash and cash equivalents consist of cash on hand and bank deposits that are unrestricted as to withdrawal and use, and highly liquid investments with an original maturity date of three months or less at the date of purchase. At times, cash deposits may exceed government-insured limits.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gridSpan w:val="2"/>
          </w:tcPr>
          <w:p>
            <w:pPr>
              <w:spacing w:after="0"/>
              <w:rPr>
                <w:sz w:val="20"/>
                <w:szCs w:val="20"/>
                <w:color w:val="auto"/>
              </w:rPr>
            </w:pPr>
            <w:r>
              <w:rPr>
                <w:rFonts w:ascii="Arial" w:cs="Arial" w:eastAsia="Arial" w:hAnsi="Arial"/>
                <w:sz w:val="16"/>
                <w:szCs w:val="16"/>
                <w:color w:val="auto"/>
                <w:w w:val="92"/>
              </w:rPr>
              <w:t>The following table presents cash and cash equivalents, according to jurisdiction as of December 31, 2022 and December 31, 2021:</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5"/>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25,011</w:t>
            </w:r>
          </w:p>
        </w:tc>
        <w:tc>
          <w:tcPr>
            <w:tcW w:w="4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34,852</w:t>
            </w:r>
          </w:p>
        </w:tc>
        <w:tc>
          <w:tcPr>
            <w:tcW w:w="12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Mainland China</w:t>
            </w:r>
          </w:p>
        </w:tc>
        <w:tc>
          <w:tcPr>
            <w:tcW w:w="240" w:type="dxa"/>
            <w:vAlign w:val="bottom"/>
          </w:tcPr>
          <w:p>
            <w:pPr>
              <w:spacing w:after="0"/>
              <w:rPr>
                <w:sz w:val="16"/>
                <w:szCs w:val="16"/>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129,695</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469,494</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China Hong Kong</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89,187</w:t>
            </w: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52,527</w:t>
            </w:r>
          </w:p>
        </w:tc>
        <w:tc>
          <w:tcPr>
            <w:tcW w:w="12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South Korea</w:t>
            </w:r>
          </w:p>
        </w:tc>
        <w:tc>
          <w:tcPr>
            <w:tcW w:w="240" w:type="dxa"/>
            <w:vAlign w:val="bottom"/>
          </w:tcPr>
          <w:p>
            <w:pPr>
              <w:spacing w:after="0"/>
              <w:rPr>
                <w:sz w:val="16"/>
                <w:szCs w:val="16"/>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4,007</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5,675</w:t>
            </w: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Singapore</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4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247,951</w:t>
            </w:r>
          </w:p>
        </w:tc>
        <w:tc>
          <w:tcPr>
            <w:tcW w:w="4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562,548</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amounts in mainland China do not include short-term and long-term time deposits which totaled $172,448 and $0 at December 31, 2022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Cash held in the U.S. exceeds the Federal Deposit Insurance Corporation (“FDIC”) insurance limits and is subject to risk of loss. No losses have been experienced to date.</w:t>
      </w:r>
    </w:p>
    <w:p>
      <w:pPr>
        <w:spacing w:after="0" w:line="219"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Cash amounts held by ACM Shanghai at PRC banks in mainland China are subject to a series of risk control regulatory standards from PRC bank regulatory authorities. ACM Shanghai is required to obtain approval from the State Administration of Foreign Exchange (“SAFE”) to transfer funds into or out of the PRC. SAFE requires a valid agreement to approve the transfers, which are processed through a bank. Other than these PRC foreign exchange restrictions, ACM Shanghai is not subject to any PRC restrictions and limitations on its ability to transfer funds to ACM Research or among our other subsidiaries. However, cash held by ACM Shanghai in mainland China does exceed applicable insurance limits and is subject to risk of loss, although no such losses have been experienced to date.</w:t>
      </w:r>
    </w:p>
    <w:p>
      <w:pPr>
        <w:spacing w:after="0" w:line="15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ACM California periodically procures goods and services on behalf of ACM Shanghai. For these transactions, ACM Shanghai makes cash payments to ACM California in accordance with applicable transfer pricing arrangements. For the year ended December 31, 2022, cash payments from ACM Shanghai to ACM California for the procurement of goods was $37.0 million and for services was $3.3 million. ACM California periodically borrows funds for working capital advances from its direct parent, CleanChip. ACM California repays or renews these intercompany loans in accordance with their terms.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For sales through CleanChip and ACM Research, a certain amount of sales or advance payments from customer proceeds is repatriated back to ACM Shanghai, a subsidiary,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Inc. in accordance with applicable transfer pricing arrangements.</w:t>
      </w:r>
    </w:p>
    <w:p>
      <w:pPr>
        <w:spacing w:after="0" w:line="15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Subsequent to June 30, 2020, with the exception of sales and services-related transfer-pricing payments in the ordinary course of business, no cash transfers, dividends or other payments or distributions have been made between ACM Research and ACM Shanghai. The Company intends to retain any future earnings to finance the operations and expenses of the business, and do not expect to distribute earnings or declare or pay any dividends in the foreseeable future.</w:t>
      </w:r>
    </w:p>
    <w:p>
      <w:pPr>
        <w:spacing w:after="0" w:line="16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Amounts held in South Korea exceed the Korea Deposit Insurance Corporation (“KDIC”) insurance limits and are subject to risk of loss. No losses have been experienced to date.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There is no additional restriction for the transfer of cash from bank accounts in the U.S., South Korea, and Hong Kong.</w:t>
      </w:r>
    </w:p>
    <w:p>
      <w:pPr>
        <w:spacing w:after="0" w:line="196"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color w:val="auto"/>
        </w:rPr>
        <w:t>For the years ended December 31, 2022 and 2021, with the exception of sales and services-related transfer-pricing payments in the ordinary course of business, no transfers, dividends, or distributions have been made between ACM Research and its subsidiaries, including ACM Shanghai, or to holders of ACM Research Class A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Time Deposits</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Time deposits are deposited with banks in mainland China with fixed terms and interest rates which cannot be withdrawn before maturity. They are also subject to the risk control regulatory standards described above upon maturity. Time deposits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Deposit in China Merchant Bank which matures on January 29, 2023 with an annual interest rate of 2.25%</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Deposit in China Everbright Bank which matures on January 29, 2023 with an annual interest rate of 2.25%</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14,360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Deposit in China Everbright Bank which matures on May 22, 2023 with an annual interest rate of 5.07%</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Deposit in China Industrial Bank which matures on January 30, 2023 with an annual interest rate of 2.15%</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14,360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Deposit in China Merchant Bank which matures on January 29, 2024 with an annual interest rate of 2.85%</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28,720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Deposit in Bank of Ningbo which matures on February 17, 2024 with an annual interest rate of 2.85%</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43,080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w w:val="95"/>
              </w:rPr>
              <w:t>Deposit in Shanghai Pudong Development Bank which matures on October 20, 2025 with an annual interest rate of 3.10%</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7,180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tcPr>
          <w:p>
            <w:pPr>
              <w:spacing w:after="0"/>
              <w:rPr>
                <w:sz w:val="20"/>
                <w:szCs w:val="20"/>
                <w:color w:val="auto"/>
              </w:rPr>
            </w:pPr>
            <w:r>
              <w:rPr>
                <w:rFonts w:ascii="Arial" w:cs="Arial" w:eastAsia="Arial" w:hAnsi="Arial"/>
                <w:sz w:val="16"/>
                <w:szCs w:val="16"/>
                <w:color w:val="auto"/>
                <w:w w:val="93"/>
              </w:rPr>
              <w:t>Deposit in Shanghai Pudong Development Bank which matures on November 14, 2025 with an annual interest rate of 3.10%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w w:val="94"/>
              </w:rPr>
              <w:t>Deposit in Shanghai Pudong Development Bank which matures on December 8, 2025 with an annual interest rate of 3.10%</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4,308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tcPr>
          <w:p>
            <w:pPr>
              <w:spacing w:after="0"/>
              <w:rPr>
                <w:sz w:val="20"/>
                <w:szCs w:val="20"/>
                <w:color w:val="auto"/>
              </w:rPr>
            </w:pPr>
            <w:r>
              <w:rPr>
                <w:rFonts w:ascii="Arial" w:cs="Arial" w:eastAsia="Arial" w:hAnsi="Arial"/>
                <w:sz w:val="16"/>
                <w:szCs w:val="16"/>
                <w:color w:val="auto"/>
                <w:w w:val="93"/>
              </w:rPr>
              <w:t>Deposit in Shanghai Pudong Development Bank which matures on December 15, 2025 with an annual interest rate of 3.10%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4,308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w w:val="93"/>
              </w:rPr>
              <w:t>Deposit in Shanghai Pudong Development Bank which matures on December 30, 2025 with an annual interest rate of 3.10%</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6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172,448</w:t>
            </w:r>
          </w:p>
        </w:tc>
        <w:tc>
          <w:tcPr>
            <w:tcW w:w="480" w:type="dxa"/>
            <w:vAlign w:val="bottom"/>
            <w:gridSpan w:val="2"/>
          </w:tcPr>
          <w:p>
            <w:pPr>
              <w:jc w:val="right"/>
              <w:ind w:right="22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jc w:val="right"/>
              <w:ind w:right="2501"/>
              <w:spacing w:after="0"/>
              <w:rPr>
                <w:sz w:val="20"/>
                <w:szCs w:val="20"/>
                <w:color w:val="auto"/>
              </w:rPr>
            </w:pPr>
            <w:r>
              <w:rPr>
                <w:rFonts w:ascii="Arial" w:cs="Arial" w:eastAsia="Arial" w:hAnsi="Arial"/>
                <w:sz w:val="13"/>
                <w:szCs w:val="13"/>
                <w:color w:val="auto"/>
              </w:rPr>
              <w:t>107</w:t>
            </w: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83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08" w:name="page109"/>
    <w:bookmarkEnd w:id="108"/>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6"/>
          <w:szCs w:val="16"/>
          <w:color w:val="auto"/>
        </w:rPr>
        <w:t>For the years ended December 31, 2022 and 2021, respectively, interest income related to time deposits was $3,472 and $0, respectively.</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Accounts Receivable</w:t>
      </w:r>
    </w:p>
    <w:p>
      <w:pPr>
        <w:spacing w:after="0" w:line="196"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current economic trends and reasonable and supportable forecasts. Accounts are written off after all collection efforts have been exhausted. At December 31, 2022, and 2021, the Company, based on a review of its outstanding balances and its customers, determined the allowance for doubtful accounts was both $0.</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Land Use Right, Net</w:t>
      </w:r>
    </w:p>
    <w:p>
      <w:pPr>
        <w:spacing w:after="0" w:line="196" w:lineRule="exact"/>
        <w:rPr>
          <w:sz w:val="20"/>
          <w:szCs w:val="20"/>
          <w:color w:val="auto"/>
        </w:rPr>
      </w:pPr>
    </w:p>
    <w:p>
      <w:pPr>
        <w:jc w:val="both"/>
        <w:ind w:left="5" w:right="20"/>
        <w:spacing w:after="0" w:line="342" w:lineRule="auto"/>
        <w:rPr>
          <w:sz w:val="20"/>
          <w:szCs w:val="20"/>
          <w:color w:val="auto"/>
        </w:rPr>
      </w:pPr>
      <w:r>
        <w:rPr>
          <w:rFonts w:ascii="Arial" w:cs="Arial" w:eastAsia="Arial" w:hAnsi="Arial"/>
          <w:sz w:val="14"/>
          <w:szCs w:val="14"/>
          <w:color w:val="auto"/>
        </w:rPr>
        <w:t>The land use right represents the cost to purchase a right to use state-owned land in the PRC with lease terms of 50 years expiring in 2070, for which an upfront lump-sum payment was made during the year ended December 31, 2020. The Company classifies the land use right as non-current assets on the consolidated balance sheets (note 7).</w:t>
      </w:r>
    </w:p>
    <w:p>
      <w:pPr>
        <w:spacing w:after="0" w:line="111"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The land use right is carried at cost less accumulated amortization and impairment losses, if any. Amortization is computed using the straight-line method over the term specified in the land use right certificate, which is 50 years.</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Inventory</w:t>
      </w:r>
    </w:p>
    <w:p>
      <w:pPr>
        <w:spacing w:after="0" w:line="196" w:lineRule="exact"/>
        <w:rPr>
          <w:sz w:val="20"/>
          <w:szCs w:val="20"/>
          <w:color w:val="auto"/>
        </w:rPr>
      </w:pPr>
    </w:p>
    <w:p>
      <w:pPr>
        <w:jc w:val="both"/>
        <w:ind w:left="5"/>
        <w:spacing w:after="0" w:line="270" w:lineRule="auto"/>
        <w:rPr>
          <w:sz w:val="20"/>
          <w:szCs w:val="20"/>
          <w:color w:val="auto"/>
        </w:rPr>
      </w:pPr>
      <w:r>
        <w:rPr>
          <w:rFonts w:ascii="Arial" w:cs="Arial" w:eastAsia="Arial" w:hAnsi="Arial"/>
          <w:sz w:val="16"/>
          <w:szCs w:val="16"/>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color w:val="auto"/>
        </w:rPr>
        <w:t>Inventory was recorded at the lower of cost or net realizable value at December 31, 2022 and 2021.</w:t>
      </w:r>
    </w:p>
    <w:p>
      <w:pPr>
        <w:spacing w:after="0" w:line="196" w:lineRule="exact"/>
        <w:rPr>
          <w:sz w:val="20"/>
          <w:szCs w:val="20"/>
          <w:color w:val="auto"/>
        </w:rPr>
      </w:pPr>
    </w:p>
    <w:p>
      <w:pPr>
        <w:jc w:val="both"/>
        <w:ind w:left="425" w:hanging="425"/>
        <w:spacing w:after="0" w:line="268" w:lineRule="auto"/>
        <w:tabs>
          <w:tab w:leader="none" w:pos="425"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ind w:left="425" w:hanging="425"/>
        <w:spacing w:after="0"/>
        <w:tabs>
          <w:tab w:leader="none" w:pos="425"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Net realizable value is the estimated selling price, in the ordinary course of business, less estimated costs to complete or dispose.</w:t>
      </w:r>
    </w:p>
    <w:p>
      <w:pPr>
        <w:spacing w:after="0" w:line="185"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Property, Plant and Equipment, Net</w:t>
      </w:r>
    </w:p>
    <w:p>
      <w:pPr>
        <w:spacing w:after="0" w:line="196"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Property, plant, and equipment is reviewed each year to determine whether any events or circumstances indicate that the carrying amount of the assets may not be recoverable. There was no impairment charge that was recognized for the years ended December 31, 2022 and 2021.</w:t>
      </w:r>
    </w:p>
    <w:p>
      <w:pPr>
        <w:spacing w:after="0" w:line="31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49"/>
        </w:trPr>
        <w:tc>
          <w:tcPr>
            <w:tcW w:w="334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7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340" w:type="dxa"/>
            <w:vAlign w:val="bottom"/>
            <w:gridSpan w:val="3"/>
          </w:tcPr>
          <w:p>
            <w:pPr>
              <w:spacing w:after="0"/>
              <w:rPr>
                <w:sz w:val="20"/>
                <w:szCs w:val="20"/>
                <w:color w:val="auto"/>
              </w:rPr>
            </w:pPr>
            <w:r>
              <w:rPr>
                <w:rFonts w:ascii="Arial" w:cs="Arial" w:eastAsia="Arial" w:hAnsi="Arial"/>
                <w:sz w:val="16"/>
                <w:szCs w:val="16"/>
                <w:color w:val="auto"/>
              </w:rPr>
              <w:t>Estimated useful lives of assets are as follows:</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Buildings and Plants</w:t>
            </w:r>
          </w:p>
        </w:tc>
        <w:tc>
          <w:tcPr>
            <w:tcW w:w="7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30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Computer and office equipment</w:t>
            </w:r>
          </w:p>
        </w:tc>
        <w:tc>
          <w:tcPr>
            <w:tcW w:w="7920" w:type="dxa"/>
            <w:vAlign w:val="bottom"/>
          </w:tcPr>
          <w:p>
            <w:pPr>
              <w:ind w:left="400"/>
              <w:spacing w:after="0"/>
              <w:rPr>
                <w:sz w:val="20"/>
                <w:szCs w:val="20"/>
                <w:color w:val="auto"/>
              </w:rPr>
            </w:pPr>
            <w:r>
              <w:rPr>
                <w:rFonts w:ascii="Arial" w:cs="Arial" w:eastAsia="Arial" w:hAnsi="Arial"/>
                <w:sz w:val="16"/>
                <w:szCs w:val="16"/>
                <w:color w:val="auto"/>
              </w:rPr>
              <w:t>3 to 5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7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Leasehold improvements</w:t>
            </w:r>
          </w:p>
        </w:tc>
        <w:tc>
          <w:tcPr>
            <w:tcW w:w="7920" w:type="dxa"/>
            <w:vAlign w:val="bottom"/>
          </w:tcPr>
          <w:p>
            <w:pPr>
              <w:ind w:left="400"/>
              <w:spacing w:after="0"/>
              <w:rPr>
                <w:sz w:val="20"/>
                <w:szCs w:val="20"/>
                <w:color w:val="auto"/>
              </w:rPr>
            </w:pPr>
            <w:r>
              <w:rPr>
                <w:rFonts w:ascii="Arial" w:cs="Arial" w:eastAsia="Arial" w:hAnsi="Arial"/>
                <w:sz w:val="16"/>
                <w:szCs w:val="16"/>
                <w:color w:val="auto"/>
              </w:rPr>
              <w:t>shorter of lease term or estimated useful life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Electronic equipment</w:t>
            </w:r>
          </w:p>
        </w:tc>
        <w:tc>
          <w:tcPr>
            <w:tcW w:w="7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 to 5 years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gridSpan w:val="2"/>
          </w:tcPr>
          <w:p>
            <w:pPr>
              <w:spacing w:after="0" w:line="178" w:lineRule="exact"/>
              <w:rPr>
                <w:sz w:val="20"/>
                <w:szCs w:val="20"/>
                <w:color w:val="auto"/>
              </w:rPr>
            </w:pPr>
            <w:r>
              <w:rPr>
                <w:rFonts w:ascii="Arial" w:cs="Arial" w:eastAsia="Arial" w:hAnsi="Arial"/>
                <w:sz w:val="16"/>
                <w:szCs w:val="16"/>
                <w:color w:val="auto"/>
              </w:rPr>
              <w:t>Manufacturing equipment</w:t>
            </w:r>
          </w:p>
        </w:tc>
        <w:tc>
          <w:tcPr>
            <w:tcW w:w="7920" w:type="dxa"/>
            <w:vAlign w:val="bottom"/>
          </w:tcPr>
          <w:p>
            <w:pPr>
              <w:ind w:left="400"/>
              <w:spacing w:after="0" w:line="178" w:lineRule="exact"/>
              <w:rPr>
                <w:sz w:val="20"/>
                <w:szCs w:val="20"/>
                <w:color w:val="auto"/>
              </w:rPr>
            </w:pPr>
            <w:r>
              <w:rPr>
                <w:rFonts w:ascii="Arial" w:cs="Arial" w:eastAsia="Arial" w:hAnsi="Arial"/>
                <w:sz w:val="16"/>
                <w:szCs w:val="16"/>
                <w:color w:val="auto"/>
              </w:rPr>
              <w:t>for small to medium-sized equipment, 5 to 10 years; for large equipment,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920" w:type="dxa"/>
            <w:vAlign w:val="bottom"/>
          </w:tcPr>
          <w:p>
            <w:pPr>
              <w:ind w:left="400"/>
              <w:spacing w:after="0"/>
              <w:rPr>
                <w:sz w:val="20"/>
                <w:szCs w:val="20"/>
                <w:color w:val="auto"/>
              </w:rPr>
            </w:pPr>
            <w:r>
              <w:rPr>
                <w:rFonts w:ascii="Arial" w:cs="Arial" w:eastAsia="Arial" w:hAnsi="Arial"/>
                <w:sz w:val="16"/>
                <w:szCs w:val="16"/>
                <w:color w:val="auto"/>
              </w:rPr>
              <w:t>estimated by purchasing department at time of acceptance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Transportation equipment</w:t>
            </w:r>
          </w:p>
        </w:tc>
        <w:tc>
          <w:tcPr>
            <w:tcW w:w="7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 to 5 years</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Intangible Assets, Net</w:t>
      </w:r>
    </w:p>
    <w:p>
      <w:pPr>
        <w:spacing w:after="0" w:line="196"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 xml:space="preserve">Intangible assets consist of capitalized software license and other related fees for items used for finance, manufacturing, and research and development purposes. Assets are valued at cost at the time of acquisition and are amortized over their beneficial periods. If a contract specifies a license period, then the intangible asset is amortized over a term not exceeding the license period. For those intangible assets with contracts that do not specify a license term or for which local law does not specify a license term, management estimates the amortization period based on the period over which the asset is expected to contribute directly or indirectly to the cash flows in accordance with ASC 350,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The Company estimated these intangible assets have a useful life of 10 years or less, and accordingly, they are amortized up to 10 years. As of</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2022 and December 31, 2021, there was no impairment charge that was recognized.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uses the equity method of accounting for its investment in, and earning or loss of, companies that it does not control but over which it does exert significant influence. The Company considers whether the fair value of its equity method investment has declined below its carrying value whenever adverse events or changes in circumstances indicate that the recorded value may not be recoverable. The Company reviews its investments for other-than-temporary impairment whenever events or changes in business circumstances indicate that the carrying value of the investment may not be fully recoverable. Investments identified as having an indication of impairment are subject to further analysis to determine if the impairment is other-than-temporary and this analysis requires estimating the fair value of the investment. The determination of fair value of the investment involves considering factors such as current economic and market conditions, the operating performance of the entities including current earnings trends and forecasted cash flows, and other company and industry specific information. If the Company considers any decline to be other than temporary (based on various factors, including historical financial results and the overall health of the investee), then a write-down would be recorded to estimated fair value. See note 14 for discussion of equity method investment.</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elects to measure its investments in other equity securities that the Company does not have control nor significant influence on the investee at cost minus impairment, if any for those equity securities without a readily determinable fair value.</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All marketable securities are classified as trading securities and trading securities and are stated at fair market value, less a discount applied to reflect the remaining lock-up period when the securities are subject to lock-up period. Fair market value is determined by the most recently traded price of the security at the balance sheet date. Net realized and unrealized gains and losses on trading securities are included in the consolidated statements of operations. The cost of investments sold is based on the average cost method. Interest and dividend income earned are included in other income (expense), net.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Valuation of Long-Lived Assets</w:t>
      </w:r>
    </w:p>
    <w:p>
      <w:pPr>
        <w:spacing w:after="0" w:line="196"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Company recognizes an impairment loss based on the excess of the carrying value over the fair value. No impairment charge was recognized for either of the periods presented.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110" w:name="page111"/>
    <w:bookmarkEnd w:id="110"/>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Leases</w:t>
      </w:r>
    </w:p>
    <w:p>
      <w:pPr>
        <w:spacing w:after="0" w:line="196"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The Company determines if an arrangement is a lease at inception. Operating leases are included in operating lease right-of-use (“ROU”) assets, other current liabilities and operating lease liabilities in the consolidated balance sheets.</w:t>
      </w:r>
    </w:p>
    <w:p>
      <w:pPr>
        <w:spacing w:after="0" w:line="156" w:lineRule="exact"/>
        <w:rPr>
          <w:sz w:val="20"/>
          <w:szCs w:val="20"/>
          <w:color w:val="auto"/>
        </w:rPr>
      </w:pPr>
    </w:p>
    <w:p>
      <w:pPr>
        <w:jc w:val="both"/>
        <w:ind w:left="5" w:right="20"/>
        <w:spacing w:after="0" w:line="272" w:lineRule="auto"/>
        <w:rPr>
          <w:sz w:val="20"/>
          <w:szCs w:val="20"/>
          <w:color w:val="auto"/>
        </w:rPr>
      </w:pPr>
      <w:r>
        <w:rPr>
          <w:rFonts w:ascii="Arial" w:cs="Arial" w:eastAsia="Arial" w:hAnsi="Arial"/>
          <w:sz w:val="15"/>
          <w:szCs w:val="15"/>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It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Revenue Recognition</w:t>
      </w:r>
    </w:p>
    <w:p>
      <w:pPr>
        <w:spacing w:after="0" w:line="196"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 xml:space="preserve">The Company derives revenue principally from the sale of semiconductor capital equipment. Revenue from contracts with customers is recognized using the following five steps pursuant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56" w:lineRule="exact"/>
        <w:rPr>
          <w:sz w:val="20"/>
          <w:szCs w:val="20"/>
          <w:color w:val="auto"/>
        </w:rPr>
      </w:pPr>
    </w:p>
    <w:p>
      <w:pPr>
        <w:ind w:left="425" w:hanging="425"/>
        <w:spacing w:after="0"/>
        <w:tabs>
          <w:tab w:leader="none" w:pos="4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Identify the contract(s) with a customer;</w:t>
      </w:r>
    </w:p>
    <w:p>
      <w:pPr>
        <w:spacing w:after="0" w:line="17" w:lineRule="exact"/>
        <w:rPr>
          <w:rFonts w:ascii="Arial" w:cs="Arial" w:eastAsia="Arial" w:hAnsi="Arial"/>
          <w:sz w:val="16"/>
          <w:szCs w:val="16"/>
          <w:color w:val="auto"/>
        </w:rPr>
      </w:pPr>
    </w:p>
    <w:p>
      <w:pPr>
        <w:ind w:left="425" w:hanging="425"/>
        <w:spacing w:after="0"/>
        <w:tabs>
          <w:tab w:leader="none" w:pos="4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Determine the transaction price;</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Recognize revenue when (or as) the entity satisfies a performance obligation.</w:t>
      </w:r>
    </w:p>
    <w:p>
      <w:pPr>
        <w:spacing w:after="0" w:line="185" w:lineRule="exact"/>
        <w:rPr>
          <w:sz w:val="20"/>
          <w:szCs w:val="20"/>
          <w:color w:val="auto"/>
        </w:rPr>
      </w:pPr>
    </w:p>
    <w:p>
      <w:pPr>
        <w:jc w:val="both"/>
        <w:ind w:left="5" w:right="20"/>
        <w:spacing w:after="0" w:line="304"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133" w:lineRule="exact"/>
        <w:rPr>
          <w:sz w:val="20"/>
          <w:szCs w:val="20"/>
          <w:color w:val="auto"/>
        </w:rPr>
      </w:pPr>
    </w:p>
    <w:p>
      <w:pPr>
        <w:jc w:val="both"/>
        <w:ind w:left="5"/>
        <w:spacing w:after="0" w:line="270" w:lineRule="auto"/>
        <w:rPr>
          <w:sz w:val="20"/>
          <w:szCs w:val="20"/>
          <w:color w:val="auto"/>
        </w:rPr>
      </w:pPr>
      <w:r>
        <w:rPr>
          <w:rFonts w:ascii="Arial" w:cs="Arial" w:eastAsia="Arial" w:hAnsi="Arial"/>
          <w:sz w:val="15"/>
          <w:szCs w:val="15"/>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 in order to verify which promises should be assessed for classification as distinct performance obligations. The Company’s performance obligations in connection with a sale of equipment generally include production, delivery, installation, training and software updates.</w:t>
      </w:r>
    </w:p>
    <w:p>
      <w:pPr>
        <w:spacing w:after="0" w:line="158"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color w:val="auto"/>
        </w:rPr>
        <w:t xml:space="preserve">Given that the Company’s products are customized based on specifications of its customers, the Company determines that the promise to the customer is to provide a customized product solution. The product and customization services are inputs into the combined item for which the customer has contracted and, as a result, the product and installation services are not separately identifiable and are combined into a single performance obligation. Delivery of goods to a customer is not a separate performance obligation since control of the goods normally does not transfer to the customer before shipment. The Company’s warranties provide assurance that its products will function as expected and in accordance with certain specifications. The Company’s warranties are intended to safeguard the customer against existing defects and do not provide any incremental service to the customer. They are not separate performance obligations and accounted for under </w:t>
      </w:r>
      <w:r>
        <w:rPr>
          <w:rFonts w:ascii="Arial" w:cs="Arial" w:eastAsia="Arial" w:hAnsi="Arial"/>
          <w:sz w:val="16"/>
          <w:szCs w:val="16"/>
          <w:i w:val="1"/>
          <w:iCs w:val="1"/>
          <w:color w:val="auto"/>
        </w:rPr>
        <w:t>ASC 460, Guarantees</w:t>
      </w:r>
      <w:r>
        <w:rPr>
          <w:rFonts w:ascii="Arial" w:cs="Arial" w:eastAsia="Arial" w:hAnsi="Arial"/>
          <w:sz w:val="16"/>
          <w:szCs w:val="16"/>
          <w:color w:val="auto"/>
        </w:rPr>
        <w:t>. Production, delivery, installation, training and software updates are a single unit of accounting.</w:t>
      </w:r>
    </w:p>
    <w:p>
      <w:pPr>
        <w:spacing w:after="0" w:line="33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11" w:name="page112"/>
    <w:bookmarkEnd w:id="111"/>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spacing w:after="0" w:line="272" w:lineRule="auto"/>
        <w:rPr>
          <w:sz w:val="20"/>
          <w:szCs w:val="20"/>
          <w:color w:val="auto"/>
        </w:rPr>
      </w:pPr>
      <w:r>
        <w:rPr>
          <w:rFonts w:ascii="Arial" w:cs="Arial" w:eastAsia="Arial" w:hAnsi="Arial"/>
          <w:sz w:val="15"/>
          <w:szCs w:val="15"/>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w:t>
      </w:r>
    </w:p>
    <w:p>
      <w:pPr>
        <w:spacing w:after="0" w:line="157" w:lineRule="exact"/>
        <w:rPr>
          <w:sz w:val="20"/>
          <w:szCs w:val="20"/>
          <w:color w:val="auto"/>
        </w:rPr>
      </w:pPr>
    </w:p>
    <w:p>
      <w:pPr>
        <w:jc w:val="both"/>
        <w:ind w:left="5" w:right="20"/>
        <w:spacing w:after="0" w:line="303" w:lineRule="auto"/>
        <w:rPr>
          <w:sz w:val="20"/>
          <w:szCs w:val="20"/>
          <w:color w:val="auto"/>
        </w:rPr>
      </w:pPr>
      <w:r>
        <w:rPr>
          <w:rFonts w:ascii="Arial" w:cs="Arial" w:eastAsia="Arial" w:hAnsi="Arial"/>
          <w:sz w:val="14"/>
          <w:szCs w:val="14"/>
          <w:color w:val="auto"/>
        </w:rPr>
        <w:t>For some sale contracts, in addition to the sale of semiconductor capital equipment, the Company also provides certain spare parts to the customers. The Company defers revenue associated with spare parts sold together with its tool products, including production, delivery, installation, training, and software updates which are accounted for as one performance obligation, based on stand-alone observable selling prices for which it receives payments in advance and recognizes the revenue upon the subsequent shipment of the spare parts, which is expected within one year. The deferred revenue for spare parts was $4,174 and $3,180 at December 31, 2022 and 2021, respectively.</w:t>
      </w:r>
    </w:p>
    <w:p>
      <w:pPr>
        <w:spacing w:after="0" w:line="137" w:lineRule="exact"/>
        <w:rPr>
          <w:sz w:val="20"/>
          <w:szCs w:val="20"/>
          <w:color w:val="auto"/>
        </w:rPr>
      </w:pPr>
    </w:p>
    <w:p>
      <w:pPr>
        <w:jc w:val="both"/>
        <w:ind w:left="5"/>
        <w:spacing w:after="0" w:line="303" w:lineRule="auto"/>
        <w:rPr>
          <w:sz w:val="20"/>
          <w:szCs w:val="20"/>
          <w:color w:val="auto"/>
        </w:rPr>
      </w:pPr>
      <w:r>
        <w:rPr>
          <w:rFonts w:ascii="Arial" w:cs="Arial" w:eastAsia="Arial" w:hAnsi="Arial"/>
          <w:sz w:val="14"/>
          <w:szCs w:val="14"/>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In the following circumstances, however, the Company recognizes revenue upon shipment or delivery, when legal title to the tool is passed to a customer as follows:</w:t>
      </w:r>
    </w:p>
    <w:p>
      <w:pPr>
        <w:spacing w:after="0" w:line="137" w:lineRule="exact"/>
        <w:rPr>
          <w:sz w:val="20"/>
          <w:szCs w:val="20"/>
          <w:color w:val="auto"/>
        </w:rPr>
      </w:pPr>
    </w:p>
    <w:p>
      <w:pPr>
        <w:ind w:left="425" w:hanging="425"/>
        <w:spacing w:after="0" w:line="255" w:lineRule="auto"/>
        <w:tabs>
          <w:tab w:leader="none" w:pos="4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When the customer has previously accepted the same tool with the same specifications and the Company can objectively demonstrate that the tool meets all of the required acceptance criteria;</w:t>
      </w:r>
    </w:p>
    <w:p>
      <w:pPr>
        <w:ind w:left="425" w:right="20" w:hanging="425"/>
        <w:spacing w:after="0" w:line="247" w:lineRule="auto"/>
        <w:tabs>
          <w:tab w:leader="none" w:pos="4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When the sales contract or purchase order contains no acceptance agreement and the Company can objectively demonstrate that the tool meets all of the required acceptance criteria;</w:t>
      </w:r>
    </w:p>
    <w:p>
      <w:pPr>
        <w:spacing w:after="0" w:line="1" w:lineRule="exact"/>
        <w:rPr>
          <w:rFonts w:ascii="Arial" w:cs="Arial" w:eastAsia="Arial" w:hAnsi="Arial"/>
          <w:sz w:val="16"/>
          <w:szCs w:val="16"/>
          <w:color w:val="auto"/>
        </w:rPr>
      </w:pPr>
    </w:p>
    <w:p>
      <w:pPr>
        <w:ind w:left="425" w:hanging="425"/>
        <w:spacing w:after="0"/>
        <w:tabs>
          <w:tab w:leader="none" w:pos="4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When the Company’s sales arrangements do not include a general right of return.</w:t>
      </w:r>
    </w:p>
    <w:p>
      <w:pPr>
        <w:spacing w:after="0" w:line="185" w:lineRule="exact"/>
        <w:rPr>
          <w:sz w:val="20"/>
          <w:szCs w:val="20"/>
          <w:color w:val="auto"/>
        </w:rPr>
      </w:pPr>
    </w:p>
    <w:p>
      <w:pPr>
        <w:jc w:val="both"/>
        <w:ind w:left="5" w:right="20"/>
        <w:spacing w:after="0" w:line="304" w:lineRule="auto"/>
        <w:rPr>
          <w:sz w:val="20"/>
          <w:szCs w:val="20"/>
          <w:color w:val="auto"/>
        </w:rPr>
      </w:pPr>
      <w:r>
        <w:rPr>
          <w:rFonts w:ascii="Arial" w:cs="Arial" w:eastAsia="Arial" w:hAnsi="Arial"/>
          <w:sz w:val="15"/>
          <w:szCs w:val="15"/>
          <w:color w:val="auto"/>
        </w:rPr>
        <w:t>The Company offers maintenance services, which consist principally of the installation and replacement of parts and small-scale modifications to the equipment. The related revenue and costs of revenue are recognized when parts have been delivered and installed and the customers have obtained control of the parts.</w:t>
      </w:r>
    </w:p>
    <w:p>
      <w:pPr>
        <w:spacing w:after="0" w:line="133" w:lineRule="exact"/>
        <w:rPr>
          <w:sz w:val="20"/>
          <w:szCs w:val="20"/>
          <w:color w:val="auto"/>
        </w:rPr>
      </w:pPr>
    </w:p>
    <w:p>
      <w:pPr>
        <w:jc w:val="both"/>
        <w:ind w:left="5" w:right="20"/>
        <w:spacing w:after="0" w:line="253" w:lineRule="auto"/>
        <w:rPr>
          <w:sz w:val="20"/>
          <w:szCs w:val="20"/>
          <w:color w:val="auto"/>
        </w:rPr>
      </w:pPr>
      <w:r>
        <w:rPr>
          <w:rFonts w:ascii="Arial" w:cs="Arial" w:eastAsia="Arial" w:hAnsi="Arial"/>
          <w:sz w:val="16"/>
          <w:szCs w:val="16"/>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These costs are recorded within sales and marketing expenses. The Company, therefore, does not have contract assets.</w:t>
      </w:r>
    </w:p>
    <w:p>
      <w:pPr>
        <w:spacing w:after="0" w:line="170"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The Company does not incur any costs to fulfill the contracts with customers that are not already reported in compliance with another applicable standard (for example, inventory or plant, property and equipment).</w:t>
      </w:r>
    </w:p>
    <w:p>
      <w:pPr>
        <w:spacing w:after="0" w:line="156" w:lineRule="exact"/>
        <w:rPr>
          <w:sz w:val="20"/>
          <w:szCs w:val="20"/>
          <w:color w:val="auto"/>
        </w:rPr>
      </w:pPr>
    </w:p>
    <w:p>
      <w:pPr>
        <w:jc w:val="both"/>
        <w:ind w:left="5"/>
        <w:spacing w:after="0" w:line="270" w:lineRule="auto"/>
        <w:rPr>
          <w:sz w:val="20"/>
          <w:szCs w:val="20"/>
          <w:color w:val="auto"/>
        </w:rPr>
      </w:pPr>
      <w:r>
        <w:rPr>
          <w:rFonts w:ascii="Arial" w:cs="Arial" w:eastAsia="Arial" w:hAnsi="Arial"/>
          <w:sz w:val="16"/>
          <w:szCs w:val="16"/>
          <w:color w:val="auto"/>
        </w:rPr>
        <w:t>The Company receives payments from customers prior to the transfer of control either upon contract sign-off and/or the delivery of evaluation tools, which are recorded as advances from customers.</w:t>
      </w:r>
    </w:p>
    <w:p>
      <w:pPr>
        <w:spacing w:after="0" w:line="31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Cost of Revenue</w:t>
      </w:r>
    </w:p>
    <w:p>
      <w:pPr>
        <w:spacing w:after="0" w:line="196"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Research and Development Costs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Shipping and Handling Costs</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Shipping and handling costs, which relate to transportation of products to customer locations, are charged to selling and marketing expense. For the years ended December 31, 2022, 2021 and 2020, shipping and handling costs included in sales and marketing expenses were $1,507, $923, and $76,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Borrowing Costs</w:t>
      </w:r>
    </w:p>
    <w:p>
      <w:pPr>
        <w:spacing w:after="0" w:line="196"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 in the consolidated statements of operations and comprehensive income in the period in which they are incurred.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Warranty</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For each of its products, the Company generally provides a standard assurance type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Warranty obligations are included in other payables and accrued expenses in the consolidated balance sheets. The following table shows changes in the Company’s warranty obligations for the years ended December 31, 2022, 2021 and 2020,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6,631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Additions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5,379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Utilized</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(3,230)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(2,370)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8,780</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3,975</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Government Subsidies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relates to the development of polytetrafluoroethylene. The fifth grant was made in 2020 and relates to the development of Tahoe single bench cleaning technologies. As of December 31, 2022,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Shengwei is also required to invest certain amounts in the projects.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governmental grants contain certain operating conditions, and the Company is required to go through a government due diligence process once the project is complete. The grants therefore are recorded as long-term liabilities upon receipt, although the Company is not required to return any funds it receives. Grant amounts are recognized in our statements of operations and comprehensive income as follows:</w:t>
      </w:r>
    </w:p>
    <w:p>
      <w:pPr>
        <w:spacing w:after="0" w:line="167" w:lineRule="exact"/>
        <w:rPr>
          <w:sz w:val="20"/>
          <w:szCs w:val="20"/>
          <w:color w:val="auto"/>
        </w:rPr>
      </w:pPr>
    </w:p>
    <w:p>
      <w:pPr>
        <w:jc w:val="both"/>
        <w:ind w:left="700" w:hanging="384"/>
        <w:spacing w:after="0" w:line="252" w:lineRule="auto"/>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recorded as reductions of those expenses in the periods in which the current expenses are recorded. For the years ended December 31, 2022, 2021, and 2020, related government subsidies recognized as reductions of relevant expenses in the consolidated statements of operations and comprehensive income were $1,201, $11,260 and $2,658, respectively.</w:t>
      </w:r>
    </w:p>
    <w:p>
      <w:pPr>
        <w:spacing w:after="0" w:line="1" w:lineRule="exact"/>
        <w:rPr>
          <w:rFonts w:ascii="Arial" w:cs="Arial" w:eastAsia="Arial" w:hAnsi="Arial"/>
          <w:sz w:val="16"/>
          <w:szCs w:val="16"/>
          <w:color w:val="auto"/>
        </w:rPr>
      </w:pPr>
    </w:p>
    <w:p>
      <w:pPr>
        <w:jc w:val="both"/>
        <w:ind w:left="700" w:right="20" w:hanging="384"/>
        <w:spacing w:after="0" w:line="251" w:lineRule="auto"/>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Government subsidies related to depreciable assets are credited to income over the useful lives of the related assets for which the grant was received. For the years ended December 31, 2022, 2021, and 2020, related government subsidies recognized as other income in the consolidated statements of operations and comprehensive income were $306, $200, and $149,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Unearned government subsidies received are deferred and recorded as other long-term liabilities (note 13) in the balance sheet until the criteria for such recognition are satisfied.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Stock-based Compensation</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ACM grants stock options to employees and non-employee consultants and directors and accounts for those stock-based awards in accordance with FASB ASC Topic 718, </w:t>
      </w:r>
      <w:r>
        <w:rPr>
          <w:rFonts w:ascii="Arial" w:cs="Arial" w:eastAsia="Arial" w:hAnsi="Arial"/>
          <w:sz w:val="16"/>
          <w:szCs w:val="16"/>
          <w:i w:val="1"/>
          <w:iCs w:val="1"/>
          <w:color w:val="auto"/>
        </w:rPr>
        <w:t>Compensation – Stock Compensation.</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Stock-based awards granted to employees and non-employee consultants and directors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when there is only service condition attached or the Monte Carlo valuation model when there is performance condition attached. Stock-based compensation expense, when recognized, is charged to the category of operating expense corresponding to the service function of the employees and non-employee consultants and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4" w:name="page115"/>
    <w:bookmarkEnd w:id="114"/>
    <w:tbl>
      <w:tblPr>
        <w:tblLayout w:type="fixed"/>
        <w:tblInd w:w="5" w:type="dxa"/>
        <w:tblCellMar>
          <w:top w:w="0" w:type="dxa"/>
          <w:left w:w="0" w:type="dxa"/>
          <w:bottom w:w="0" w:type="dxa"/>
          <w:right w:w="0" w:type="dxa"/>
        </w:tblCellMar>
      </w:tblPr>
      <w:tr>
        <w:trPr>
          <w:trHeight w:val="149"/>
        </w:trPr>
        <w:tc>
          <w:tcPr>
            <w:tcW w:w="7320" w:type="dxa"/>
            <w:vAlign w:val="bottom"/>
            <w:gridSpan w:val="4"/>
          </w:tcPr>
          <w:p>
            <w:pPr>
              <w:spacing w:after="0"/>
              <w:rPr>
                <w:sz w:val="20"/>
                <w:szCs w:val="20"/>
                <w:color w:val="auto"/>
              </w:rPr>
            </w:pPr>
            <w:r>
              <w:rPr>
                <w:rFonts w:ascii="Arial" w:cs="Arial" w:eastAsia="Arial" w:hAnsi="Arial"/>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320" w:type="dxa"/>
            <w:vAlign w:val="bottom"/>
            <w:gridSpan w:val="4"/>
          </w:tcPr>
          <w:p>
            <w:pPr>
              <w:spacing w:after="0"/>
              <w:rPr>
                <w:sz w:val="20"/>
                <w:szCs w:val="20"/>
                <w:color w:val="auto"/>
              </w:rPr>
            </w:pPr>
            <w:r>
              <w:rPr>
                <w:rFonts w:ascii="Arial" w:cs="Arial" w:eastAsia="Arial" w:hAnsi="Arial"/>
                <w:sz w:val="16"/>
                <w:szCs w:val="16"/>
                <w:color w:val="auto"/>
              </w:rPr>
              <w:t>Basic and Diluted Net Income per Common Share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gridSpan w:val="3"/>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320" w:type="dxa"/>
            <w:vAlign w:val="bottom"/>
            <w:gridSpan w:val="4"/>
          </w:tcPr>
          <w:p>
            <w:pPr>
              <w:spacing w:after="0"/>
              <w:rPr>
                <w:sz w:val="20"/>
                <w:szCs w:val="20"/>
                <w:color w:val="auto"/>
              </w:rPr>
            </w:pPr>
            <w:r>
              <w:rPr>
                <w:rFonts w:ascii="Arial" w:cs="Arial" w:eastAsia="Arial" w:hAnsi="Arial"/>
                <w:sz w:val="16"/>
                <w:szCs w:val="16"/>
                <w:color w:val="auto"/>
              </w:rPr>
              <w:t>Basic and diluted net income per common share is calculated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4"/>
          </w:tcPr>
          <w:p>
            <w:pPr>
              <w:spacing w:after="0"/>
              <w:rPr>
                <w:sz w:val="20"/>
                <w:szCs w:val="20"/>
                <w:color w:val="auto"/>
              </w:rPr>
            </w:pPr>
            <w:r>
              <w:rPr>
                <w:rFonts w:ascii="Arial" w:cs="Arial" w:eastAsia="Arial" w:hAnsi="Arial"/>
                <w:sz w:val="16"/>
                <w:szCs w:val="16"/>
                <w:color w:val="auto"/>
              </w:rPr>
              <w:t>Numerator:</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42,921</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21,677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3"/>
          </w:tcPr>
          <w:p>
            <w:pPr>
              <w:ind w:left="8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11,301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income available to common stockholders, basic</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39,263</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gridSpan w:val="3"/>
          </w:tcPr>
          <w:p>
            <w:pPr>
              <w:ind w:left="120"/>
              <w:spacing w:after="0"/>
              <w:rPr>
                <w:sz w:val="20"/>
                <w:szCs w:val="20"/>
                <w:color w:val="auto"/>
              </w:rPr>
            </w:pPr>
            <w:r>
              <w:rPr>
                <w:rFonts w:ascii="Arial" w:cs="Arial" w:eastAsia="Arial" w:hAnsi="Arial"/>
                <w:sz w:val="16"/>
                <w:szCs w:val="16"/>
                <w:color w:val="auto"/>
              </w:rPr>
              <w:t>Less: Dilutive effect arising from stock-based awards by ACM Shanghai</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income available to common stockholders, diluted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38,679</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Weighted average shares outstanding, basic (1)</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59,235,975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57,654,708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54,700,083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Effect of dilutive securities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6,105,796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7,702,008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8,850,324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3"/>
          </w:tcPr>
          <w:p>
            <w:pPr>
              <w:ind w:left="80"/>
              <w:spacing w:after="0"/>
              <w:rPr>
                <w:sz w:val="20"/>
                <w:szCs w:val="20"/>
                <w:color w:val="auto"/>
              </w:rPr>
            </w:pPr>
            <w:r>
              <w:rPr>
                <w:rFonts w:ascii="Arial" w:cs="Arial" w:eastAsia="Arial" w:hAnsi="Arial"/>
                <w:sz w:val="16"/>
                <w:szCs w:val="16"/>
                <w:color w:val="auto"/>
              </w:rPr>
              <w:t>Weighted average shares outstanding, diluted</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65,341,771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65,356,716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63,550,407</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Net income per common share: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gridSpan w:val="3"/>
          </w:tcPr>
          <w:p>
            <w:pPr>
              <w:ind w:left="80"/>
              <w:spacing w:after="0" w:line="178" w:lineRule="exact"/>
              <w:rPr>
                <w:sz w:val="20"/>
                <w:szCs w:val="20"/>
                <w:color w:val="auto"/>
              </w:rPr>
            </w:pPr>
            <w:r>
              <w:rPr>
                <w:rFonts w:ascii="Arial" w:cs="Arial" w:eastAsia="Arial" w:hAnsi="Arial"/>
                <w:sz w:val="16"/>
                <w:szCs w:val="16"/>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0.59</w:t>
            </w:r>
          </w:p>
        </w:tc>
        <w:tc>
          <w:tcPr>
            <w:tcW w:w="24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0.58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25" w:hanging="425"/>
        <w:spacing w:after="0"/>
        <w:tabs>
          <w:tab w:leader="none" w:pos="425" w:val="left"/>
        </w:tabs>
        <w:numPr>
          <w:ilvl w:val="0"/>
          <w:numId w:val="84"/>
        </w:numPr>
        <w:rPr>
          <w:rFonts w:ascii="Arial" w:cs="Arial" w:eastAsia="Arial" w:hAnsi="Arial"/>
          <w:sz w:val="15"/>
          <w:szCs w:val="15"/>
          <w:color w:val="auto"/>
        </w:rPr>
      </w:pPr>
      <w:r>
        <w:rPr>
          <w:rFonts w:ascii="Arial" w:cs="Arial" w:eastAsia="Arial" w:hAnsi="Arial"/>
          <w:sz w:val="15"/>
          <w:szCs w:val="15"/>
          <w:color w:val="auto"/>
        </w:rPr>
        <w:t>Prior period results have been adjusted to reflect the three-for-one stock split effected in the form of a stock dividend in March 2022. See Note 2 for details.</w:t>
      </w:r>
    </w:p>
    <w:p>
      <w:pPr>
        <w:spacing w:after="0" w:line="208"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Basic and diluted net income per common share is presented using the two-class method, which allocates undistributed earnings to common stock and any participating securities according to dividend rights and participation rights on a proportionate basis. Under the two-class method, basic net income per common share is computed by dividing the sum of distributed and undistributed earnings attributable to common stockholders by the weighted average number of shares of common stock outstanding during the period. ACM did not have any participating securities outstanding during the three-year period ending December 31, 2022.</w:t>
      </w:r>
    </w:p>
    <w:p>
      <w:pPr>
        <w:spacing w:after="0" w:line="154" w:lineRule="exact"/>
        <w:rPr>
          <w:sz w:val="20"/>
          <w:szCs w:val="20"/>
          <w:color w:val="auto"/>
        </w:rPr>
      </w:pPr>
    </w:p>
    <w:p>
      <w:pPr>
        <w:jc w:val="both"/>
        <w:ind w:left="5" w:right="20"/>
        <w:spacing w:after="0" w:line="277" w:lineRule="auto"/>
        <w:rPr>
          <w:sz w:val="20"/>
          <w:szCs w:val="20"/>
          <w:color w:val="auto"/>
        </w:rPr>
      </w:pPr>
      <w:r>
        <w:rPr>
          <w:rFonts w:ascii="Arial" w:cs="Arial" w:eastAsia="Arial" w:hAnsi="Arial"/>
          <w:sz w:val="15"/>
          <w:szCs w:val="15"/>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years ended December 31, 2022, 2021 and 2020, the net income per common share attributable to each class is the same under the “two-class” method. As such, the two classes of common stock have been presented on a combined basis in the consolidated statements of operations and comprehensive income and in the above computation of net income per common share.</w:t>
      </w:r>
    </w:p>
    <w:p>
      <w:pPr>
        <w:spacing w:after="0" w:line="154"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Diluted net income per common share reflects the potential dilution from securities, including stock options and issued warrants, that could share in ACM’s earnings. Certain potential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1,795,340, 98,800 and 78,000 the years ended December 31, 2022, 2021, and 2020, respectively.</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Comprehensive Income Attributable to the Company</w:t>
      </w:r>
    </w:p>
    <w:p>
      <w:pPr>
        <w:spacing w:after="0" w:line="196"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 xml:space="preserve">The Company applies FASB ASC Topic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which establishes standards for the reporting and display of comprehensive income or loss, requiring its components to be reported in a financial statement with the same prominence as other financial statements. The comprehensive income (loss) attributable to the Company was ($10,392), $42,009, and $25,312 for the years ended December 31, 2022, 2021 and 2020, respectively.</w:t>
      </w:r>
    </w:p>
    <w:p>
      <w:pPr>
        <w:spacing w:after="0" w:line="330"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09" w:right="31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Statutory surplus reserve</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ACM Shanghai estimated a statutory surplus reserve of $16,881 and $8,312 based on an accumulated profit as of December 31, 2022 and 2021, respectively, which is included in the statutory surplus reserve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44" w:lineRule="exact"/>
        <w:rPr>
          <w:sz w:val="20"/>
          <w:szCs w:val="20"/>
          <w:color w:val="auto"/>
        </w:rPr>
      </w:pPr>
    </w:p>
    <w:p>
      <w:pPr>
        <w:jc w:val="both"/>
        <w:ind w:left="420" w:right="20"/>
        <w:spacing w:after="0" w:line="270" w:lineRule="auto"/>
        <w:rPr>
          <w:sz w:val="20"/>
          <w:szCs w:val="20"/>
          <w:color w:val="auto"/>
        </w:rPr>
      </w:pPr>
      <w:r>
        <w:rPr>
          <w:rFonts w:ascii="Arial" w:cs="Arial" w:eastAsia="Arial" w:hAnsi="Arial"/>
          <w:sz w:val="16"/>
          <w:szCs w:val="16"/>
          <w:color w:val="auto"/>
        </w:rPr>
        <w:t>Level 1: Valuations for assets and liabilities traded in active exchange markets. Valuations are obtained from readily available pricing sources for market transactions involving identical assets or liabilities.</w:t>
      </w:r>
    </w:p>
    <w:p>
      <w:pPr>
        <w:spacing w:after="0" w:line="156" w:lineRule="exact"/>
        <w:rPr>
          <w:sz w:val="20"/>
          <w:szCs w:val="20"/>
          <w:color w:val="auto"/>
        </w:rPr>
      </w:pPr>
    </w:p>
    <w:p>
      <w:pPr>
        <w:jc w:val="both"/>
        <w:ind w:left="420" w:right="20"/>
        <w:spacing w:after="0" w:line="270" w:lineRule="auto"/>
        <w:rPr>
          <w:sz w:val="20"/>
          <w:szCs w:val="20"/>
          <w:color w:val="auto"/>
        </w:rPr>
      </w:pPr>
      <w:r>
        <w:rPr>
          <w:rFonts w:ascii="Arial" w:cs="Arial" w:eastAsia="Arial" w:hAnsi="Arial"/>
          <w:sz w:val="16"/>
          <w:szCs w:val="16"/>
          <w:color w:val="auto"/>
        </w:rPr>
        <w:t>Level 2: Valuations for assets and liabilities traded in less active dealer or broker markets. Valuations are obtained from third party pricing services for identical or similar assets or liabilities.</w:t>
      </w:r>
    </w:p>
    <w:p>
      <w:pPr>
        <w:spacing w:after="0" w:line="156" w:lineRule="exact"/>
        <w:rPr>
          <w:sz w:val="20"/>
          <w:szCs w:val="20"/>
          <w:color w:val="auto"/>
        </w:rPr>
      </w:pPr>
    </w:p>
    <w:p>
      <w:pPr>
        <w:jc w:val="both"/>
        <w:ind w:left="420" w:right="20"/>
        <w:spacing w:after="0" w:line="258" w:lineRule="auto"/>
        <w:rPr>
          <w:sz w:val="20"/>
          <w:szCs w:val="20"/>
          <w:color w:val="auto"/>
        </w:rPr>
      </w:pPr>
      <w:r>
        <w:rPr>
          <w:rFonts w:ascii="Arial" w:cs="Arial" w:eastAsia="Arial" w:hAnsi="Arial"/>
          <w:sz w:val="16"/>
          <w:szCs w:val="16"/>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Measured or Disclosed on a Recurring Basis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Trading securities - </w:t>
      </w:r>
      <w:r>
        <w:rPr>
          <w:rFonts w:ascii="Arial" w:cs="Arial" w:eastAsia="Arial" w:hAnsi="Arial"/>
          <w:sz w:val="16"/>
          <w:szCs w:val="16"/>
          <w:color w:val="auto"/>
        </w:rPr>
        <w:t>The fair value of trading securities derives from the quoted prices for identical securities in active markets at the balance sheet date, less a discount applied to</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the remaining lock-up period. The Company classifies the valuation techniques that use these inputs as Level 1 and Level 2 fair value measurement as of December 31, 2022 and 2021, respectively.</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Financial liability – </w:t>
      </w:r>
      <w:r>
        <w:rPr>
          <w:rFonts w:ascii="Arial" w:cs="Arial" w:eastAsia="Arial" w:hAnsi="Arial"/>
          <w:sz w:val="16"/>
          <w:szCs w:val="16"/>
          <w:color w:val="auto"/>
        </w:rPr>
        <w:t>The fair value of financial liability is classified within Level 3 as the fair values are measured based on the inputs linked to the choice of settlement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counter party that are unobservable in the market.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i w:val="1"/>
          <w:iCs w:val="1"/>
          <w:color w:val="auto"/>
        </w:rPr>
        <w:t>Other financial items for disclosure purpose</w:t>
      </w:r>
      <w:r>
        <w:rPr>
          <w:rFonts w:ascii="Arial" w:cs="Arial" w:eastAsia="Arial" w:hAnsi="Arial"/>
          <w:sz w:val="16"/>
          <w:szCs w:val="16"/>
          <w:color w:val="auto"/>
        </w:rPr>
        <w:t>—The fair value of other financial items of the Company, other than long-term borrowings for disclosure purposes, including cash</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equivalents, accounts receivable, other receivables, short-term borrowings, accounts payable, advances from customers, and other payables and accrued expenses, approximate their carrying value due to their short-term nature. The carrying value of the long-term borrowings which are subject to fixed interest rate approximates its fair value as the market interest rate did not significantly change from the borrowing date to December 31,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Quoted Prices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3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in Active</w:t>
            </w:r>
          </w:p>
        </w:tc>
        <w:tc>
          <w:tcPr>
            <w:tcW w:w="1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Significant</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3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Markets for</w:t>
            </w:r>
          </w:p>
        </w:tc>
        <w:tc>
          <w:tcPr>
            <w:tcW w:w="1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6"/>
                <w:szCs w:val="16"/>
                <w:color w:val="auto"/>
              </w:rPr>
            </w:pPr>
          </w:p>
        </w:tc>
        <w:tc>
          <w:tcPr>
            <w:tcW w:w="1040" w:type="dxa"/>
            <w:vAlign w:val="bottom"/>
          </w:tcPr>
          <w:p>
            <w:pPr>
              <w:jc w:val="center"/>
              <w:ind w:right="1"/>
              <w:spacing w:after="0"/>
              <w:rPr>
                <w:sz w:val="20"/>
                <w:szCs w:val="20"/>
                <w:color w:val="auto"/>
              </w:rPr>
            </w:pPr>
            <w:r>
              <w:rPr>
                <w:rFonts w:ascii="Arial" w:cs="Arial" w:eastAsia="Arial" w:hAnsi="Arial"/>
                <w:sz w:val="16"/>
                <w:szCs w:val="16"/>
                <w:b w:val="1"/>
                <w:bCs w:val="1"/>
                <w:color w:val="auto"/>
                <w:w w:val="87"/>
              </w:rPr>
              <w:t>Significant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3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Identical</w:t>
            </w:r>
          </w:p>
        </w:tc>
        <w:tc>
          <w:tcPr>
            <w:tcW w:w="1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Observable</w:t>
            </w:r>
          </w:p>
        </w:tc>
        <w:tc>
          <w:tcPr>
            <w:tcW w:w="80" w:type="dxa"/>
            <w:vAlign w:val="bottom"/>
          </w:tcPr>
          <w:p>
            <w:pPr>
              <w:spacing w:after="0"/>
              <w:rPr>
                <w:sz w:val="16"/>
                <w:szCs w:val="16"/>
                <w:color w:val="auto"/>
              </w:rPr>
            </w:pPr>
          </w:p>
        </w:tc>
        <w:tc>
          <w:tcPr>
            <w:tcW w:w="1040" w:type="dxa"/>
            <w:vAlign w:val="bottom"/>
          </w:tcPr>
          <w:p>
            <w:pPr>
              <w:jc w:val="center"/>
              <w:ind w:right="1"/>
              <w:spacing w:after="0"/>
              <w:rPr>
                <w:sz w:val="20"/>
                <w:szCs w:val="20"/>
                <w:color w:val="auto"/>
              </w:rPr>
            </w:pPr>
            <w:r>
              <w:rPr>
                <w:rFonts w:ascii="Arial" w:cs="Arial" w:eastAsia="Arial" w:hAnsi="Arial"/>
                <w:sz w:val="16"/>
                <w:szCs w:val="16"/>
                <w:b w:val="1"/>
                <w:bCs w:val="1"/>
                <w:color w:val="auto"/>
                <w:w w:val="86"/>
              </w:rPr>
              <w:t>Unobservable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800" w:type="dxa"/>
            <w:vAlign w:val="bottom"/>
          </w:tcPr>
          <w:p>
            <w:pPr>
              <w:spacing w:after="0"/>
              <w:rPr>
                <w:sz w:val="18"/>
                <w:szCs w:val="18"/>
                <w:color w:val="auto"/>
              </w:rPr>
            </w:pPr>
          </w:p>
        </w:tc>
        <w:tc>
          <w:tcPr>
            <w:tcW w:w="3560" w:type="dxa"/>
            <w:vAlign w:val="bottom"/>
            <w:gridSpan w:val="4"/>
          </w:tcPr>
          <w:p>
            <w:pPr>
              <w:ind w:left="2040"/>
              <w:spacing w:after="0"/>
              <w:rPr>
                <w:sz w:val="20"/>
                <w:szCs w:val="20"/>
                <w:color w:val="auto"/>
              </w:rPr>
            </w:pPr>
            <w:r>
              <w:rPr>
                <w:rFonts w:ascii="Arial" w:cs="Arial" w:eastAsia="Arial" w:hAnsi="Arial"/>
                <w:sz w:val="16"/>
                <w:szCs w:val="16"/>
                <w:b w:val="1"/>
                <w:bCs w:val="1"/>
                <w:color w:val="auto"/>
              </w:rPr>
              <w:t>Liabilities (Level 1)</w:t>
            </w:r>
          </w:p>
        </w:tc>
        <w:tc>
          <w:tcPr>
            <w:tcW w:w="13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Inputs (Level 2)</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Inputs (Level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77"/>
        </w:trPr>
        <w:tc>
          <w:tcPr>
            <w:tcW w:w="380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As of December 31, 2022:</w:t>
            </w:r>
          </w:p>
        </w:tc>
        <w:tc>
          <w:tcPr>
            <w:tcW w:w="20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2"/>
        </w:trPr>
        <w:tc>
          <w:tcPr>
            <w:tcW w:w="3800" w:type="dxa"/>
            <w:vAlign w:val="bottom"/>
          </w:tcPr>
          <w:p>
            <w:pPr>
              <w:spacing w:after="0"/>
              <w:rPr>
                <w:sz w:val="20"/>
                <w:szCs w:val="20"/>
                <w:color w:val="auto"/>
              </w:rPr>
            </w:pPr>
            <w:r>
              <w:rPr>
                <w:rFonts w:ascii="Arial" w:cs="Arial" w:eastAsia="Arial" w:hAnsi="Arial"/>
                <w:sz w:val="16"/>
                <w:szCs w:val="16"/>
                <w:color w:val="auto"/>
              </w:rPr>
              <w:t>Assets</w:t>
            </w: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3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247,951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247,951</w:t>
            </w:r>
          </w:p>
        </w:tc>
      </w:tr>
      <w:tr>
        <w:trPr>
          <w:trHeight w:val="194"/>
        </w:trPr>
        <w:tc>
          <w:tcPr>
            <w:tcW w:w="3800" w:type="dxa"/>
            <w:vAlign w:val="bottom"/>
          </w:tcPr>
          <w:p>
            <w:pPr>
              <w:ind w:left="280"/>
              <w:spacing w:after="0"/>
              <w:rPr>
                <w:sz w:val="20"/>
                <w:szCs w:val="20"/>
                <w:color w:val="auto"/>
              </w:rPr>
            </w:pPr>
            <w:r>
              <w:rPr>
                <w:rFonts w:ascii="Arial" w:cs="Arial" w:eastAsia="Arial" w:hAnsi="Arial"/>
                <w:sz w:val="16"/>
                <w:szCs w:val="16"/>
                <w:color w:val="auto"/>
              </w:rPr>
              <w:t>Trading securities</w:t>
            </w: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20,209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20,209</w:t>
            </w:r>
          </w:p>
        </w:tc>
      </w:tr>
      <w:tr>
        <w:trPr>
          <w:trHeight w:val="230"/>
        </w:trPr>
        <w:tc>
          <w:tcPr>
            <w:tcW w:w="38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268,160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268,160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8"/>
        </w:trPr>
        <w:tc>
          <w:tcPr>
            <w:tcW w:w="3800" w:type="dxa"/>
            <w:vAlign w:val="bottom"/>
          </w:tcPr>
          <w:p>
            <w:pPr>
              <w:ind w:left="40"/>
              <w:spacing w:after="0" w:line="178" w:lineRule="exact"/>
              <w:rPr>
                <w:sz w:val="20"/>
                <w:szCs w:val="20"/>
                <w:color w:val="auto"/>
              </w:rPr>
            </w:pPr>
            <w:r>
              <w:rPr>
                <w:rFonts w:ascii="Arial" w:cs="Arial" w:eastAsia="Arial" w:hAnsi="Arial"/>
                <w:sz w:val="16"/>
                <w:szCs w:val="16"/>
                <w:color w:val="auto"/>
              </w:rPr>
              <w:t>Liabilities:</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Short-term borrowings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58,326</w:t>
            </w:r>
          </w:p>
        </w:tc>
      </w:tr>
      <w:tr>
        <w:trPr>
          <w:trHeight w:val="194"/>
        </w:trPr>
        <w:tc>
          <w:tcPr>
            <w:tcW w:w="3800" w:type="dxa"/>
            <w:vAlign w:val="bottom"/>
          </w:tcPr>
          <w:p>
            <w:pPr>
              <w:ind w:left="240"/>
              <w:spacing w:after="0"/>
              <w:rPr>
                <w:sz w:val="20"/>
                <w:szCs w:val="20"/>
                <w:color w:val="auto"/>
              </w:rPr>
            </w:pPr>
            <w:r>
              <w:rPr>
                <w:rFonts w:ascii="Arial" w:cs="Arial" w:eastAsia="Arial" w:hAnsi="Arial"/>
                <w:sz w:val="16"/>
                <w:szCs w:val="16"/>
                <w:color w:val="auto"/>
              </w:rPr>
              <w:t>Long-term borrowings</w:t>
            </w: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21,009</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18,687</w:t>
            </w:r>
          </w:p>
        </w:tc>
      </w:tr>
      <w:tr>
        <w:trPr>
          <w:trHeight w:val="230"/>
        </w:trPr>
        <w:tc>
          <w:tcPr>
            <w:tcW w:w="38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77,013</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77,013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8"/>
        </w:trPr>
        <w:tc>
          <w:tcPr>
            <w:tcW w:w="3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2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3800" w:type="dxa"/>
            <w:vAlign w:val="bottom"/>
          </w:tcPr>
          <w:p>
            <w:pPr>
              <w:spacing w:after="0"/>
              <w:rPr>
                <w:sz w:val="20"/>
                <w:szCs w:val="20"/>
                <w:color w:val="auto"/>
              </w:rPr>
            </w:pPr>
            <w:r>
              <w:rPr>
                <w:rFonts w:ascii="Arial" w:cs="Arial" w:eastAsia="Arial" w:hAnsi="Arial"/>
                <w:sz w:val="16"/>
                <w:szCs w:val="16"/>
                <w:color w:val="auto"/>
              </w:rPr>
              <w:t>Assets</w:t>
            </w: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3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562,548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562,548</w:t>
            </w:r>
          </w:p>
        </w:tc>
      </w:tr>
      <w:tr>
        <w:trPr>
          <w:trHeight w:val="194"/>
        </w:trPr>
        <w:tc>
          <w:tcPr>
            <w:tcW w:w="3800" w:type="dxa"/>
            <w:vAlign w:val="bottom"/>
          </w:tcPr>
          <w:p>
            <w:pPr>
              <w:ind w:left="280"/>
              <w:spacing w:after="0"/>
              <w:rPr>
                <w:sz w:val="20"/>
                <w:szCs w:val="20"/>
                <w:color w:val="auto"/>
              </w:rPr>
            </w:pPr>
            <w:r>
              <w:rPr>
                <w:rFonts w:ascii="Arial" w:cs="Arial" w:eastAsia="Arial" w:hAnsi="Arial"/>
                <w:sz w:val="16"/>
                <w:szCs w:val="16"/>
                <w:color w:val="auto"/>
              </w:rPr>
              <w:t>Trading securities</w:t>
            </w: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29,498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29,498</w:t>
            </w:r>
          </w:p>
        </w:tc>
      </w:tr>
      <w:tr>
        <w:trPr>
          <w:trHeight w:val="230"/>
        </w:trPr>
        <w:tc>
          <w:tcPr>
            <w:tcW w:w="38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592,046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592,046</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8"/>
        </w:trPr>
        <w:tc>
          <w:tcPr>
            <w:tcW w:w="3800" w:type="dxa"/>
            <w:vAlign w:val="bottom"/>
          </w:tcPr>
          <w:p>
            <w:pPr>
              <w:ind w:left="40"/>
              <w:spacing w:after="0" w:line="178" w:lineRule="exact"/>
              <w:rPr>
                <w:sz w:val="20"/>
                <w:szCs w:val="20"/>
                <w:color w:val="auto"/>
              </w:rPr>
            </w:pPr>
            <w:r>
              <w:rPr>
                <w:rFonts w:ascii="Arial" w:cs="Arial" w:eastAsia="Arial" w:hAnsi="Arial"/>
                <w:sz w:val="16"/>
                <w:szCs w:val="16"/>
                <w:color w:val="auto"/>
              </w:rPr>
              <w:t>Liabilities:</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Short-term borrowings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9,591</w:t>
            </w:r>
          </w:p>
        </w:tc>
      </w:tr>
      <w:tr>
        <w:trPr>
          <w:trHeight w:val="194"/>
        </w:trPr>
        <w:tc>
          <w:tcPr>
            <w:tcW w:w="3800" w:type="dxa"/>
            <w:vAlign w:val="bottom"/>
          </w:tcPr>
          <w:p>
            <w:pPr>
              <w:ind w:left="240"/>
              <w:spacing w:after="0"/>
              <w:rPr>
                <w:sz w:val="20"/>
                <w:szCs w:val="20"/>
                <w:color w:val="auto"/>
              </w:rPr>
            </w:pPr>
            <w:r>
              <w:rPr>
                <w:rFonts w:ascii="Arial" w:cs="Arial" w:eastAsia="Arial" w:hAnsi="Arial"/>
                <w:sz w:val="16"/>
                <w:szCs w:val="16"/>
                <w:color w:val="auto"/>
              </w:rPr>
              <w:t>Long-term borrowings</w:t>
            </w: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25,367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25,367</w:t>
            </w:r>
          </w:p>
        </w:tc>
      </w:tr>
      <w:tr>
        <w:trPr>
          <w:trHeight w:val="230"/>
        </w:trPr>
        <w:tc>
          <w:tcPr>
            <w:tcW w:w="38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34,958</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34,958</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Operating and Financial Risks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Financial instruments that potentially subject the Company to credit risk consist principally of cash and cash equivalents, time deposits, and accounts receivable. The Company deposits and invests its cash with financial institutions that management believes are creditworthy.</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Company is potentially subject to concentrations of credit risks in its accounts receivable. For the years ended December 31, 2022 and December 31, 2021, three customers accounted for 43.8% and two customers accounted for 48.9% of revenue, respectively.</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As of December 31, 2022 and December 31, 2021, two customers accounted for 42.6% and 53.8%, respectively, of the Company’s accounts receivables. The Company believes that the receivable balances from these largest customers do not represent a significant credit risk based on past collection experience.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19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of December 31, 2022 and 2021, the balance of the Company’s short term bank borrowings (note 9) were scheduled to mature at various dates within the following year and thus exposed the Company to modest interest rate risk. As of December 31, 2022, the balance of the Company’s long-term borrowings (note 12) carry a fixed interest rate, and the Company may be exposed to the fair value interest rate risk.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Company’s working capital at December 31, 2022 and 2021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Country Risk</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has significant investments in the PRC. The operating results of the Company may be adversely affected by changes in the political and social conditions in the PRC and by changes in PRC government policies with respect to laws and regulations, anti-inflationary measures, currency conversion and remittance abroad, and rates and methods of taxation, among other things.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Risk and Translation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consolidated financial statements are presented in U.S. dollars, which is the Company’s reporting currency, while the functional currency of ACM’s subsidiaries is the Chinese Renminbi (“RMB”), and the Korean Won. Changes in the relative values of U.S. dollars and RMB affect the Company’s reported levels of revenues and profitability as the results of its operations are translated from RMB into U.S. dollars for reporting purposes. Since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7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fluctuations as marked to market at year-end are included in the consolidated statements of operations and comprehensive income. Total foreign currency translation adjustment was ($59,102), $4,695, and $10,493 for the years ended December 31, 2022, 2021 and 2020, respectively.</w:t>
      </w:r>
    </w:p>
    <w:p>
      <w:pPr>
        <w:spacing w:after="0" w:line="17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or Korean Won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Translations of amounts from RMB and Korean Won into U.S. dollars were made at the following exchange rates for the respective dates and periods: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At 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18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40" w:type="dxa"/>
            <w:vAlign w:val="bottom"/>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1120" w:type="dxa"/>
            <w:vAlign w:val="bottom"/>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54"/>
        </w:trPr>
        <w:tc>
          <w:tcPr>
            <w:tcW w:w="7320" w:type="dxa"/>
            <w:vAlign w:val="bottom"/>
            <w:gridSpan w:val="3"/>
          </w:tcPr>
          <w:p>
            <w:pPr>
              <w:spacing w:after="0" w:line="155" w:lineRule="exact"/>
              <w:rPr>
                <w:sz w:val="20"/>
                <w:szCs w:val="20"/>
                <w:color w:val="auto"/>
              </w:rPr>
            </w:pPr>
            <w:r>
              <w:rPr>
                <w:rFonts w:ascii="Arial" w:cs="Arial" w:eastAsia="Arial" w:hAnsi="Arial"/>
                <w:sz w:val="16"/>
                <w:szCs w:val="16"/>
                <w:color w:val="auto"/>
              </w:rPr>
              <w:t>Consolidated balance sheets:</w:t>
            </w: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6"/>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RMB to $1.00</w:t>
            </w:r>
          </w:p>
        </w:tc>
        <w:tc>
          <w:tcPr>
            <w:tcW w:w="550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6.9638</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6.3757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6.5232</w:t>
            </w:r>
          </w:p>
        </w:tc>
      </w:tr>
      <w:tr>
        <w:trPr>
          <w:trHeight w:val="201"/>
        </w:trPr>
        <w:tc>
          <w:tcPr>
            <w:tcW w:w="7320" w:type="dxa"/>
            <w:vAlign w:val="bottom"/>
            <w:gridSpan w:val="3"/>
          </w:tcPr>
          <w:p>
            <w:pPr>
              <w:spacing w:after="0"/>
              <w:rPr>
                <w:sz w:val="20"/>
                <w:szCs w:val="20"/>
                <w:color w:val="auto"/>
              </w:rPr>
            </w:pPr>
            <w:r>
              <w:rPr>
                <w:rFonts w:ascii="Arial" w:cs="Arial" w:eastAsia="Arial" w:hAnsi="Arial"/>
                <w:sz w:val="16"/>
                <w:szCs w:val="16"/>
                <w:color w:val="auto"/>
              </w:rPr>
              <w:t>KRW to $1.00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1,262.63</w:t>
            </w:r>
          </w:p>
        </w:tc>
        <w:tc>
          <w:tcPr>
            <w:tcW w:w="1460" w:type="dxa"/>
            <w:vAlign w:val="bottom"/>
            <w:gridSpan w:val="3"/>
          </w:tcPr>
          <w:p>
            <w:pPr>
              <w:jc w:val="right"/>
              <w:ind w:right="200"/>
              <w:spacing w:after="0"/>
              <w:rPr>
                <w:sz w:val="20"/>
                <w:szCs w:val="20"/>
                <w:color w:val="auto"/>
              </w:rPr>
            </w:pPr>
            <w:r>
              <w:rPr>
                <w:rFonts w:ascii="Arial" w:cs="Arial" w:eastAsia="Arial" w:hAnsi="Arial"/>
                <w:sz w:val="16"/>
                <w:szCs w:val="16"/>
                <w:color w:val="auto"/>
              </w:rPr>
              <w:t>1,145.48</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1,088.14</w:t>
            </w:r>
          </w:p>
        </w:tc>
      </w:tr>
      <w:tr>
        <w:trPr>
          <w:trHeight w:val="333"/>
        </w:trPr>
        <w:tc>
          <w:tcPr>
            <w:tcW w:w="7320" w:type="dxa"/>
            <w:vAlign w:val="bottom"/>
            <w:gridSpan w:val="3"/>
          </w:tcPr>
          <w:p>
            <w:pPr>
              <w:spacing w:after="0"/>
              <w:rPr>
                <w:sz w:val="20"/>
                <w:szCs w:val="20"/>
                <w:color w:val="auto"/>
              </w:rPr>
            </w:pPr>
            <w:r>
              <w:rPr>
                <w:rFonts w:ascii="Arial" w:cs="Arial" w:eastAsia="Arial" w:hAnsi="Arial"/>
                <w:sz w:val="16"/>
                <w:szCs w:val="16"/>
                <w:color w:val="auto"/>
              </w:rPr>
              <w:t>Consolidated statements of operations and comprehensive income: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4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RMB to $1.00</w:t>
            </w:r>
          </w:p>
        </w:tc>
        <w:tc>
          <w:tcPr>
            <w:tcW w:w="3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6.7249</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6.4515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6.8966</w:t>
            </w:r>
          </w:p>
        </w:tc>
      </w:tr>
      <w:tr>
        <w:trPr>
          <w:trHeight w:val="201"/>
        </w:trPr>
        <w:tc>
          <w:tcPr>
            <w:tcW w:w="7320" w:type="dxa"/>
            <w:vAlign w:val="bottom"/>
            <w:gridSpan w:val="3"/>
          </w:tcPr>
          <w:p>
            <w:pPr>
              <w:spacing w:after="0"/>
              <w:rPr>
                <w:sz w:val="20"/>
                <w:szCs w:val="20"/>
                <w:color w:val="auto"/>
              </w:rPr>
            </w:pPr>
            <w:r>
              <w:rPr>
                <w:rFonts w:ascii="Arial" w:cs="Arial" w:eastAsia="Arial" w:hAnsi="Arial"/>
                <w:sz w:val="16"/>
                <w:szCs w:val="16"/>
                <w:color w:val="auto"/>
              </w:rPr>
              <w:t>KRW to $1.00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1,288.66</w:t>
            </w:r>
          </w:p>
        </w:tc>
        <w:tc>
          <w:tcPr>
            <w:tcW w:w="1460" w:type="dxa"/>
            <w:vAlign w:val="bottom"/>
            <w:gridSpan w:val="3"/>
          </w:tcPr>
          <w:p>
            <w:pPr>
              <w:jc w:val="right"/>
              <w:ind w:right="200"/>
              <w:spacing w:after="0"/>
              <w:rPr>
                <w:sz w:val="20"/>
                <w:szCs w:val="20"/>
                <w:color w:val="auto"/>
              </w:rPr>
            </w:pPr>
            <w:r>
              <w:rPr>
                <w:rFonts w:ascii="Arial" w:cs="Arial" w:eastAsia="Arial" w:hAnsi="Arial"/>
                <w:sz w:val="16"/>
                <w:szCs w:val="16"/>
                <w:color w:val="auto"/>
              </w:rPr>
              <w:t>1,190.48</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1,179.25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Recently Adopted Accounting Pronouncements</w:t>
      </w:r>
    </w:p>
    <w:p>
      <w:pPr>
        <w:spacing w:after="0" w:line="196"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In March 2020, the FASB issued ASU No. 2020-04, Reference Rate Reform (Topic 848): Facilitation of the Effects of Reference Rate Reform on Financial Reporting. ASU 2020-04 provides optional expedients and exceptions for applying GAAP to contracts, hedging relationships, and other transactions affected by reference rate reform. The Company adopted ASU 2020-04 on January 1, 2021. The adoption of ASU 2020-04 did not have a material impact on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Recent Accounting Pronouncements Not Yet Adopted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Fair Value Measurement of Equity Securities Subject to Contractual Sale Restrictions. </w:t>
      </w:r>
      <w:r>
        <w:rPr>
          <w:rFonts w:ascii="Arial" w:cs="Arial" w:eastAsia="Arial" w:hAnsi="Arial"/>
          <w:sz w:val="16"/>
          <w:szCs w:val="16"/>
          <w:color w:val="auto"/>
        </w:rPr>
        <w:t>In June 2022, the FASB issued an accounting standard update which clarifies how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equity securities subject to contractual sale restrictions is determined (Topic 820). The amendment clarifies that a contractual sale restriction should not be considered in measuring fair value. It also requires certain qualitative and quantitative disclosures related to equity securities subject to contractual sale restrictions. This authoritative guidance will be effective for the year beginning January 1, 2024 with early adoption permitted. The Company is currently evaluating the effect of this new guidance on its consolidated financial statements.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November 2019, the FASB issued ASU 2019-10, Financial Instruments – Credit Losses (Topic 326), Derivatives and Hedging (Topic 815), and Leases (Topic 842): Effective Dates. In advance of the issuance of ASU 2019-10, the Company adopted ASU 2017-12, Derivatives and Hedging (Topic 815) and ASU 2016-02, Leases (Topic 842) since January 1, 2019. ASU 2019-10 defers the effective date of ASU 2016-13 for public filers that are considered small reporting companies (“SRC”) as defined by the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amendments in ASU 2016-13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not have a significant impact on its consolidated financial statements.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REVENUE FROM CONTRACTS WITH CUSTOMERS</w:t>
      </w:r>
    </w:p>
    <w:p>
      <w:pPr>
        <w:spacing w:after="0" w:line="200"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Company assesses revenues based upon the nature or type of goods or services it provides and the geographic location of the customer facility. The following tables present disaggregated revenue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line="174" w:lineRule="exact"/>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87"/>
              </w:rPr>
              <w:t>2022 v 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Single Wafer Cleaning, Tahoe and Semi-Critical Cleaning Equipment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272,939</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189,208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131,248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ECP (front-end and packaging), Furnace and Other Technologies</w:t>
            </w:r>
          </w:p>
        </w:tc>
        <w:tc>
          <w:tcPr>
            <w:tcW w:w="26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77,482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33,210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13,343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Advanced Packaging (excluding ECP), Services &amp; Spares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38,411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37,333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Total Revenue By Product Category</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388,832</w:t>
            </w:r>
          </w:p>
        </w:tc>
        <w:tc>
          <w:tcPr>
            <w:tcW w:w="36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259,751</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156,624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49.7%</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Wet cleaning and other front-end processing tools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308,528</w:t>
            </w:r>
          </w:p>
        </w:tc>
        <w:tc>
          <w:tcPr>
            <w:tcW w:w="36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202,268</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136,317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Advanced packaging, other processing tools, services and spares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80,304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57,483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20,307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Total Revenue Front-end and Back-End</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388,832</w:t>
            </w:r>
          </w:p>
        </w:tc>
        <w:tc>
          <w:tcPr>
            <w:tcW w:w="36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259,751</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156,624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Mainland China</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377,752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258,615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Other Regions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11,080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1,136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388,832</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259,751</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156,624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5960" w:type="dxa"/>
            <w:vAlign w:val="bottom"/>
            <w:gridSpan w:val="2"/>
          </w:tcPr>
          <w:p>
            <w:pPr>
              <w:spacing w:after="0"/>
              <w:rPr>
                <w:sz w:val="20"/>
                <w:szCs w:val="20"/>
                <w:color w:val="auto"/>
              </w:rPr>
            </w:pPr>
            <w:r>
              <w:rPr>
                <w:rFonts w:ascii="Arial" w:cs="Arial" w:eastAsia="Arial" w:hAnsi="Arial"/>
                <w:sz w:val="16"/>
                <w:szCs w:val="16"/>
                <w:color w:val="auto"/>
              </w:rPr>
              <w:t>Below are the accounts receivables and contract liabilities balances as of:</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112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0D0D0D"/>
              </w:rPr>
              <w:t>Accounts receivable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0D0D0D"/>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0D0D0D"/>
              </w:rPr>
              <w:t>182,936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0D0D0D"/>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0D0D0D"/>
              </w:rPr>
              <w:t>105,553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0D0D0D"/>
              </w:rPr>
              <w:t>Advances from customers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0D0D0D"/>
              </w:rPr>
              <w:t>153,773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0D0D0D"/>
              </w:rPr>
              <w:t>52,824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0D0D0D"/>
              </w:rPr>
              <w:t>4,174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0D0D0D"/>
              </w:rPr>
              <w:t>3,180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During the year ended December 31, 2022, advances from customers increased by $100.9 million, due to an increase of payments made by customers for first tools under evaluation, and an increase in customer pre-payments for tools prior to delivery.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80" w:type="dxa"/>
            <w:vAlign w:val="bottom"/>
            <w:gridSpan w:val="2"/>
          </w:tcPr>
          <w:p>
            <w:pPr>
              <w:spacing w:after="0"/>
              <w:rPr>
                <w:sz w:val="20"/>
                <w:szCs w:val="20"/>
                <w:color w:val="auto"/>
              </w:rPr>
            </w:pPr>
            <w:r>
              <w:rPr>
                <w:rFonts w:ascii="Arial" w:cs="Arial" w:eastAsia="Arial" w:hAnsi="Arial"/>
                <w:sz w:val="16"/>
                <w:szCs w:val="16"/>
                <w:b w:val="1"/>
                <w:bCs w:val="1"/>
                <w:color w:val="auto"/>
              </w:rPr>
              <w:t>NOTE 4 – ACCOUNTS RECEIVABLE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0"/>
        </w:trPr>
        <w:tc>
          <w:tcPr>
            <w:tcW w:w="8680" w:type="dxa"/>
            <w:vAlign w:val="bottom"/>
            <w:gridSpan w:val="2"/>
          </w:tcPr>
          <w:p>
            <w:pPr>
              <w:spacing w:after="0"/>
              <w:rPr>
                <w:sz w:val="20"/>
                <w:szCs w:val="20"/>
                <w:color w:val="auto"/>
              </w:rPr>
            </w:pPr>
            <w:r>
              <w:rPr>
                <w:rFonts w:ascii="Arial" w:cs="Arial" w:eastAsia="Arial" w:hAnsi="Arial"/>
                <w:sz w:val="16"/>
                <w:szCs w:val="16"/>
                <w:color w:val="auto"/>
              </w:rPr>
              <w:t>At December 31, 2022 and 2021, accounts receivable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182,936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105,553</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Less: Allowance for doubtful accounts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182,936</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105,553</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$77.4 million increase in accounts receivable for the twelve months ended 2022 corresponds to a $129.1 million increase in revenue for the same period.</w:t>
      </w:r>
    </w:p>
    <w:p>
      <w:pPr>
        <w:spacing w:after="0" w:line="196"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The Company reviews accounts receivable on a periodic basis and makes general and specific allowances when there is doubt as to the collectability of individual balances. Based on the age of the balance, a customer’s payment history and credit worthiness, current economic trends and reasonable and supportable forecasts, the Company determined there were no collectability issues at December 31, 2022 and 2021, and no allowance for doubtful accounts was necessary.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49"/>
        </w:trPr>
        <w:tc>
          <w:tcPr>
            <w:tcW w:w="868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NOTE 5 – INVENTORIES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680" w:type="dxa"/>
            <w:vAlign w:val="bottom"/>
            <w:gridSpan w:val="3"/>
          </w:tcPr>
          <w:p>
            <w:pPr>
              <w:spacing w:after="0"/>
              <w:rPr>
                <w:sz w:val="20"/>
                <w:szCs w:val="20"/>
                <w:color w:val="auto"/>
              </w:rPr>
            </w:pPr>
            <w:r>
              <w:rPr>
                <w:rFonts w:ascii="Arial" w:cs="Arial" w:eastAsia="Arial" w:hAnsi="Arial"/>
                <w:sz w:val="16"/>
                <w:szCs w:val="16"/>
                <w:color w:val="auto"/>
              </w:rPr>
              <w:t>At December 31, 2022 and 2021, inventory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Raw materials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167,135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90,552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79,126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35,840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146,911</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91,724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Total inventory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393,172</w:t>
            </w:r>
          </w:p>
        </w:tc>
        <w:tc>
          <w:tcPr>
            <w:tcW w:w="200" w:type="dxa"/>
            <w:vAlign w:val="bottom"/>
          </w:tcPr>
          <w:p>
            <w:pPr>
              <w:spacing w:after="0"/>
              <w:rPr>
                <w:sz w:val="16"/>
                <w:szCs w:val="16"/>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218,116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Inventories are stated at the lower of cost or net realizable value on a moving weighted average basis. At December 31, 2022 and December 31, 2021, the value of finished goods inventory, which is comprised of first-tools at customer physical locations, for which customers were contractually obligated to take ownership upon acceptance, totaled $123,169 and $71,889, respectively.</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The $119,869 increase in raw materials and work-in-process inventory at December 31, 2022 compared to December 31, 2021 was due to additional purchase of supplies to support a higher level of expected total shipments for the next several quarters, and to reduce the risk of supply chain delays to meet anticipated customer demand for the Company’s products. The $55,187 increase in finished goods inventory at December 31, 2022 compared to December 31, 2021 primarily reflects a higher value of first-tools under evaluation by existing or prospective customers, due to shipments made, net of customer acceptances during the period.</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Company’s products each require a certain degree of customization, and the substantial majority of the work-in-process inventory and finished goods inventory is built to meet a specific customer order for repeat shipment of first tool delivery. At the end of each period, the Company assesses the status of each item in work-in-process and finished goods and inventory. The Company recognizes a loss or impairment if in management’s judgement the inventory cannot be sold or used for production, if it has been damaged or should be considered as obsolete, or if the net realizable value is lower than the cost.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At the end of each period, the Company also assesses the status of its raw materials. The Company recognizes a loss or impairment for any raw materials aged more than three years for which the Company determines it is not likely to be used in future production. The three-year aging is based on the Company’s assessment of technology change, its requirement to maintain stock for warranty coverage,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years ended December 31, 2022 and December 31, 2021, inventory write-downs of $2,248 and $75 were recognized in cost of revenue,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PLANT AND EQUIPMENT, NET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2022 and 2021, property, plant and equipment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Buildings and plants</w:t>
            </w:r>
          </w:p>
        </w:tc>
        <w:tc>
          <w:tcPr>
            <w:tcW w:w="4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35,864</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Manufacturing equipment</w:t>
            </w:r>
          </w:p>
        </w:tc>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9,298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7,973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Office equipment</w:t>
            </w:r>
          </w:p>
        </w:tc>
        <w:tc>
          <w:tcPr>
            <w:tcW w:w="4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Transportation equipment</w:t>
            </w:r>
          </w:p>
        </w:tc>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407</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w:t>
            </w:r>
          </w:p>
        </w:tc>
        <w:tc>
          <w:tcPr>
            <w:tcW w:w="4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Total cost</w:t>
            </w:r>
          </w:p>
        </w:tc>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56,433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14,336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Less: Total accumulated depreciation and amortization</w:t>
            </w:r>
          </w:p>
        </w:tc>
        <w:tc>
          <w:tcPr>
            <w:tcW w:w="4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(10,047)</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36,489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property, plant and equipment, net</w:t>
            </w:r>
          </w:p>
        </w:tc>
        <w:tc>
          <w:tcPr>
            <w:tcW w:w="4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82,875</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180" w:type="dxa"/>
            <w:vAlign w:val="bottom"/>
          </w:tcPr>
          <w:p>
            <w:pPr>
              <w:jc w:val="right"/>
              <w:ind w:right="2897"/>
              <w:spacing w:after="0"/>
              <w:rPr>
                <w:sz w:val="20"/>
                <w:szCs w:val="20"/>
                <w:color w:val="auto"/>
              </w:rPr>
            </w:pPr>
            <w:r>
              <w:rPr>
                <w:rFonts w:ascii="Arial" w:cs="Arial" w:eastAsia="Arial" w:hAnsi="Arial"/>
                <w:sz w:val="13"/>
                <w:szCs w:val="13"/>
                <w:color w:val="auto"/>
              </w:rPr>
              <w:t>120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9" w:right="31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Depreciation expense was $4,839, $2,099, and $826 for the years ended December 31, 2022, 2021, and 2020, respectively. Buildings and plants represent Lingang housing property that was transferred to ACM Shengwei in January 2022 at a value of $41,497, which includes the purchase price and accumulated interest, and with estimated useful lives of 30-years (Note 8). Buildings and plants are pledged as security for loans from China Merchants Bank (Note 12). Construction in progress primarily reflects costs incurred related to the construction of several facilities in Lingang by ACM Shengwei, and are scheduled to begin production in 2023 and beyond.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NOTE 7 – LAND USE RIGHT, NET</w:t>
            </w:r>
          </w:p>
        </w:tc>
        <w:tc>
          <w:tcPr>
            <w:tcW w:w="2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0"/>
        </w:trPr>
        <w:tc>
          <w:tcPr>
            <w:tcW w:w="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A summary of land use right is as follows:</w:t>
            </w:r>
          </w:p>
        </w:tc>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Land use right purchase amount</w:t>
            </w:r>
          </w:p>
        </w:tc>
        <w:tc>
          <w:tcPr>
            <w:tcW w:w="29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9,149</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9,966</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2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(457)</w:t>
            </w: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(299)</w:t>
            </w:r>
          </w:p>
        </w:tc>
      </w:tr>
      <w:tr>
        <w:trPr>
          <w:trHeight w:val="230"/>
        </w:trPr>
        <w:tc>
          <w:tcPr>
            <w:tcW w:w="2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 use right, net</w:t>
            </w:r>
          </w:p>
        </w:tc>
        <w:tc>
          <w:tcPr>
            <w:tcW w:w="29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8,692</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9,667</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7"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In 2020 ACM Shanghai, through its wholly owned subsidiary, ACM Shengwei, entered into an agreement for a 50-year land use right in the Lingang region of Shanghai. In July 2020, ACM Shengwei began a multi-year construction project for a new 1,000,000 square foot development and production center that will incorporate new manufacturing systems and automation technologies and will provide floor space to support significantly increased production capacity and related research and development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amortization for the years ended December 31, 2022 and 2021 was $189 and $199,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annual amortization of land use right for each of the five succeeding years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40" w:type="dxa"/>
            <w:vAlign w:val="bottom"/>
            <w:tcBorders>
              <w:bottom w:val="single" w:sz="8" w:color="auto"/>
            </w:tcBorders>
          </w:tcPr>
          <w:p>
            <w:pPr>
              <w:ind w:left="4060"/>
              <w:spacing w:after="0"/>
              <w:rPr>
                <w:sz w:val="20"/>
                <w:szCs w:val="20"/>
                <w:color w:val="auto"/>
              </w:rPr>
            </w:pPr>
            <w:r>
              <w:rPr>
                <w:rFonts w:ascii="Arial" w:cs="Arial" w:eastAsia="Arial" w:hAnsi="Arial"/>
                <w:sz w:val="16"/>
                <w:szCs w:val="16"/>
                <w:b w:val="1"/>
                <w:bCs w:val="1"/>
                <w:color w:val="auto"/>
              </w:rPr>
              <w:t>Year ending December 31,</w:t>
            </w:r>
          </w:p>
        </w:tc>
        <w:tc>
          <w:tcPr>
            <w:tcW w:w="1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2024</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2026</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2027 and thereafter</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7,892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8,692</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8 – OTHER LONG-TERM ASSETS</w:t>
            </w: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2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260" w:type="dxa"/>
            <w:vAlign w:val="bottom"/>
            <w:gridSpan w:val="2"/>
          </w:tcPr>
          <w:p>
            <w:pPr>
              <w:spacing w:after="0"/>
              <w:rPr>
                <w:sz w:val="20"/>
                <w:szCs w:val="20"/>
                <w:color w:val="auto"/>
              </w:rPr>
            </w:pPr>
            <w:r>
              <w:rPr>
                <w:rFonts w:ascii="Arial" w:cs="Arial" w:eastAsia="Arial" w:hAnsi="Arial"/>
                <w:sz w:val="16"/>
                <w:szCs w:val="16"/>
                <w:color w:val="auto"/>
              </w:rPr>
              <w:t>At December 31, 2022 and 2021, other long-term assets consisted of the following:</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Prepayment for property - Lingang</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Prepayment for property, plant and equipment and other non-current assets</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704</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Prepayment for property - lease deposit</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Security deposit for land use right</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Prepayment for property - Zhangjiang New Building</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47,251</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Others</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long-term assets</w:t>
            </w:r>
          </w:p>
        </w:tc>
        <w:tc>
          <w:tcPr>
            <w:tcW w:w="1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50,265</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45,017</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Prepayment for property – Zhangjiang New Building is for the planned new corporate headquarters of ACM Shanghai.</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49"/>
        </w:trPr>
        <w:tc>
          <w:tcPr>
            <w:tcW w:w="868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NOTE 9 – SHORT-TERM BORROWINGS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680" w:type="dxa"/>
            <w:vAlign w:val="bottom"/>
            <w:gridSpan w:val="3"/>
          </w:tcPr>
          <w:p>
            <w:pPr>
              <w:spacing w:after="0"/>
              <w:rPr>
                <w:sz w:val="20"/>
                <w:szCs w:val="20"/>
                <w:color w:val="auto"/>
              </w:rPr>
            </w:pPr>
            <w:r>
              <w:rPr>
                <w:rFonts w:ascii="Arial" w:cs="Arial" w:eastAsia="Arial" w:hAnsi="Arial"/>
                <w:sz w:val="16"/>
                <w:szCs w:val="16"/>
                <w:color w:val="auto"/>
              </w:rPr>
              <w:t>At December 31, 2022 and December 31, 2021, short-term and long-term borrowings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gridSpan w:val="3"/>
          </w:tcPr>
          <w:p>
            <w:pPr>
              <w:spacing w:after="0"/>
              <w:rPr>
                <w:sz w:val="20"/>
                <w:szCs w:val="20"/>
                <w:color w:val="auto"/>
              </w:rPr>
            </w:pPr>
            <w:r>
              <w:rPr>
                <w:rFonts w:ascii="Arial" w:cs="Arial" w:eastAsia="Arial" w:hAnsi="Arial"/>
                <w:sz w:val="16"/>
                <w:szCs w:val="16"/>
                <w:color w:val="0D0D0D"/>
              </w:rPr>
              <w:t xml:space="preserve">Line of credit up to RMB </w:t>
            </w:r>
            <w:r>
              <w:rPr>
                <w:rFonts w:ascii="Arial" w:cs="Arial" w:eastAsia="Arial" w:hAnsi="Arial"/>
                <w:sz w:val="16"/>
                <w:szCs w:val="16"/>
                <w:color w:val="000000"/>
              </w:rPr>
              <w:t>100,000</w:t>
            </w:r>
            <w:r>
              <w:rPr>
                <w:rFonts w:ascii="Arial" w:cs="Arial" w:eastAsia="Arial" w:hAnsi="Arial"/>
                <w:sz w:val="16"/>
                <w:szCs w:val="16"/>
                <w:color w:val="0D0D0D"/>
              </w:rPr>
              <w:t xml:space="preserve"> from Bank of Shanghai Pudong Branch,</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color w:val="0D0D0D"/>
              </w:rPr>
              <w:t>due on June 7, 2022 with an annual interest rate of</w:t>
            </w:r>
            <w:r>
              <w:rPr>
                <w:rFonts w:ascii="Arial" w:cs="Arial" w:eastAsia="Arial" w:hAnsi="Arial"/>
                <w:sz w:val="16"/>
                <w:szCs w:val="16"/>
                <w:color w:val="auto"/>
              </w:rPr>
              <w:t xml:space="preserve"> 2.7% </w:t>
            </w:r>
            <w:r>
              <w:rPr>
                <w:rFonts w:ascii="Arial" w:cs="Arial" w:eastAsia="Arial" w:hAnsi="Arial"/>
                <w:sz w:val="16"/>
                <w:szCs w:val="16"/>
                <w:color w:val="0D0D0D"/>
              </w:rPr>
              <w:t>and fully repaid on June 7, 2022</w:t>
            </w:r>
            <w:r>
              <w:rPr>
                <w:rFonts w:ascii="Arial" w:cs="Arial" w:eastAsia="Arial" w:hAnsi="Arial"/>
                <w:sz w:val="16"/>
                <w:szCs w:val="16"/>
                <w:color w:val="auto"/>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0D0D0D"/>
              </w:rPr>
              <w:t xml:space="preserve">Line of credit up to RMB </w:t>
            </w:r>
            <w:r>
              <w:rPr>
                <w:rFonts w:ascii="Arial" w:cs="Arial" w:eastAsia="Arial" w:hAnsi="Arial"/>
                <w:sz w:val="16"/>
                <w:szCs w:val="16"/>
                <w:color w:val="000000"/>
              </w:rPr>
              <w:t>150,000</w:t>
            </w:r>
            <w:r>
              <w:rPr>
                <w:rFonts w:ascii="Arial" w:cs="Arial" w:eastAsia="Arial" w:hAnsi="Arial"/>
                <w:sz w:val="16"/>
                <w:szCs w:val="16"/>
                <w:color w:val="0D0D0D"/>
              </w:rPr>
              <w:t xml:space="preserve"> from China Everbright Bank,</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1)due on October 21, 2022 with annual interest rate of 1.95% and fully repaid on September 27, 2022.</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2)due on August 17, 2023 with an annual interest rate of 3.40%.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8,616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3)due on September 1, 2023 with an annual interest rate of 3.60%.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4)due on December 16, 2023 with an annual interest rate of 3.00%.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0D0D0D"/>
              </w:rPr>
              <w:t xml:space="preserve">Line of credit up to RMB </w:t>
            </w:r>
            <w:r>
              <w:rPr>
                <w:rFonts w:ascii="Arial" w:cs="Arial" w:eastAsia="Arial" w:hAnsi="Arial"/>
                <w:sz w:val="16"/>
                <w:szCs w:val="16"/>
                <w:color w:val="000000"/>
              </w:rPr>
              <w:t>100,000</w:t>
            </w:r>
            <w:r>
              <w:rPr>
                <w:rFonts w:ascii="Arial" w:cs="Arial" w:eastAsia="Arial" w:hAnsi="Arial"/>
                <w:sz w:val="16"/>
                <w:szCs w:val="16"/>
                <w:color w:val="0D0D0D"/>
              </w:rPr>
              <w:t xml:space="preserve"> from Bank of Communications,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1)due on October 25, 2022 with an annual interest rate of 3.85% and fully repaid on July 1, 2022.</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2)due on August 11, 2023 with an annual interest rate of 3.60%.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3)due on September 5, 2023 with an annual interest rate of 3.50%.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5,744</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0D0D0D"/>
              </w:rPr>
              <w:t xml:space="preserve">Line of credit up to RMB </w:t>
            </w:r>
            <w:r>
              <w:rPr>
                <w:rFonts w:ascii="Arial" w:cs="Arial" w:eastAsia="Arial" w:hAnsi="Arial"/>
                <w:sz w:val="16"/>
                <w:szCs w:val="16"/>
                <w:color w:val="000000"/>
              </w:rPr>
              <w:t>40,000</w:t>
            </w:r>
            <w:r>
              <w:rPr>
                <w:rFonts w:ascii="Arial" w:cs="Arial" w:eastAsia="Arial" w:hAnsi="Arial"/>
                <w:sz w:val="16"/>
                <w:szCs w:val="16"/>
                <w:color w:val="0D0D0D"/>
              </w:rPr>
              <w:t xml:space="preserve"> from Bank of China,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1)due on August 26, 2023 with an annual interest rate of 3.15%.</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5,744</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0D0D0D"/>
              </w:rPr>
              <w:t xml:space="preserve">Line of credit up to RMB </w:t>
            </w:r>
            <w:r>
              <w:rPr>
                <w:rFonts w:ascii="Arial" w:cs="Arial" w:eastAsia="Arial" w:hAnsi="Arial"/>
                <w:sz w:val="16"/>
                <w:szCs w:val="16"/>
                <w:color w:val="000000"/>
              </w:rPr>
              <w:t>100,000</w:t>
            </w:r>
            <w:r>
              <w:rPr>
                <w:rFonts w:ascii="Arial" w:cs="Arial" w:eastAsia="Arial" w:hAnsi="Arial"/>
                <w:sz w:val="16"/>
                <w:szCs w:val="16"/>
                <w:color w:val="0D0D0D"/>
              </w:rPr>
              <w:t xml:space="preserve"> from China Merchants Bank,</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1)due on July 21, 2023 with an annual interest rate of 3.50%.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2)due on July 27, 2023 with an annual interest rate of 3.50%.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3)due on August 1, 2023 with an annual interest rate of 3.50%.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4)due on August 3, 2023 with an annual interest rate of 3.50%.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5)due on August 7, 2023 with an annual interest rate of 3.50%.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6)due on August 14, 2023 with an annual interest rate of 3.50%.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7)due on August 15, 2023 with an annual interest rate of 3.50%.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8)due on August 21, 2023 with an annual interest rate of 3.50%.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9)due on August 28, 2023 with an annual interest rate of 3.50%.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10)due on September 13, 2023 with an annual interest rate of 3.50%.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11)due on September 20, 2023 with an annual interest rate of 3.50%.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12)due on September 29, 2023 with an annual interest rate of 3.50%.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0D0D0D"/>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56,004</w:t>
            </w:r>
          </w:p>
        </w:tc>
        <w:tc>
          <w:tcPr>
            <w:tcW w:w="200" w:type="dxa"/>
            <w:vAlign w:val="bottom"/>
          </w:tcPr>
          <w:p>
            <w:pPr>
              <w:spacing w:after="0"/>
              <w:rPr>
                <w:sz w:val="16"/>
                <w:szCs w:val="16"/>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(1) Guaranteed by CleanChip</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2022, 2021 and 2020, interest expense related to short-term borrowings amounted to $810, $700, and $897,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PAYABLES AND ACCRUED EXPENSES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2022 and 2021, other payables and accrued expenses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Accrued commissions</w:t>
            </w:r>
          </w:p>
        </w:tc>
        <w:tc>
          <w:tcPr>
            <w:tcW w:w="49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Accrued warranty</w:t>
            </w:r>
          </w:p>
        </w:tc>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8,780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6,631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Accrued payroll</w:t>
            </w:r>
          </w:p>
        </w:tc>
        <w:tc>
          <w:tcPr>
            <w:tcW w:w="4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12,201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Accrued professional fees</w:t>
            </w:r>
          </w:p>
        </w:tc>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Accrued machine testing fees</w:t>
            </w:r>
          </w:p>
        </w:tc>
        <w:tc>
          <w:tcPr>
            <w:tcW w:w="4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Accrued machine sales fees</w:t>
            </w:r>
          </w:p>
        </w:tc>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5,874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4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5,979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52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52,201</w:t>
            </w:r>
          </w:p>
        </w:tc>
        <w:tc>
          <w:tcPr>
            <w:tcW w:w="480" w:type="dxa"/>
            <w:vAlign w:val="bottom"/>
            <w:gridSpan w:val="2"/>
          </w:tcPr>
          <w:p>
            <w:pPr>
              <w:jc w:val="right"/>
              <w:ind w:right="22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980" w:type="dxa"/>
            <w:vAlign w:val="bottom"/>
            <w:vMerge w:val="restart"/>
          </w:tcPr>
          <w:p>
            <w:pPr>
              <w:jc w:val="right"/>
              <w:ind w:right="2889"/>
              <w:spacing w:after="0"/>
              <w:rPr>
                <w:sz w:val="20"/>
                <w:szCs w:val="20"/>
                <w:color w:val="auto"/>
              </w:rPr>
            </w:pPr>
            <w:r>
              <w:rPr>
                <w:rFonts w:ascii="Arial" w:cs="Arial" w:eastAsia="Arial" w:hAnsi="Arial"/>
                <w:sz w:val="13"/>
                <w:szCs w:val="13"/>
                <w:color w:val="auto"/>
              </w:rPr>
              <w:t>122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9" w:right="3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LEASES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60" w:type="dxa"/>
            <w:vAlign w:val="bottom"/>
            <w:gridSpan w:val="2"/>
          </w:tcPr>
          <w:p>
            <w:pPr>
              <w:spacing w:after="0"/>
              <w:rPr>
                <w:sz w:val="20"/>
                <w:szCs w:val="20"/>
                <w:color w:val="auto"/>
              </w:rPr>
            </w:pPr>
            <w:r>
              <w:rPr>
                <w:rFonts w:ascii="Arial" w:cs="Arial" w:eastAsia="Arial" w:hAnsi="Arial"/>
                <w:sz w:val="16"/>
                <w:szCs w:val="16"/>
                <w:color w:val="auto"/>
              </w:rPr>
              <w:t>The components of lease expense were as follows: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740" w:type="dxa"/>
            <w:vAlign w:val="bottom"/>
            <w:shd w:val="clear" w:color="auto" w:fill="CCEEFF"/>
          </w:tcPr>
          <w:p>
            <w:pPr>
              <w:jc w:val="right"/>
              <w:ind w:right="594"/>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2,816</w:t>
            </w: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Short-term lease cost</w:t>
            </w: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786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394</w:t>
            </w:r>
          </w:p>
        </w:tc>
        <w:tc>
          <w:tcPr>
            <w:tcW w:w="1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Lease cost</w:t>
            </w:r>
          </w:p>
        </w:tc>
        <w:tc>
          <w:tcPr>
            <w:tcW w:w="74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3,602</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8680" w:type="dxa"/>
            <w:vAlign w:val="bottom"/>
            <w:gridSpan w:val="5"/>
          </w:tcPr>
          <w:p>
            <w:pPr>
              <w:spacing w:after="0"/>
              <w:rPr>
                <w:sz w:val="20"/>
                <w:szCs w:val="20"/>
                <w:color w:val="auto"/>
              </w:rPr>
            </w:pPr>
            <w:r>
              <w:rPr>
                <w:rFonts w:ascii="Arial" w:cs="Arial" w:eastAsia="Arial" w:hAnsi="Arial"/>
                <w:sz w:val="16"/>
                <w:szCs w:val="16"/>
                <w:color w:val="auto"/>
                <w:w w:val="89"/>
              </w:rPr>
              <w:t>Supplemental cash flow information related to operating leases was as follows for the years ended December 31, 2022, 2021, and 2020: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60" w:type="dxa"/>
            <w:vAlign w:val="bottom"/>
            <w:gridSpan w:val="2"/>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cash outflow from operating leases</w:t>
            </w:r>
          </w:p>
        </w:tc>
        <w:tc>
          <w:tcPr>
            <w:tcW w:w="740" w:type="dxa"/>
            <w:vAlign w:val="bottom"/>
            <w:shd w:val="clear" w:color="auto" w:fill="CCEEFF"/>
          </w:tcPr>
          <w:p>
            <w:pPr>
              <w:jc w:val="right"/>
              <w:ind w:right="634"/>
              <w:spacing w:after="0"/>
              <w:rPr>
                <w:sz w:val="20"/>
                <w:szCs w:val="20"/>
                <w:color w:val="auto"/>
              </w:rPr>
            </w:pPr>
            <w:r>
              <w:rPr>
                <w:rFonts w:ascii="Arial" w:cs="Arial" w:eastAsia="Arial" w:hAnsi="Arial"/>
                <w:sz w:val="5"/>
                <w:szCs w:val="5"/>
                <w:color w:val="auto"/>
                <w:w w:val="70"/>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3,602</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360" w:type="dxa"/>
            <w:vAlign w:val="bottom"/>
            <w:gridSpan w:val="2"/>
          </w:tcPr>
          <w:p>
            <w:pPr>
              <w:spacing w:after="0"/>
              <w:rPr>
                <w:sz w:val="20"/>
                <w:szCs w:val="20"/>
                <w:color w:val="auto"/>
              </w:rPr>
            </w:pPr>
            <w:r>
              <w:rPr>
                <w:rFonts w:ascii="Arial" w:cs="Arial" w:eastAsia="Arial" w:hAnsi="Arial"/>
                <w:sz w:val="16"/>
                <w:szCs w:val="16"/>
                <w:color w:val="auto"/>
              </w:rPr>
              <w:t>Maturities of lease liabilities for all operating leases were as follows as of December 31, 2022:</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74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2024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2025</w:t>
            </w:r>
          </w:p>
        </w:tc>
        <w:tc>
          <w:tcPr>
            <w:tcW w:w="74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2026</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2027</w:t>
            </w:r>
          </w:p>
        </w:tc>
        <w:tc>
          <w:tcPr>
            <w:tcW w:w="7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tcBorders>
              <w:bottom w:val="single" w:sz="8" w:color="CCEEFF"/>
              <w:right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Less: Interest</w:t>
            </w:r>
          </w:p>
        </w:tc>
        <w:tc>
          <w:tcPr>
            <w:tcW w:w="7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(163)</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tcPr>
          <w:p>
            <w:pPr>
              <w:ind w:left="20"/>
              <w:spacing w:after="0"/>
              <w:rPr>
                <w:sz w:val="20"/>
                <w:szCs w:val="20"/>
                <w:color w:val="auto"/>
              </w:rPr>
            </w:pPr>
            <w:r>
              <w:rPr>
                <w:rFonts w:ascii="Arial" w:cs="Arial" w:eastAsia="Arial" w:hAnsi="Arial"/>
                <w:sz w:val="16"/>
                <w:szCs w:val="16"/>
                <w:color w:val="auto"/>
              </w:rPr>
              <w:t>Present value of lease liabilities</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920" w:type="dxa"/>
            <w:vAlign w:val="bottom"/>
            <w:gridSpan w:val="6"/>
            <w:vMerge w:val="restart"/>
          </w:tcPr>
          <w:p>
            <w:pPr>
              <w:spacing w:after="0"/>
              <w:rPr>
                <w:sz w:val="20"/>
                <w:szCs w:val="20"/>
                <w:color w:val="auto"/>
              </w:rPr>
            </w:pPr>
            <w:r>
              <w:rPr>
                <w:rFonts w:ascii="Arial" w:cs="Arial" w:eastAsia="Arial" w:hAnsi="Arial"/>
                <w:sz w:val="16"/>
                <w:szCs w:val="16"/>
                <w:color w:val="auto"/>
                <w:w w:val="89"/>
              </w:rPr>
              <w:t>The weighted average remaining lease terms and discount rates for all operating leases were as follows as of December 31, 2022 and 2021:</w:t>
            </w: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920" w:type="dxa"/>
            <w:vAlign w:val="bottom"/>
            <w:gridSpan w:val="6"/>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40" w:type="dxa"/>
            <w:vAlign w:val="bottom"/>
          </w:tcPr>
          <w:p>
            <w:pPr>
              <w:ind w:left="20"/>
              <w:spacing w:after="0"/>
              <w:rPr>
                <w:sz w:val="20"/>
                <w:szCs w:val="20"/>
                <w:color w:val="auto"/>
              </w:rPr>
            </w:pPr>
            <w:r>
              <w:rPr>
                <w:rFonts w:ascii="Arial" w:cs="Arial" w:eastAsia="Arial" w:hAnsi="Arial"/>
                <w:sz w:val="16"/>
                <w:szCs w:val="16"/>
                <w:color w:val="auto"/>
              </w:rPr>
              <w:t>Remaining lease term and discount rate:</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74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2.00</w:t>
            </w: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w w:val="96"/>
              </w:rPr>
              <w:t>1.37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540"/>
              <w:spacing w:after="0"/>
              <w:rPr>
                <w:sz w:val="20"/>
                <w:szCs w:val="20"/>
                <w:color w:val="auto"/>
              </w:rPr>
            </w:pPr>
            <w:r>
              <w:rPr>
                <w:rFonts w:ascii="Arial" w:cs="Arial" w:eastAsia="Arial" w:hAnsi="Arial"/>
                <w:sz w:val="16"/>
                <w:szCs w:val="16"/>
                <w:color w:val="auto"/>
              </w:rPr>
              <w:t>4.25%</w:t>
            </w:r>
          </w:p>
        </w:tc>
        <w:tc>
          <w:tcPr>
            <w:tcW w:w="16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w w:val="88"/>
              </w:rPr>
              <w:t>4.54%</w:t>
            </w:r>
          </w:p>
        </w:tc>
        <w:tc>
          <w:tcPr>
            <w:tcW w:w="0" w:type="dxa"/>
            <w:vAlign w:val="bottom"/>
          </w:tcPr>
          <w:p>
            <w:pPr>
              <w:spacing w:after="0"/>
              <w:rPr>
                <w:sz w:val="1"/>
                <w:szCs w:val="1"/>
                <w:color w:val="auto"/>
              </w:rPr>
            </w:pPr>
          </w:p>
        </w:tc>
      </w:tr>
      <w:tr>
        <w:trPr>
          <w:trHeight w:val="490"/>
        </w:trPr>
        <w:tc>
          <w:tcPr>
            <w:tcW w:w="7360" w:type="dxa"/>
            <w:vAlign w:val="bottom"/>
            <w:gridSpan w:val="2"/>
          </w:tcPr>
          <w:p>
            <w:pPr>
              <w:ind w:left="5520"/>
              <w:spacing w:after="0"/>
              <w:rPr>
                <w:sz w:val="20"/>
                <w:szCs w:val="20"/>
                <w:color w:val="auto"/>
              </w:rPr>
            </w:pPr>
            <w:r>
              <w:rPr>
                <w:rFonts w:ascii="Arial" w:cs="Arial" w:eastAsia="Arial" w:hAnsi="Arial"/>
                <w:sz w:val="13"/>
                <w:szCs w:val="13"/>
                <w:color w:val="auto"/>
              </w:rPr>
              <w:t>123</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8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5"/>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NOTE 12 – LONG-TERM BORROWINGS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0"/>
        </w:trPr>
        <w:tc>
          <w:tcPr>
            <w:tcW w:w="8680" w:type="dxa"/>
            <w:vAlign w:val="bottom"/>
            <w:gridSpan w:val="3"/>
          </w:tcPr>
          <w:p>
            <w:pPr>
              <w:spacing w:after="0"/>
              <w:rPr>
                <w:sz w:val="20"/>
                <w:szCs w:val="20"/>
                <w:color w:val="auto"/>
              </w:rPr>
            </w:pPr>
            <w:r>
              <w:rPr>
                <w:rFonts w:ascii="Arial" w:cs="Arial" w:eastAsia="Arial" w:hAnsi="Arial"/>
                <w:sz w:val="16"/>
                <w:szCs w:val="16"/>
                <w:color w:val="auto"/>
              </w:rPr>
              <w:t>At December 31, 2022 and 2021, long-term borrowings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 from China Merchants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18,390</w:t>
            </w:r>
          </w:p>
        </w:tc>
        <w:tc>
          <w:tcPr>
            <w:tcW w:w="12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Loans from Bank of China</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6,977</w:t>
            </w: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(2,410)</w:t>
            </w: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18,687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22,957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The loan from China Merchants Bank is for the purpose of purchasing property in Lingang, Shanghai. The loan is repayable in 120 installments with the last installment due in November 2030, with an annual interest rate of 4.65%. The loan is pledged by the property of ACM Shengwei and guaranteed by ACM Research (Shanghai), Inc.</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Two loans from Bank of China are for the purpose of funding ACM Shanghai project expenditures. The loans bear interest at an annual rate of 2.6% and are repayable in 6 installments, with the last installments due in June 2024 and September 2024.</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Scheduled principal payments for the outstanding long-term loans as of December 31, 2022 are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ending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20" w:type="dxa"/>
            <w:vAlign w:val="bottom"/>
            <w:shd w:val="clear" w:color="auto" w:fill="CCEEFF"/>
          </w:tcPr>
          <w:p>
            <w:pPr>
              <w:spacing w:after="0"/>
              <w:rPr>
                <w:sz w:val="16"/>
                <w:szCs w:val="16"/>
                <w:color w:val="auto"/>
              </w:rPr>
            </w:pPr>
          </w:p>
        </w:tc>
      </w:tr>
      <w:tr>
        <w:trPr>
          <w:trHeight w:val="190"/>
        </w:trPr>
        <w:tc>
          <w:tcPr>
            <w:tcW w:w="10020" w:type="dxa"/>
            <w:vAlign w:val="bottom"/>
          </w:tcPr>
          <w:p>
            <w:pPr>
              <w:spacing w:after="0"/>
              <w:rPr>
                <w:sz w:val="20"/>
                <w:szCs w:val="20"/>
                <w:color w:val="auto"/>
              </w:rPr>
            </w:pPr>
            <w:r>
              <w:rPr>
                <w:rFonts w:ascii="Arial" w:cs="Arial" w:eastAsia="Arial" w:hAnsi="Arial"/>
                <w:sz w:val="16"/>
                <w:szCs w:val="16"/>
                <w:color w:val="auto"/>
              </w:rPr>
              <w:t>2024</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6,841</w:t>
            </w:r>
          </w:p>
        </w:tc>
        <w:tc>
          <w:tcPr>
            <w:tcW w:w="120" w:type="dxa"/>
            <w:vAlign w:val="bottom"/>
          </w:tcPr>
          <w:p>
            <w:pPr>
              <w:spacing w:after="0"/>
              <w:rPr>
                <w:sz w:val="16"/>
                <w:szCs w:val="16"/>
                <w:color w:val="auto"/>
              </w:rPr>
            </w:pPr>
          </w:p>
        </w:tc>
      </w:tr>
      <w:tr>
        <w:trPr>
          <w:trHeight w:val="190"/>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20" w:type="dxa"/>
            <w:vAlign w:val="bottom"/>
            <w:shd w:val="clear" w:color="auto" w:fill="CCEEFF"/>
          </w:tcPr>
          <w:p>
            <w:pPr>
              <w:spacing w:after="0"/>
              <w:rPr>
                <w:sz w:val="16"/>
                <w:szCs w:val="16"/>
                <w:color w:val="auto"/>
              </w:rPr>
            </w:pPr>
          </w:p>
        </w:tc>
      </w:tr>
      <w:tr>
        <w:trPr>
          <w:trHeight w:val="190"/>
        </w:trPr>
        <w:tc>
          <w:tcPr>
            <w:tcW w:w="10020" w:type="dxa"/>
            <w:vAlign w:val="bottom"/>
          </w:tcPr>
          <w:p>
            <w:pPr>
              <w:spacing w:after="0"/>
              <w:rPr>
                <w:sz w:val="20"/>
                <w:szCs w:val="20"/>
                <w:color w:val="auto"/>
              </w:rPr>
            </w:pPr>
            <w:r>
              <w:rPr>
                <w:rFonts w:ascii="Arial" w:cs="Arial" w:eastAsia="Arial" w:hAnsi="Arial"/>
                <w:sz w:val="16"/>
                <w:szCs w:val="16"/>
                <w:color w:val="auto"/>
              </w:rPr>
              <w:t>2026</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1,886</w:t>
            </w:r>
          </w:p>
        </w:tc>
        <w:tc>
          <w:tcPr>
            <w:tcW w:w="120" w:type="dxa"/>
            <w:vAlign w:val="bottom"/>
          </w:tcPr>
          <w:p>
            <w:pPr>
              <w:spacing w:after="0"/>
              <w:rPr>
                <w:sz w:val="16"/>
                <w:szCs w:val="16"/>
                <w:color w:val="auto"/>
              </w:rPr>
            </w:pPr>
          </w:p>
        </w:tc>
      </w:tr>
      <w:tr>
        <w:trPr>
          <w:trHeight w:val="194"/>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2027 and onwards</w:t>
            </w: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4"/>
        </w:trPr>
        <w:tc>
          <w:tcPr>
            <w:tcW w:w="10020" w:type="dxa"/>
            <w:vAlign w:val="bottom"/>
          </w:tcPr>
          <w:p>
            <w:pPr>
              <w:spacing w:after="0"/>
              <w:rPr>
                <w:sz w:val="16"/>
                <w:szCs w:val="16"/>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21,009</w:t>
            </w:r>
          </w:p>
        </w:tc>
        <w:tc>
          <w:tcPr>
            <w:tcW w:w="120" w:type="dxa"/>
            <w:vAlign w:val="bottom"/>
          </w:tcPr>
          <w:p>
            <w:pPr>
              <w:spacing w:after="0"/>
              <w:rPr>
                <w:sz w:val="16"/>
                <w:szCs w:val="16"/>
                <w:color w:val="auto"/>
              </w:rPr>
            </w:pPr>
          </w:p>
        </w:tc>
      </w:tr>
    </w:tbl>
    <w:p>
      <w:pPr>
        <w:spacing w:after="0" w:line="17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For the year ended December 31, 2022, $845 of interest related to long-term borrowings was incurred, of which $845 was charged to interest expense and $0 was capitalized as other long-term assets. For the year ended December 31, 2021, $1,040 of interest related to long-term borrowings was incurred, of which $65 was charged to interest expense and $975 was capitalized as other long-term assets.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OTHER LONG-TERM LIABILITIES</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Other long-term liabilities represent government subsidies received from PRC governmental authorities for development and commercialization of certain technology but not yet recognized (note 2). As of December 31, 2022 and 2021, other long-term liabilities consisted of the following unearned government subsidies: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w w:val="96"/>
              </w:rPr>
              <w:t>Subsidies to Stress Free Polishing project, commenced in 2008 and 2017</w:t>
            </w:r>
          </w:p>
        </w:tc>
        <w:tc>
          <w:tcPr>
            <w:tcW w:w="36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Subsidies to Electro Copper Plating project, commenced in 2014</w:t>
            </w:r>
          </w:p>
        </w:tc>
        <w:tc>
          <w:tcPr>
            <w:tcW w:w="3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160</w:t>
            </w:r>
          </w:p>
        </w:tc>
      </w:tr>
      <w:tr>
        <w:trPr>
          <w:trHeight w:val="190"/>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Subsidies to other cleaning tools, commenced in 2020</w:t>
            </w:r>
          </w:p>
        </w:tc>
        <w:tc>
          <w:tcPr>
            <w:tcW w:w="36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1,014</w:t>
            </w:r>
          </w:p>
        </w:tc>
      </w:tr>
      <w:tr>
        <w:trPr>
          <w:trHeight w:val="190"/>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Subsidies to SW Lingang R&amp;D development in 2021</w:t>
            </w:r>
          </w:p>
        </w:tc>
        <w:tc>
          <w:tcPr>
            <w:tcW w:w="3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4,266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5,958</w:t>
            </w:r>
          </w:p>
        </w:tc>
      </w:tr>
      <w:tr>
        <w:trPr>
          <w:trHeight w:val="190"/>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Subsidies to CO2 Technology</w:t>
            </w:r>
          </w:p>
        </w:tc>
        <w:tc>
          <w:tcPr>
            <w:tcW w:w="36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Other</w:t>
            </w:r>
          </w:p>
        </w:tc>
        <w:tc>
          <w:tcPr>
            <w:tcW w:w="3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575</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524</w:t>
            </w:r>
          </w:p>
        </w:tc>
      </w:tr>
      <w:tr>
        <w:trPr>
          <w:trHeight w:val="230"/>
        </w:trPr>
        <w:tc>
          <w:tcPr>
            <w:tcW w:w="20" w:type="dxa"/>
            <w:vAlign w:val="bottom"/>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6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7,321</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48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620" w:type="dxa"/>
            <w:vAlign w:val="bottom"/>
          </w:tcPr>
          <w:p>
            <w:pPr>
              <w:jc w:val="right"/>
              <w:ind w:right="2897"/>
              <w:spacing w:after="0"/>
              <w:rPr>
                <w:sz w:val="20"/>
                <w:szCs w:val="20"/>
                <w:color w:val="auto"/>
              </w:rPr>
            </w:pPr>
            <w:r>
              <w:rPr>
                <w:rFonts w:ascii="Arial" w:cs="Arial" w:eastAsia="Arial" w:hAnsi="Arial"/>
                <w:sz w:val="13"/>
                <w:szCs w:val="13"/>
                <w:color w:val="auto"/>
              </w:rPr>
              <w:t>124</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
        </w:trPr>
        <w:tc>
          <w:tcPr>
            <w:tcW w:w="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09" w:right="31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LONG-TERM INVESTMENTS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400,002 shares of Class A common stock to Ninebell for a purchase price of $1,000 at $2.50 per share. The investment in Ninebell is accounted for under the equity method.</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October 29, 2021, ACM Shanghai and Waferworks (Shanghai) Co., Ltd, or Waferworks, a company based in Shanghai, China, and one of the Company’s customers, entered into an agreement pursuant to which Waferworks issued to ACM Shanghai shares representing 0.25% of Waferworks’ post-closing equity for a purchase price of $1,568. As there is no readily determinable fair value, the Company measures the investment in Waferworks at cost minus impairment, if any.</w:t>
      </w:r>
    </w:p>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August 17, 2022, ACM Singapore and Wooil Flucon Co., Ltd. (“Wooil”), a company based in South Korea and a potential component supplier to the Company, entered into an agreement pursuant to which Wooil, on September 1, 2022, issued to ACM Singapore shares representing 20% of Wooil’s post-closing equity for a purchase price of $1,000. The investment in Wooil is accounted for under the equity method.</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treats each equity investment in the consolidated financial statements under the equity method and they are classified as long-term investments. Under the equity method, an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 The Company concluded that the investments were not impaired and did not record any impairment charges related to the investments for any prior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gridSpan w:val="2"/>
          </w:tcPr>
          <w:p>
            <w:pPr>
              <w:spacing w:after="0"/>
              <w:rPr>
                <w:sz w:val="20"/>
                <w:szCs w:val="20"/>
                <w:color w:val="auto"/>
              </w:rPr>
            </w:pPr>
            <w:r>
              <w:rPr>
                <w:rFonts w:ascii="Arial" w:cs="Arial" w:eastAsia="Arial" w:hAnsi="Arial"/>
                <w:sz w:val="16"/>
                <w:szCs w:val="16"/>
                <w:color w:val="auto"/>
              </w:rPr>
              <w:t>Equity investee:</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Ninebell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5,199</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Wooil</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Shengyi</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Hefei Shixi</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8,645</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7,864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Subtotal</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16,023</w:t>
            </w:r>
          </w:p>
        </w:tc>
        <w:tc>
          <w:tcPr>
            <w:tcW w:w="2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Other investee: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Waferworks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17,459</w:t>
            </w:r>
          </w:p>
        </w:tc>
        <w:tc>
          <w:tcPr>
            <w:tcW w:w="200" w:type="dxa"/>
            <w:vAlign w:val="bottom"/>
          </w:tcPr>
          <w:p>
            <w:pPr>
              <w:spacing w:after="0"/>
              <w:rPr>
                <w:sz w:val="16"/>
                <w:szCs w:val="16"/>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12,694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the years ended December 31, 2022, 2021 and 2020, the Company’s share of equity investees’ net income was $4,666, $4,637 and $655, respectively, which was included in equity income in net income of affiliates in the accompanying consolidated statements of operations and comprehensive income. For the years ended December 31, 2022, 2021 and 2020, dividends received from its equity investee was $0, $0 and $555, respectively, which was offset in part by a reduction in the carrying value of the Company’s share of equity investees’ net income.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FINANCIAL LIABILITY CARRIED AT FAIR VALUE</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December 2016, Shengxin (Shanghai) Management Consulting Limited Partnership (“SMC”) paid 20,123,500 RMB ($2,981 as of the date of funding) (the “SMC Investment”) to ACM Shanghai for investment pursuant to terms to be subsequently negotiated. SMC is a PRC limited partnership partially owned by employees of ACM Shanghai.</w:t>
      </w:r>
    </w:p>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In March 2017, (a) ACM issued to SMC a warrant (the “Warrant”) exercisable to purchase 1,192,506 shares of Class A common stock at a price of $2.50 per share, for a total exercise price of $2,981, and (b) ACM Shanghai agreed to repay the SMC Investment within 60 days after the exercise of the Warrant. In March 2018, SMC exercised the Warrant in full, as a result of which (1) ACM issued 1,192,506 shares of Class A common stock to SMC, (2) SMC borrowed the funds to pay the Warrant exercise price pursuant to a senior secured promissory note (the “SMC Note”) in the principal amount of $2,981 issued to ACM Shanghai, which in turn issued to ACM a promissory note (the “Intercompany Note”) in the principal amount of $2,981 in payment of the Warrant exercise price. Each of the SMC Note and the Intercompany Note bears an interest at a rate of 3.01% per annum and matured on August 17, 2023. The SMC Note is secured by a pledge of the shares issued upon exercise of the Warrant.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connection with its follow-on public offering of Class A common stock in August 2019, ACM agreed to purchase a total of 464,463 of the Warrant shares from SMC at a per share price of $4.40, of which (a) $1,161 was applied to reduce SMC’s obligations to ACM Shanghai under the SMC Note, and which ACM then withheld for its own account and applied to reduce ACM Shanghai’s obligations to ACM under the Intercompany Note, and (b) the remaining $882 was paid to SMC. In a separate transaction, ACM Shanghai repaid $1,161 of the SMC Investment in cash, which reduced the amount of the SMC Investment due to SMC to $1,820.</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 SMC Note and SMC Investment are offsetting items in the Company’s consolidated balance sheet in accordance with ASC 210-20-45-1 up to April 30, 2020.</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 preparation for the STAR IPO, ACM Shanghai was required to terminate its financial relationship with SMC. In order to facilitate such termination, on April 30, 2020, ACM entered into two agreements relating to outstanding obligations among ACM Research, ACM Shanghai and SMC. Pursuant to such agreements: (i) ACM Shanghai assigned to ACM its rights under the SMC Note, including the right to receive payment of the $1,820 payable thereunder; (ii) ACM cancelled the outstanding $1,820 obligation of ACM Shanghai under the Intercompany Note; (iii) SMC surrendered its remaining 728,043 Warrant shares to ACM Research; and (iv) in exchange for such 728,043 Warrant shares, ACM agreed to deliver to SMC certain consideration (“SMC Consideration”) agreed upon by ACM Research and SMC, subject to obtaining certain PRC regulatory approvals. Under the agreements, if the required approvals were not obtained by December 31, 2023, ACM would cancel the SMC Note as consideration for the 728,043 Warrant shares. In a separate transaction in April 2020, ACM Shanghai repaid the remaining $1,820 of the SMC Investment in cash.</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the period beginning April 30, 2020, the SMC Consideration is accounted for as a financial liability, and the Company applies fair value option to measure the SMC Consideration in accordance with ASC 825-10-15-4a. On April 30, 2020, the SMC Consideration was $9,715 which was for cancellation of the Warrant shares and recorded in equity. The financial liability was remeasured to fair value as of the end of each of the reporting periods.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29, 2020, ACM and SMC entered into an amended agreement under which, in settlement of the SMC Consideration, ACM issued to SMC a warrant (the “SMC 2020 Warrant”) to purchase 728,043 shares of Class A common stock at a purchase price of $2.50 per share, and ACM cancelled the SMC Note. The financial liability was remeasured to fair value of $21,679 as of July 29, 2020, and was retired with the issuance of the SMC 2020 Warrant. The Company recognized a change in fair value of financial liability of $11,964 for the year ended December 31, 2020, which was reflected in the consolidated statement of operations. The Company recorded the difference of $19,859 between the SMC 2020 Warrant of $21,679 and the SMC Note of $1,820 into equity.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7" w:name="page128"/>
    <w:bookmarkEnd w:id="127"/>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left="5" w:right="20"/>
        <w:spacing w:after="0" w:line="270" w:lineRule="auto"/>
        <w:rPr>
          <w:sz w:val="20"/>
          <w:szCs w:val="20"/>
          <w:color w:val="auto"/>
        </w:rPr>
      </w:pPr>
      <w:r>
        <w:rPr>
          <w:rFonts w:ascii="Arial" w:cs="Arial" w:eastAsia="Arial" w:hAnsi="Arial"/>
          <w:sz w:val="16"/>
          <w:szCs w:val="16"/>
          <w:color w:val="auto"/>
        </w:rPr>
        <w:t>The SMC 2020 Warrant was initially measured at fair value at the issuance date and classified as equity permanently in accordance with ASC 815. The fair value of the SMC 2020 Warrant amounted to $21,679, based on the grant date using the Black-Scholes valuation model with the following assumptions:</w:t>
      </w:r>
    </w:p>
    <w:p>
      <w:pPr>
        <w:spacing w:after="0" w:line="152"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July 29,</w:t>
            </w:r>
          </w:p>
        </w:tc>
      </w:tr>
      <w:tr>
        <w:trPr>
          <w:trHeight w:val="210"/>
        </w:trPr>
        <w:tc>
          <w:tcPr>
            <w:tcW w:w="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2020 (6)</w:t>
            </w:r>
          </w:p>
        </w:tc>
        <w:tc>
          <w:tcPr>
            <w:tcW w:w="14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 share(1)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9980" w:type="dxa"/>
            <w:vAlign w:val="bottom"/>
          </w:tcPr>
          <w:p>
            <w:pPr>
              <w:spacing w:after="0"/>
              <w:rPr>
                <w:sz w:val="20"/>
                <w:szCs w:val="20"/>
                <w:color w:val="auto"/>
              </w:rPr>
            </w:pPr>
            <w:r>
              <w:rPr>
                <w:rFonts w:ascii="Arial" w:cs="Arial" w:eastAsia="Arial" w:hAnsi="Arial"/>
                <w:sz w:val="16"/>
                <w:szCs w:val="16"/>
                <w:color w:val="auto"/>
              </w:rPr>
              <w:t>Expected term in years(2)</w:t>
            </w: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3.42</w:t>
            </w:r>
          </w:p>
        </w:tc>
      </w:tr>
      <w:tr>
        <w:trPr>
          <w:trHeight w:val="190"/>
        </w:trPr>
        <w:tc>
          <w:tcPr>
            <w:tcW w:w="20" w:type="dxa"/>
            <w:vAlign w:val="bottom"/>
          </w:tcPr>
          <w:p>
            <w:pPr>
              <w:spacing w:after="0"/>
              <w:rPr>
                <w:sz w:val="16"/>
                <w:szCs w:val="16"/>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Volatility(3)</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47.42%</w:t>
            </w:r>
          </w:p>
        </w:tc>
      </w:tr>
      <w:tr>
        <w:trPr>
          <w:trHeight w:val="190"/>
        </w:trPr>
        <w:tc>
          <w:tcPr>
            <w:tcW w:w="20" w:type="dxa"/>
            <w:vAlign w:val="bottom"/>
          </w:tcPr>
          <w:p>
            <w:pPr>
              <w:spacing w:after="0"/>
              <w:rPr>
                <w:sz w:val="16"/>
                <w:szCs w:val="16"/>
                <w:color w:val="auto"/>
              </w:rPr>
            </w:pPr>
          </w:p>
        </w:tc>
        <w:tc>
          <w:tcPr>
            <w:tcW w:w="9980" w:type="dxa"/>
            <w:vAlign w:val="bottom"/>
          </w:tcPr>
          <w:p>
            <w:pPr>
              <w:spacing w:after="0"/>
              <w:rPr>
                <w:sz w:val="20"/>
                <w:szCs w:val="20"/>
                <w:color w:val="auto"/>
              </w:rPr>
            </w:pPr>
            <w:r>
              <w:rPr>
                <w:rFonts w:ascii="Arial" w:cs="Arial" w:eastAsia="Arial" w:hAnsi="Arial"/>
                <w:sz w:val="16"/>
                <w:szCs w:val="16"/>
                <w:color w:val="auto"/>
              </w:rPr>
              <w:t>Risk-free interest rate(4)</w:t>
            </w:r>
          </w:p>
        </w:tc>
        <w:tc>
          <w:tcPr>
            <w:tcW w:w="1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0.15%</w:t>
            </w:r>
          </w:p>
        </w:tc>
      </w:tr>
      <w:tr>
        <w:trPr>
          <w:trHeight w:val="190"/>
        </w:trPr>
        <w:tc>
          <w:tcPr>
            <w:tcW w:w="20" w:type="dxa"/>
            <w:vAlign w:val="bottom"/>
          </w:tcPr>
          <w:p>
            <w:pPr>
              <w:spacing w:after="0"/>
              <w:rPr>
                <w:sz w:val="16"/>
                <w:szCs w:val="16"/>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dividend(5)</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r>
    </w:tbl>
    <w:p>
      <w:pPr>
        <w:spacing w:after="0" w:line="177" w:lineRule="exact"/>
        <w:rPr>
          <w:sz w:val="20"/>
          <w:szCs w:val="20"/>
          <w:color w:val="auto"/>
        </w:rPr>
      </w:pPr>
    </w:p>
    <w:p>
      <w:pPr>
        <w:ind w:left="425" w:hanging="425"/>
        <w:spacing w:after="0"/>
        <w:tabs>
          <w:tab w:leader="none" w:pos="425" w:val="left"/>
        </w:tabs>
        <w:numPr>
          <w:ilvl w:val="0"/>
          <w:numId w:val="85"/>
        </w:numPr>
        <w:rPr>
          <w:rFonts w:ascii="Arial" w:cs="Arial" w:eastAsia="Arial" w:hAnsi="Arial"/>
          <w:sz w:val="16"/>
          <w:szCs w:val="16"/>
          <w:color w:val="auto"/>
        </w:rPr>
      </w:pPr>
      <w:r>
        <w:rPr>
          <w:rFonts w:ascii="Arial" w:cs="Arial" w:eastAsia="Arial" w:hAnsi="Arial"/>
          <w:sz w:val="16"/>
          <w:szCs w:val="16"/>
          <w:color w:val="auto"/>
        </w:rPr>
        <w:t>Fair value of Class A common stock was the closing market price of the Class A common stock on July 29, 2020.</w:t>
      </w:r>
    </w:p>
    <w:p>
      <w:pPr>
        <w:spacing w:after="0" w:line="17" w:lineRule="exact"/>
        <w:rPr>
          <w:rFonts w:ascii="Arial" w:cs="Arial" w:eastAsia="Arial" w:hAnsi="Arial"/>
          <w:sz w:val="16"/>
          <w:szCs w:val="16"/>
          <w:color w:val="auto"/>
        </w:rPr>
      </w:pPr>
    </w:p>
    <w:p>
      <w:pPr>
        <w:ind w:left="425" w:hanging="425"/>
        <w:spacing w:after="0"/>
        <w:tabs>
          <w:tab w:leader="none" w:pos="425" w:val="left"/>
        </w:tabs>
        <w:numPr>
          <w:ilvl w:val="0"/>
          <w:numId w:val="85"/>
        </w:numPr>
        <w:rPr>
          <w:rFonts w:ascii="Arial" w:cs="Arial" w:eastAsia="Arial" w:hAnsi="Arial"/>
          <w:sz w:val="15"/>
          <w:szCs w:val="15"/>
          <w:color w:val="auto"/>
        </w:rPr>
      </w:pPr>
      <w:r>
        <w:rPr>
          <w:rFonts w:ascii="Arial" w:cs="Arial" w:eastAsia="Arial" w:hAnsi="Arial"/>
          <w:sz w:val="15"/>
          <w:szCs w:val="15"/>
          <w:color w:val="auto"/>
        </w:rPr>
        <w:t>Expected term of share options is based on the average of the vesting period and the contractual term for each grant according to Staff Accounting Bulletin 110.</w:t>
      </w:r>
    </w:p>
    <w:p>
      <w:pPr>
        <w:spacing w:after="0" w:line="17" w:lineRule="exact"/>
        <w:rPr>
          <w:rFonts w:ascii="Arial" w:cs="Arial" w:eastAsia="Arial" w:hAnsi="Arial"/>
          <w:sz w:val="15"/>
          <w:szCs w:val="15"/>
          <w:color w:val="auto"/>
        </w:rPr>
      </w:pPr>
    </w:p>
    <w:p>
      <w:pPr>
        <w:ind w:left="425" w:hanging="425"/>
        <w:spacing w:after="0"/>
        <w:tabs>
          <w:tab w:leader="none" w:pos="425" w:val="left"/>
        </w:tabs>
        <w:numPr>
          <w:ilvl w:val="0"/>
          <w:numId w:val="85"/>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17" w:lineRule="exact"/>
        <w:rPr>
          <w:rFonts w:ascii="Arial" w:cs="Arial" w:eastAsia="Arial" w:hAnsi="Arial"/>
          <w:sz w:val="15"/>
          <w:szCs w:val="15"/>
          <w:color w:val="auto"/>
        </w:rPr>
      </w:pPr>
    </w:p>
    <w:p>
      <w:pPr>
        <w:ind w:left="425" w:hanging="425"/>
        <w:spacing w:after="0"/>
        <w:tabs>
          <w:tab w:leader="none" w:pos="425" w:val="left"/>
        </w:tabs>
        <w:numPr>
          <w:ilvl w:val="0"/>
          <w:numId w:val="85"/>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29" w:lineRule="exact"/>
        <w:rPr>
          <w:rFonts w:ascii="Arial" w:cs="Arial" w:eastAsia="Arial" w:hAnsi="Arial"/>
          <w:sz w:val="14"/>
          <w:szCs w:val="14"/>
          <w:color w:val="auto"/>
        </w:rPr>
      </w:pPr>
    </w:p>
    <w:p>
      <w:pPr>
        <w:ind w:left="425" w:hanging="425"/>
        <w:spacing w:after="0"/>
        <w:tabs>
          <w:tab w:leader="none" w:pos="425" w:val="left"/>
        </w:tabs>
        <w:numPr>
          <w:ilvl w:val="0"/>
          <w:numId w:val="85"/>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6" w:lineRule="exact"/>
        <w:rPr>
          <w:rFonts w:ascii="Arial" w:cs="Arial" w:eastAsia="Arial" w:hAnsi="Arial"/>
          <w:sz w:val="16"/>
          <w:szCs w:val="16"/>
          <w:color w:val="auto"/>
        </w:rPr>
      </w:pPr>
    </w:p>
    <w:p>
      <w:pPr>
        <w:ind w:left="425" w:hanging="425"/>
        <w:spacing w:after="0"/>
        <w:tabs>
          <w:tab w:leader="none" w:pos="425"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Prior period results have been adjusted to reflect the Stock Split effected in March 2022. See Note 2 for details.</w:t>
      </w:r>
    </w:p>
    <w:p>
      <w:pPr>
        <w:spacing w:after="0" w:line="185"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On June 9, 2021, subsequent to its obtaining the necessary PRC approvals, SMC exercised the 2020 Warrant by paying the $1,820 exercise price to ACM and surrendering the 2020 Warrant to ACM. In return, ACM delivered 728,043 shares of ACM Class A common stock to SMC.</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16 – TRADING SECURITIES</w:t>
      </w:r>
    </w:p>
    <w:p>
      <w:pPr>
        <w:spacing w:after="0" w:line="200"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China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(“SMIC”) to be listed on the STAR Market. SMIC is a Shanghai-based foundry that has been a customer of the Company’s single-wafer wet-cleaning tools. The limited partners of the Partnership contributed to the fund a total of RMB 2.224 billion ($315.0 million), of which ACM Shanghai contributed RMB 100 million ($14.2 million), or 4.3% of the total contribution, on June 18, 2020.</w:t>
      </w:r>
    </w:p>
    <w:p>
      <w:pPr>
        <w:spacing w:after="0" w:line="173" w:lineRule="exact"/>
        <w:rPr>
          <w:sz w:val="20"/>
          <w:szCs w:val="20"/>
          <w:color w:val="auto"/>
        </w:rPr>
      </w:pPr>
    </w:p>
    <w:p>
      <w:pPr>
        <w:jc w:val="both"/>
        <w:ind w:left="5"/>
        <w:spacing w:after="0" w:line="271" w:lineRule="auto"/>
        <w:rPr>
          <w:sz w:val="20"/>
          <w:szCs w:val="20"/>
          <w:color w:val="auto"/>
        </w:rPr>
      </w:pPr>
      <w:r>
        <w:rPr>
          <w:rFonts w:ascii="Arial" w:cs="Arial" w:eastAsia="Arial" w:hAnsi="Arial"/>
          <w:sz w:val="15"/>
          <w:szCs w:val="15"/>
          <w:color w:val="auto"/>
        </w:rPr>
        <w:t>Upon the closing of the SMIC offering in July 2020, the initial number of SMIC shares owned by the Partnership was apportioned to all of the limited partners in proportion to their respective capital contributions (4.3% in the case of ACM Shanghai). All of the SMIC shares acquired by the Partnership are subject, under applicable Chinese laws, to lock-up restrictions that prevent sales of the shares for one year after the shares were acquired. Thereafter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57" w:lineRule="exact"/>
        <w:rPr>
          <w:sz w:val="20"/>
          <w:szCs w:val="20"/>
          <w:color w:val="auto"/>
        </w:rPr>
      </w:pPr>
    </w:p>
    <w:p>
      <w:pPr>
        <w:jc w:val="both"/>
        <w:ind w:left="5" w:right="20"/>
        <w:spacing w:after="0" w:line="253" w:lineRule="auto"/>
        <w:rPr>
          <w:sz w:val="20"/>
          <w:szCs w:val="20"/>
          <w:color w:val="auto"/>
        </w:rPr>
      </w:pPr>
      <w:r>
        <w:rPr>
          <w:rFonts w:ascii="Arial" w:cs="Arial" w:eastAsia="Arial" w:hAnsi="Arial"/>
          <w:sz w:val="16"/>
          <w:szCs w:val="16"/>
          <w:color w:val="auto"/>
        </w:rPr>
        <w:t>As SMIC was listed on the STAR Market in July 2020, ACM Shanghai’s investment is accounted for as trading securities and is stated at fair market value. At December 31, 2020, the fair market value is classified as Level 2 of the hierarchy established under ASC 820 with valuations based on quoted prices for identical securities in active markets, less a discount applied to reflect the remaining lock-up period. Following the expiration of the lock-up period in July 2021, the trading securities are stated at fair market value, which is classified as Level 1 of the hierarchy established under ASC 820 with valuations based on quoted prices for identical securities in active markets at December 31, 2022 and 2021.</w:t>
      </w:r>
    </w:p>
    <w:p>
      <w:pPr>
        <w:spacing w:after="0" w:line="33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China. Subsequent to the future purchase, any investment will be held by Nuode Asset Fund and restricted for a minimum period of six months. The limited partners of the Nuode Asset Fund contributed a total of RMB 160 million ($22,160) to the fund, of which ACM Shanghai contributed RMB 30 million ($4,196), or 18.75% of the total contribution, on September 27, 2022.</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December 2022, the Nuode Asset Fund purchased shares in the secondary stock offering of a publicly traded PRC-stock listing. The number of shares owned by Nuode Asset Fund was apportioned to all of the limited partners in proportion to their respective capital contributions (18.75% in the case of ACM Shanghai). All of the shares acquired by Nuode Asset fund are subject, under applicable Chinese laws, to lock-up restrictions that prevent sales of the shares for six months after the shares were acquired. ACM Shanghai’s investment is accounted for as trading securities and is stated at fair market value. At December 31, 2022, the fair market value is classified as Level 2 of the hierarchy established under ASC 820 with valuations based on quoted prices for identical securities in active markets, less a discount applied to reflect the remaining lock-up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40" w:type="dxa"/>
            <w:vAlign w:val="bottom"/>
          </w:tcPr>
          <w:p>
            <w:pPr>
              <w:spacing w:after="0"/>
              <w:rPr>
                <w:sz w:val="20"/>
                <w:szCs w:val="20"/>
                <w:color w:val="auto"/>
              </w:rPr>
            </w:pPr>
            <w:r>
              <w:rPr>
                <w:rFonts w:ascii="Arial" w:cs="Arial" w:eastAsia="Arial" w:hAnsi="Arial"/>
                <w:sz w:val="16"/>
                <w:szCs w:val="16"/>
                <w:color w:val="auto"/>
              </w:rPr>
              <w:t>The components of trading securities were as follows:</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5"/>
        </w:trPr>
        <w:tc>
          <w:tcPr>
            <w:tcW w:w="60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60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Trading securities listed in Shanghai Stock Exchange</w:t>
            </w: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Cost</w:t>
            </w:r>
          </w:p>
        </w:tc>
        <w:tc>
          <w:tcPr>
            <w:tcW w:w="2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14,779</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15,363</w:t>
            </w:r>
          </w:p>
        </w:tc>
      </w:tr>
      <w:tr>
        <w:trPr>
          <w:trHeight w:val="201"/>
        </w:trPr>
        <w:tc>
          <w:tcPr>
            <w:tcW w:w="6040" w:type="dxa"/>
            <w:vAlign w:val="bottom"/>
          </w:tcPr>
          <w:p>
            <w:pPr>
              <w:spacing w:after="0"/>
              <w:rPr>
                <w:sz w:val="20"/>
                <w:szCs w:val="20"/>
                <w:color w:val="auto"/>
              </w:rPr>
            </w:pPr>
            <w:r>
              <w:rPr>
                <w:rFonts w:ascii="Arial" w:cs="Arial" w:eastAsia="Arial" w:hAnsi="Arial"/>
                <w:sz w:val="16"/>
                <w:szCs w:val="16"/>
                <w:color w:val="auto"/>
              </w:rPr>
              <w:t>Market value</w:t>
            </w:r>
          </w:p>
        </w:tc>
        <w:tc>
          <w:tcPr>
            <w:tcW w:w="2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20,209</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29,498</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2022 and 2021, unrealized gain on trading securities, net of exchange difference amounted to $(7,855) and $607,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2022, the Company received $4,577 in proceeds from the sale of trading securities, including a realized gain of $1,116.</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 RELATED PARTY BALANCES AND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Ninebell</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Ninebell is an equity investee of ACM (Note 14) and is the Company’s principal supplier of robotic delivery system subassemblies used in our single-wafer cleaning equipment. The Company purchases equipment through arms-length transactions from Ninebell for production in the ordinary course of business. The Company pays for a portion of the equipment in advance and is obligated for the remaining amounts upon receipt of the product. All related party outstanding balances are short-term in nature and are expected to be settled in cash.</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Shengyi</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Shengyi is an equity investee of ACM Shanghai (Note 14) and is one of the Company’s component suppliers in China. The Company purchases components from Shengyi for production in the ordinary course of business. The Company pays for a portion of the raw materials in advance and is obligated for the remaining amounts upon receipt of the product.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49"/>
        </w:trPr>
        <w:tc>
          <w:tcPr>
            <w:tcW w:w="732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5"/>
        </w:trPr>
        <w:tc>
          <w:tcPr>
            <w:tcW w:w="7620" w:type="dxa"/>
            <w:vAlign w:val="bottom"/>
            <w:gridSpan w:val="4"/>
          </w:tcPr>
          <w:p>
            <w:pPr>
              <w:spacing w:after="0"/>
              <w:rPr>
                <w:sz w:val="20"/>
                <w:szCs w:val="20"/>
                <w:color w:val="auto"/>
              </w:rPr>
            </w:pPr>
            <w:r>
              <w:rPr>
                <w:rFonts w:ascii="Arial" w:cs="Arial" w:eastAsia="Arial" w:hAnsi="Arial"/>
                <w:sz w:val="16"/>
                <w:szCs w:val="16"/>
                <w:color w:val="auto"/>
                <w:w w:val="90"/>
              </w:rPr>
              <w:t>The following tables represents related party transactions with the equity investees as of December 31, 2022 and 2021: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Advances to related party</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Ninebell</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Accounts payable</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Ninebell</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Shengyi</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3,942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2,196</w:t>
            </w: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14,468</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227"/>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Purchase of materials</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Ninebell</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40,985</w:t>
            </w:r>
          </w:p>
        </w:tc>
        <w:tc>
          <w:tcPr>
            <w:tcW w:w="24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33,659</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15,251</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Shengyi</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5,350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2,434</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2,300</w:t>
            </w: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46,335</w:t>
            </w:r>
          </w:p>
        </w:tc>
        <w:tc>
          <w:tcPr>
            <w:tcW w:w="24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36,093</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227"/>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Service fee charged by</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Shengyi</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24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Ninebell</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24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COMMON STOCK</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December 31, 2021 and 2022, ACM was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170"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In March 2022, ACM effectuated the Stock Split, which was a 3-for-1 stock split of Class A and Class B common stock in the form of a stock dividend.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the year ended December 31, 2022, ACM issued 980,354 shares of Class A common stock upon option exercises by employees and non-employees and an additional 66,003 shares of Class A common stock upon conversion of an equal number of shares of Class B common stock. During the year ended December 31, 2021, the Company issued 1,870,803 shares of Class A common stock upon options exercises by certain employees and non-employees and an additional 320,004 shares of Class A common stock upon conversion of an equal number of shares of Class B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ACM issued 728,043 shares of Class A common stock upon the warrant exercise SMC (Note 15).</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At December 31, 2022 and 2021, the number of shares of Class A common stock issued and outstanding was 54,655,286 and 53,608,929, respectively. At December 31, 2022 and 2021, the number of shares of Class B common stock issued and outstanding was 5,021,811 and 5,087,814,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STOCK-BASED COMPENSATION</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January 2020 ACM Shanghai adopted a 2019 Stock Option Incentive Plan (the “Subsidiary Stock Option Plan”) that provides for, among other incentives, the granting to officers, directors, and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did not begin trading until November 2021, the expected volatility is estimated with reference to the average historical volatility of a group of publicly traded companies that are believed to have similar characteristics to ACM Shanghai.</w:t>
      </w:r>
    </w:p>
    <w:p>
      <w:pPr>
        <w:spacing w:after="0" w:line="170"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ACM’s stock-based compensation consists of employee and non-employee awards issued under the 1998 Stock Option Plan and the 2016 Omnibus Incentive Plan and as standalone options. ACM granted stock options to employees under the 2016 Omnibus Incentive Plan during the years ended December 31, 2022, 2021, and 2020. The vesting condition may consist of a service period determined by the Board of Directors for a grant, or certain performance conditions determined by the Board of Directors for a grant. The fair value of the stock options granted with a service period-based condition is estimated at the date of grant using the Black-Scholes option pricing model. The fair value of the stock options granted with a market-based condition is estimated at the date of grant using the Monte Carlo simulation model.</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stock-based compensation expense included in the consolidated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73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20"/>
                <w:szCs w:val="20"/>
                <w:color w:val="auto"/>
              </w:rPr>
            </w:pPr>
            <w:r>
              <w:rPr>
                <w:rFonts w:ascii="Arial" w:cs="Arial" w:eastAsia="Arial" w:hAnsi="Arial"/>
                <w:sz w:val="16"/>
                <w:szCs w:val="16"/>
                <w:b w:val="1"/>
                <w:bCs w:val="1"/>
                <w:color w:val="auto"/>
              </w:rPr>
              <w:t>Stock-Based Compensation Expense:</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w:t>
            </w:r>
          </w:p>
        </w:tc>
      </w:tr>
      <w:tr>
        <w:trPr>
          <w:trHeight w:val="190"/>
        </w:trPr>
        <w:tc>
          <w:tcPr>
            <w:tcW w:w="7320" w:type="dxa"/>
            <w:vAlign w:val="bottom"/>
          </w:tcPr>
          <w:p>
            <w:pPr>
              <w:spacing w:after="0"/>
              <w:rPr>
                <w:sz w:val="20"/>
                <w:szCs w:val="20"/>
                <w:color w:val="auto"/>
              </w:rPr>
            </w:pPr>
            <w:r>
              <w:rPr>
                <w:rFonts w:ascii="Arial" w:cs="Arial" w:eastAsia="Arial" w:hAnsi="Arial"/>
                <w:sz w:val="16"/>
                <w:szCs w:val="16"/>
                <w:color w:val="auto"/>
              </w:rPr>
              <w:t>Sales and marketing expense</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1,877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1,199</w:t>
            </w: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2,565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763</w:t>
            </w:r>
          </w:p>
        </w:tc>
      </w:tr>
      <w:tr>
        <w:trPr>
          <w:trHeight w:val="194"/>
        </w:trPr>
        <w:tc>
          <w:tcPr>
            <w:tcW w:w="732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2,768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3,491</w:t>
            </w:r>
          </w:p>
        </w:tc>
      </w:tr>
      <w:tr>
        <w:trPr>
          <w:trHeight w:val="230"/>
        </w:trPr>
        <w:tc>
          <w:tcPr>
            <w:tcW w:w="7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7,730</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73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20"/>
                <w:szCs w:val="20"/>
                <w:color w:val="auto"/>
              </w:rPr>
            </w:pPr>
            <w:r>
              <w:rPr>
                <w:rFonts w:ascii="Arial" w:cs="Arial" w:eastAsia="Arial" w:hAnsi="Arial"/>
                <w:sz w:val="16"/>
                <w:szCs w:val="16"/>
                <w:b w:val="1"/>
                <w:bCs w:val="1"/>
                <w:color w:val="auto"/>
              </w:rPr>
              <w:t>Stock-based compensation expense by type:</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Employee stock option plan</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7,346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4,674</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4,900</w:t>
            </w:r>
          </w:p>
        </w:tc>
      </w:tr>
      <w:tr>
        <w:trPr>
          <w:trHeight w:val="190"/>
        </w:trPr>
        <w:tc>
          <w:tcPr>
            <w:tcW w:w="7320" w:type="dxa"/>
            <w:vAlign w:val="bottom"/>
          </w:tcPr>
          <w:p>
            <w:pPr>
              <w:spacing w:after="0"/>
              <w:rPr>
                <w:sz w:val="20"/>
                <w:szCs w:val="20"/>
                <w:color w:val="auto"/>
              </w:rPr>
            </w:pPr>
            <w:r>
              <w:rPr>
                <w:rFonts w:ascii="Arial" w:cs="Arial" w:eastAsia="Arial" w:hAnsi="Arial"/>
                <w:sz w:val="16"/>
                <w:szCs w:val="16"/>
                <w:color w:val="auto"/>
              </w:rPr>
              <w:t>Non-employee stock option plan</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396</w:t>
            </w: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Subsidiary stock option plan</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w:t>
            </w:r>
          </w:p>
        </w:tc>
      </w:tr>
      <w:tr>
        <w:trPr>
          <w:trHeight w:val="24"/>
        </w:trPr>
        <w:tc>
          <w:tcPr>
            <w:tcW w:w="7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0"/>
        </w:trPr>
        <w:tc>
          <w:tcPr>
            <w:tcW w:w="7320" w:type="dxa"/>
            <w:vAlign w:val="bottom"/>
          </w:tcPr>
          <w:p>
            <w:pPr>
              <w:spacing w:after="0"/>
              <w:rPr>
                <w:sz w:val="16"/>
                <w:szCs w:val="16"/>
                <w:color w:val="auto"/>
              </w:rPr>
            </w:pP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7,730</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3,572</w:t>
            </w:r>
          </w:p>
        </w:tc>
      </w:tr>
      <w:tr>
        <w:trPr>
          <w:trHeight w:val="20"/>
        </w:trPr>
        <w:tc>
          <w:tcPr>
            <w:tcW w:w="7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fair value of options granted to employees with a service period-based condition is estimated on the grant date using the Black-Scholes valuation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2022 (6)</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2021 (6)</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2020 (6)</w:t>
            </w:r>
          </w:p>
        </w:tc>
        <w:tc>
          <w:tcPr>
            <w:tcW w:w="14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 share(1)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16.83-25.45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12.79-17.02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7.36-28.42</w:t>
            </w:r>
          </w:p>
        </w:tc>
        <w:tc>
          <w:tcPr>
            <w:tcW w:w="1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Expected term in years(2)</w:t>
            </w:r>
          </w:p>
        </w:tc>
        <w:tc>
          <w:tcPr>
            <w:tcW w:w="1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5.50-6.25</w:t>
            </w:r>
          </w:p>
        </w:tc>
        <w:tc>
          <w:tcPr>
            <w:tcW w:w="20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6.25</w:t>
            </w: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5.50-6.25</w:t>
            </w:r>
          </w:p>
        </w:tc>
      </w:tr>
      <w:tr>
        <w:trPr>
          <w:trHeight w:val="190"/>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Volatility(3)</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49.43-50.87%</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48.53-49.47%</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4"/>
              </w:rPr>
              <w:t>42.17%-48.15%</w:t>
            </w:r>
          </w:p>
        </w:tc>
      </w:tr>
      <w:tr>
        <w:trPr>
          <w:trHeight w:val="190"/>
        </w:trPr>
        <w:tc>
          <w:tcPr>
            <w:tcW w:w="2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Risk-free interest rate(4)</w:t>
            </w:r>
          </w:p>
        </w:tc>
        <w:tc>
          <w:tcPr>
            <w:tcW w:w="18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1.7%-3.04%</w:t>
            </w: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1.00%-1.44%</w:t>
            </w:r>
          </w:p>
        </w:tc>
        <w:tc>
          <w:tcPr>
            <w:tcW w:w="14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0.44%-0.82%</w:t>
            </w:r>
          </w:p>
        </w:tc>
      </w:tr>
      <w:tr>
        <w:trPr>
          <w:trHeight w:val="190"/>
        </w:trPr>
        <w:tc>
          <w:tcPr>
            <w:tcW w:w="20" w:type="dxa"/>
            <w:vAlign w:val="bottom"/>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dividend(5)</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r>
    </w:tbl>
    <w:p>
      <w:pPr>
        <w:spacing w:after="0" w:line="177" w:lineRule="exact"/>
        <w:rPr>
          <w:sz w:val="20"/>
          <w:szCs w:val="20"/>
          <w:color w:val="auto"/>
        </w:rPr>
      </w:pPr>
    </w:p>
    <w:p>
      <w:pPr>
        <w:ind w:left="740" w:hanging="424"/>
        <w:spacing w:after="0"/>
        <w:tabs>
          <w:tab w:leader="none" w:pos="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Fair value of Class A common stock value was the closing market price of the Class A common stock on the grant date.</w:t>
      </w:r>
    </w:p>
    <w:p>
      <w:pPr>
        <w:spacing w:after="0" w:line="17" w:lineRule="exact"/>
        <w:rPr>
          <w:rFonts w:ascii="Arial" w:cs="Arial" w:eastAsia="Arial" w:hAnsi="Arial"/>
          <w:sz w:val="16"/>
          <w:szCs w:val="16"/>
          <w:color w:val="auto"/>
        </w:rPr>
      </w:pPr>
    </w:p>
    <w:p>
      <w:pPr>
        <w:ind w:left="740" w:hanging="424"/>
        <w:spacing w:after="0"/>
        <w:tabs>
          <w:tab w:leader="none" w:pos="7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Expected term of share options is based on the average of the vesting period and the contractual term for each grant according to Staff Accounting Bulletin 110.</w:t>
      </w:r>
    </w:p>
    <w:p>
      <w:pPr>
        <w:spacing w:after="0" w:line="29" w:lineRule="exact"/>
        <w:rPr>
          <w:rFonts w:ascii="Arial" w:cs="Arial" w:eastAsia="Arial" w:hAnsi="Arial"/>
          <w:sz w:val="14"/>
          <w:szCs w:val="14"/>
          <w:color w:val="auto"/>
        </w:rPr>
      </w:pPr>
    </w:p>
    <w:p>
      <w:pPr>
        <w:ind w:left="740" w:hanging="424"/>
        <w:spacing w:after="0"/>
        <w:tabs>
          <w:tab w:leader="none" w:pos="7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17" w:lineRule="exact"/>
        <w:rPr>
          <w:rFonts w:ascii="Arial" w:cs="Arial" w:eastAsia="Arial" w:hAnsi="Arial"/>
          <w:sz w:val="15"/>
          <w:szCs w:val="15"/>
          <w:color w:val="auto"/>
        </w:rPr>
      </w:pPr>
    </w:p>
    <w:p>
      <w:pPr>
        <w:ind w:left="740" w:hanging="424"/>
        <w:spacing w:after="0"/>
        <w:tabs>
          <w:tab w:leader="none" w:pos="7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29" w:lineRule="exact"/>
        <w:rPr>
          <w:rFonts w:ascii="Arial" w:cs="Arial" w:eastAsia="Arial" w:hAnsi="Arial"/>
          <w:sz w:val="14"/>
          <w:szCs w:val="14"/>
          <w:color w:val="auto"/>
        </w:rPr>
      </w:pPr>
    </w:p>
    <w:p>
      <w:pPr>
        <w:ind w:left="740" w:hanging="424"/>
        <w:spacing w:after="0"/>
        <w:tabs>
          <w:tab w:leader="none" w:pos="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6" w:lineRule="exact"/>
        <w:rPr>
          <w:rFonts w:ascii="Arial" w:cs="Arial" w:eastAsia="Arial" w:hAnsi="Arial"/>
          <w:sz w:val="16"/>
          <w:szCs w:val="16"/>
          <w:color w:val="auto"/>
        </w:rPr>
      </w:pPr>
    </w:p>
    <w:p>
      <w:pPr>
        <w:ind w:left="740" w:hanging="424"/>
        <w:spacing w:after="0"/>
        <w:tabs>
          <w:tab w:leader="none" w:pos="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Prior period results have been adjusted to reflect the Stock Split effected in March 2022. See Note 2 for details.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During the years ended December 31, 2022 and 2021, no options were granted to employees with a market-based condition. During the year ended December 31, 2020, the fair values of option granted to employees with a market-based condition was estimated on the grant date using the Monte Carlo simulation model with the following assumptions: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r>
      <w:tr>
        <w:trPr>
          <w:trHeight w:val="190"/>
        </w:trPr>
        <w:tc>
          <w:tcPr>
            <w:tcW w:w="20" w:type="dxa"/>
            <w:vAlign w:val="bottom"/>
          </w:tcPr>
          <w:p>
            <w:pPr>
              <w:spacing w:after="0"/>
              <w:rPr>
                <w:sz w:val="16"/>
                <w:szCs w:val="16"/>
                <w:color w:val="auto"/>
              </w:rPr>
            </w:pPr>
          </w:p>
        </w:tc>
        <w:tc>
          <w:tcPr>
            <w:tcW w:w="9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0"/>
        </w:trPr>
        <w:tc>
          <w:tcPr>
            <w:tcW w:w="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0"/>
              </w:rPr>
              <w:t>2020 (6)</w:t>
            </w:r>
          </w:p>
        </w:tc>
        <w:tc>
          <w:tcPr>
            <w:tcW w:w="14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 share(1)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9980" w:type="dxa"/>
            <w:vAlign w:val="bottom"/>
          </w:tcPr>
          <w:p>
            <w:pPr>
              <w:spacing w:after="0"/>
              <w:rPr>
                <w:sz w:val="20"/>
                <w:szCs w:val="20"/>
                <w:color w:val="auto"/>
              </w:rPr>
            </w:pPr>
            <w:r>
              <w:rPr>
                <w:rFonts w:ascii="Arial" w:cs="Arial" w:eastAsia="Arial" w:hAnsi="Arial"/>
                <w:sz w:val="16"/>
                <w:szCs w:val="16"/>
                <w:color w:val="auto"/>
              </w:rPr>
              <w:t>Expected term in years(2)</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9.20 - 9.80</w:t>
            </w:r>
          </w:p>
        </w:tc>
      </w:tr>
      <w:tr>
        <w:trPr>
          <w:trHeight w:val="190"/>
        </w:trPr>
        <w:tc>
          <w:tcPr>
            <w:tcW w:w="20" w:type="dxa"/>
            <w:vAlign w:val="bottom"/>
          </w:tcPr>
          <w:p>
            <w:pPr>
              <w:spacing w:after="0"/>
              <w:rPr>
                <w:sz w:val="16"/>
                <w:szCs w:val="16"/>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Volatility(3)</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45.10%</w:t>
            </w:r>
          </w:p>
        </w:tc>
      </w:tr>
      <w:tr>
        <w:trPr>
          <w:trHeight w:val="190"/>
        </w:trPr>
        <w:tc>
          <w:tcPr>
            <w:tcW w:w="20" w:type="dxa"/>
            <w:vAlign w:val="bottom"/>
          </w:tcPr>
          <w:p>
            <w:pPr>
              <w:spacing w:after="0"/>
              <w:rPr>
                <w:sz w:val="16"/>
                <w:szCs w:val="16"/>
                <w:color w:val="auto"/>
              </w:rPr>
            </w:pPr>
          </w:p>
        </w:tc>
        <w:tc>
          <w:tcPr>
            <w:tcW w:w="9980" w:type="dxa"/>
            <w:vAlign w:val="bottom"/>
          </w:tcPr>
          <w:p>
            <w:pPr>
              <w:spacing w:after="0"/>
              <w:rPr>
                <w:sz w:val="20"/>
                <w:szCs w:val="20"/>
                <w:color w:val="auto"/>
              </w:rPr>
            </w:pPr>
            <w:r>
              <w:rPr>
                <w:rFonts w:ascii="Arial" w:cs="Arial" w:eastAsia="Arial" w:hAnsi="Arial"/>
                <w:sz w:val="16"/>
                <w:szCs w:val="16"/>
                <w:color w:val="auto"/>
              </w:rPr>
              <w:t>Risk-free interest rate(4)</w:t>
            </w:r>
          </w:p>
        </w:tc>
        <w:tc>
          <w:tcPr>
            <w:tcW w:w="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2.68%</w:t>
            </w:r>
          </w:p>
        </w:tc>
      </w:tr>
      <w:tr>
        <w:trPr>
          <w:trHeight w:val="190"/>
        </w:trPr>
        <w:tc>
          <w:tcPr>
            <w:tcW w:w="20" w:type="dxa"/>
            <w:vAlign w:val="bottom"/>
          </w:tcPr>
          <w:p>
            <w:pPr>
              <w:spacing w:after="0"/>
              <w:rPr>
                <w:sz w:val="16"/>
                <w:szCs w:val="16"/>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dividend(5)</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r>
    </w:tbl>
    <w:p>
      <w:pPr>
        <w:spacing w:after="0" w:line="177" w:lineRule="exact"/>
        <w:rPr>
          <w:sz w:val="20"/>
          <w:szCs w:val="20"/>
          <w:color w:val="auto"/>
        </w:rPr>
      </w:pPr>
    </w:p>
    <w:p>
      <w:pPr>
        <w:ind w:left="740" w:hanging="424"/>
        <w:spacing w:after="0"/>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Fair value of Class A common stock value was the closing market price of the Class A common stock on the grant date.</w:t>
      </w:r>
    </w:p>
    <w:p>
      <w:pPr>
        <w:spacing w:after="0" w:line="17" w:lineRule="exact"/>
        <w:rPr>
          <w:rFonts w:ascii="Arial" w:cs="Arial" w:eastAsia="Arial" w:hAnsi="Arial"/>
          <w:sz w:val="16"/>
          <w:szCs w:val="16"/>
          <w:color w:val="auto"/>
        </w:rPr>
      </w:pPr>
    </w:p>
    <w:p>
      <w:pPr>
        <w:ind w:left="740" w:hanging="424"/>
        <w:spacing w:after="0"/>
        <w:tabs>
          <w:tab w:leader="none" w:pos="7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Expected term of share options is based on the average of the vesting period and the contractual term for each grant according to Staff Accounting Bulletin 110.</w:t>
      </w:r>
    </w:p>
    <w:p>
      <w:pPr>
        <w:spacing w:after="0" w:line="29" w:lineRule="exact"/>
        <w:rPr>
          <w:rFonts w:ascii="Arial" w:cs="Arial" w:eastAsia="Arial" w:hAnsi="Arial"/>
          <w:sz w:val="14"/>
          <w:szCs w:val="14"/>
          <w:color w:val="auto"/>
        </w:rPr>
      </w:pPr>
    </w:p>
    <w:p>
      <w:pPr>
        <w:ind w:left="740" w:hanging="424"/>
        <w:spacing w:after="0"/>
        <w:tabs>
          <w:tab w:leader="none" w:pos="7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17" w:lineRule="exact"/>
        <w:rPr>
          <w:rFonts w:ascii="Arial" w:cs="Arial" w:eastAsia="Arial" w:hAnsi="Arial"/>
          <w:sz w:val="15"/>
          <w:szCs w:val="15"/>
          <w:color w:val="auto"/>
        </w:rPr>
      </w:pPr>
    </w:p>
    <w:p>
      <w:pPr>
        <w:ind w:left="740" w:hanging="424"/>
        <w:spacing w:after="0"/>
        <w:tabs>
          <w:tab w:leader="none" w:pos="7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29" w:lineRule="exact"/>
        <w:rPr>
          <w:rFonts w:ascii="Arial" w:cs="Arial" w:eastAsia="Arial" w:hAnsi="Arial"/>
          <w:sz w:val="14"/>
          <w:szCs w:val="14"/>
          <w:color w:val="auto"/>
        </w:rPr>
      </w:pPr>
    </w:p>
    <w:p>
      <w:pPr>
        <w:ind w:left="740" w:hanging="424"/>
        <w:spacing w:after="0"/>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6" w:lineRule="exact"/>
        <w:rPr>
          <w:rFonts w:ascii="Arial" w:cs="Arial" w:eastAsia="Arial" w:hAnsi="Arial"/>
          <w:sz w:val="16"/>
          <w:szCs w:val="16"/>
          <w:color w:val="auto"/>
        </w:rPr>
      </w:pPr>
    </w:p>
    <w:p>
      <w:pPr>
        <w:ind w:left="740" w:hanging="424"/>
        <w:spacing w:after="0"/>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Prior period results have been adjusted to reflect the Stock Split effected in March 2022. See Note 2 for details.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Awards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employee share option activities during the years ended December 31, 2020, 2021 and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9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Weighted Average</w:t>
            </w:r>
          </w:p>
        </w:tc>
      </w:tr>
      <w:tr>
        <w:trPr>
          <w:trHeight w:val="190"/>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Average Grant</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Remaining</w:t>
            </w: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Option Shares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Date Fair Value (1)</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 Price (1)</w:t>
            </w:r>
          </w:p>
        </w:tc>
        <w:tc>
          <w:tcPr>
            <w:tcW w:w="1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Contractual Term</w:t>
            </w: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2019</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8,982,189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0.86</w:t>
            </w: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00" w:type="dxa"/>
            <w:vAlign w:val="bottom"/>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6"/>
                <w:szCs w:val="16"/>
                <w:b w:val="1"/>
                <w:bCs w:val="1"/>
                <w:color w:val="auto"/>
                <w:w w:val="85"/>
              </w:rPr>
              <w:t>7.05 years</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2,359,197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4.06</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9.72</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(1,641,567)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0.45</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w:t>
            </w: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Forfeited/cancelled</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(125,586)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1.60</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4.22</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2020</w:t>
            </w:r>
          </w:p>
        </w:tc>
        <w:tc>
          <w:tcPr>
            <w:tcW w:w="120" w:type="dxa"/>
            <w:vAlign w:val="bottom"/>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9,574,233</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4.24</w:t>
            </w:r>
          </w:p>
        </w:tc>
        <w:tc>
          <w:tcPr>
            <w:tcW w:w="192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w w:val="85"/>
              </w:rPr>
              <w:t>7.13 years</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421,200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16.05</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35.38</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(1,431,174)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0.82</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w:t>
            </w: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Forfeited/cancelled</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(162,012)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8.32</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19.03</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2021</w:t>
            </w:r>
          </w:p>
        </w:tc>
        <w:tc>
          <w:tcPr>
            <w:tcW w:w="120" w:type="dxa"/>
            <w:vAlign w:val="bottom"/>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8,402,247</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5.88</w:t>
            </w:r>
          </w:p>
        </w:tc>
        <w:tc>
          <w:tcPr>
            <w:tcW w:w="192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w w:val="85"/>
              </w:rPr>
              <w:t>6.53 years</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1,653,300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10.31</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22.41</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(416,546)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2.97</w:t>
            </w: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Forfeited/cancelled</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(427,360)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11.41</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25.24</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2022</w:t>
            </w:r>
          </w:p>
        </w:tc>
        <w:tc>
          <w:tcPr>
            <w:tcW w:w="120" w:type="dxa"/>
            <w:vAlign w:val="bottom"/>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9,211,641</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3.58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8.24</w:t>
            </w:r>
          </w:p>
        </w:tc>
        <w:tc>
          <w:tcPr>
            <w:tcW w:w="192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w w:val="85"/>
              </w:rPr>
              <w:t>6.36 years</w:t>
            </w:r>
          </w:p>
        </w:tc>
        <w:tc>
          <w:tcPr>
            <w:tcW w:w="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Vested and exercisable at December 31, 2022</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6,346,725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 Prior period results have been adjusted to reflect the Stock Split effected in March 2022. See Note 2 for details.</w:t>
      </w:r>
    </w:p>
    <w:p>
      <w:pPr>
        <w:spacing w:after="0" w:line="196"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color w:val="auto"/>
        </w:rPr>
        <w:t>As of December 31, 2022, $16,009 of total unrecognized employee stock-based compensation expense, net of estimated forfeitures, related to stock-based awards for ACM was expected to be recognized over a weighted-average period of 1.53 years. Total recognized compensation cost may be adjusted for future changes in estimated forfeitures.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Non-employee Awards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non-employee share option activities during the years ended December 31, 2020, 2021 and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9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Weighted Average</w:t>
            </w:r>
          </w:p>
        </w:tc>
      </w:tr>
      <w:tr>
        <w:trPr>
          <w:trHeight w:val="190"/>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Average Grant</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Remaining</w:t>
            </w: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Option Shares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Date Fair Value (1)</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 Price (1)</w:t>
            </w:r>
          </w:p>
        </w:tc>
        <w:tc>
          <w:tcPr>
            <w:tcW w:w="1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Contractual Term</w:t>
            </w: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2019</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3,304,839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0.27</w:t>
            </w: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0.90</w:t>
            </w:r>
          </w:p>
        </w:tc>
        <w:tc>
          <w:tcPr>
            <w:tcW w:w="100" w:type="dxa"/>
            <w:vAlign w:val="bottom"/>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6"/>
                <w:szCs w:val="16"/>
                <w:b w:val="1"/>
                <w:bCs w:val="1"/>
                <w:color w:val="auto"/>
                <w:w w:val="85"/>
              </w:rPr>
              <w:t>5.85 years</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60,000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8.53</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(855,945)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0.29</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w:t>
            </w: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Forfeited/cancelled</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0.25</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2020</w:t>
            </w:r>
          </w:p>
        </w:tc>
        <w:tc>
          <w:tcPr>
            <w:tcW w:w="120" w:type="dxa"/>
            <w:vAlign w:val="bottom"/>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2,508,114</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0.34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1.02</w:t>
            </w:r>
          </w:p>
        </w:tc>
        <w:tc>
          <w:tcPr>
            <w:tcW w:w="192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w w:val="85"/>
              </w:rPr>
              <w:t>4.92 years</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Exercised</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(439,629)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0.37</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1.28</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Forfeited/cancelled</w:t>
            </w: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0.11</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0.28</w:t>
            </w: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Outstanding at December 31, 2021</w:t>
            </w: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2,067,018</w:t>
            </w: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6"/>
                <w:szCs w:val="16"/>
                <w:b w:val="1"/>
                <w:bCs w:val="1"/>
                <w:color w:val="auto"/>
              </w:rPr>
              <w:t>0.33</w:t>
            </w:r>
          </w:p>
        </w:tc>
        <w:tc>
          <w:tcPr>
            <w:tcW w:w="160" w:type="dxa"/>
            <w:vAlign w:val="bottom"/>
            <w:tcBorders>
              <w:top w:val="single" w:sz="8" w:color="CCEEFF"/>
            </w:tcBorders>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6"/>
                <w:szCs w:val="16"/>
                <w:b w:val="1"/>
                <w:bCs w:val="1"/>
                <w:color w:val="auto"/>
              </w:rPr>
              <w:t>0.97</w:t>
            </w:r>
          </w:p>
        </w:tc>
        <w:tc>
          <w:tcPr>
            <w:tcW w:w="1920" w:type="dxa"/>
            <w:vAlign w:val="bottom"/>
            <w:tcBorders>
              <w:top w:val="single" w:sz="8" w:color="CCEEFF"/>
            </w:tcBorders>
          </w:tcPr>
          <w:p>
            <w:pPr>
              <w:ind w:left="1240"/>
              <w:spacing w:after="0"/>
              <w:rPr>
                <w:sz w:val="20"/>
                <w:szCs w:val="20"/>
                <w:color w:val="auto"/>
              </w:rPr>
            </w:pPr>
            <w:r>
              <w:rPr>
                <w:rFonts w:ascii="Arial" w:cs="Arial" w:eastAsia="Arial" w:hAnsi="Arial"/>
                <w:sz w:val="16"/>
                <w:szCs w:val="16"/>
                <w:b w:val="1"/>
                <w:bCs w:val="1"/>
                <w:color w:val="auto"/>
                <w:w w:val="85"/>
              </w:rPr>
              <w:t>3.98 years</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(563,808)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0.21</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0.51</w:t>
            </w: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Forfeited/cancelled</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(19,552)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0.21</w:t>
            </w: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0.48</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2022</w:t>
            </w:r>
          </w:p>
        </w:tc>
        <w:tc>
          <w:tcPr>
            <w:tcW w:w="120" w:type="dxa"/>
            <w:vAlign w:val="bottom"/>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1,483,658</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0.38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1.15</w:t>
            </w:r>
          </w:p>
        </w:tc>
        <w:tc>
          <w:tcPr>
            <w:tcW w:w="192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w w:val="85"/>
              </w:rPr>
              <w:t>3.68 years</w:t>
            </w:r>
          </w:p>
        </w:tc>
        <w:tc>
          <w:tcPr>
            <w:tcW w:w="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Vested and exercisable at December 31, 2022</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1,464,908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 Prior period results have been adjusted to reflect the Stock Split effected in March 2022. See Note 2 for details.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2022 and 2021, $55 and $102, respectively, of total unrecognized non-employee stock-based compensation expense, net of estimated forfeitures, related to stock-based awards were both expected to be recognized over a weighted-average period of 0.06 years. Total recognized compensation cost may be adjusted for future changes in estimated forfeitures.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ACM Shanghai Option Grants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ACM Shanghai employee stock option activities during the years ended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Number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7"/>
              </w:rPr>
              <w:t>Weighted Average</w:t>
            </w: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780" w:type="dxa"/>
            <w:vAlign w:val="bottom"/>
            <w:gridSpan w:val="3"/>
          </w:tcPr>
          <w:p>
            <w:pPr>
              <w:jc w:val="center"/>
              <w:ind w:left="1281"/>
              <w:spacing w:after="0"/>
              <w:rPr>
                <w:sz w:val="20"/>
                <w:szCs w:val="20"/>
                <w:color w:val="auto"/>
              </w:rPr>
            </w:pPr>
            <w:r>
              <w:rPr>
                <w:rFonts w:ascii="Arial" w:cs="Arial" w:eastAsia="Arial" w:hAnsi="Arial"/>
                <w:sz w:val="16"/>
                <w:szCs w:val="16"/>
                <w:b w:val="1"/>
                <w:bCs w:val="1"/>
                <w:color w:val="auto"/>
                <w:w w:val="88"/>
              </w:rPr>
              <w:t>Option Shares in</w:t>
            </w:r>
          </w:p>
        </w:tc>
        <w:tc>
          <w:tcPr>
            <w:tcW w:w="8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Average Grant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Average</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Remaining</w:t>
            </w: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ACM Shanghai</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Date Fair Value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Exercise Price</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0"/>
              </w:rPr>
              <w:t>Contractual Term</w:t>
            </w: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2020</w:t>
            </w:r>
          </w:p>
        </w:tc>
        <w:tc>
          <w:tcPr>
            <w:tcW w:w="15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5,423,654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b w:val="1"/>
                <w:bCs w:val="1"/>
                <w:color w:val="auto"/>
                <w:w w:val="76"/>
              </w:rPr>
              <w:t>1.89</w:t>
            </w:r>
          </w:p>
        </w:tc>
        <w:tc>
          <w:tcPr>
            <w:tcW w:w="22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 years</w:t>
            </w:r>
          </w:p>
        </w:tc>
        <w:tc>
          <w:tcPr>
            <w:tcW w:w="12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Forfeited/cancelled</w:t>
            </w:r>
          </w:p>
        </w:tc>
        <w:tc>
          <w:tcPr>
            <w:tcW w:w="2780" w:type="dxa"/>
            <w:vAlign w:val="bottom"/>
            <w:gridSpan w:val="3"/>
          </w:tcPr>
          <w:p>
            <w:pPr>
              <w:jc w:val="right"/>
              <w:ind w:right="80"/>
              <w:spacing w:after="0"/>
              <w:rPr>
                <w:sz w:val="20"/>
                <w:szCs w:val="20"/>
                <w:color w:val="auto"/>
              </w:rPr>
            </w:pPr>
            <w:r>
              <w:rPr>
                <w:rFonts w:ascii="Arial" w:cs="Arial" w:eastAsia="Arial" w:hAnsi="Arial"/>
                <w:sz w:val="16"/>
                <w:szCs w:val="16"/>
                <w:color w:val="auto"/>
              </w:rPr>
              <w:t>(46,154)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760"/>
              <w:spacing w:after="0"/>
              <w:rPr>
                <w:sz w:val="20"/>
                <w:szCs w:val="20"/>
                <w:color w:val="auto"/>
              </w:rPr>
            </w:pPr>
            <w:r>
              <w:rPr>
                <w:rFonts w:ascii="Arial" w:cs="Arial" w:eastAsia="Arial" w:hAnsi="Arial"/>
                <w:sz w:val="16"/>
                <w:szCs w:val="16"/>
                <w:color w:val="auto"/>
              </w:rPr>
              <w:t>2.04</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2021</w:t>
            </w:r>
          </w:p>
        </w:tc>
        <w:tc>
          <w:tcPr>
            <w:tcW w:w="15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5,377,500</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rPr>
              <w:t>2.04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2.50 years</w:t>
            </w: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b w:val="1"/>
                <w:bCs w:val="1"/>
                <w:color w:val="auto"/>
              </w:rPr>
              <w:t>Outstanding at December 31, 2022</w:t>
            </w:r>
          </w:p>
        </w:tc>
        <w:tc>
          <w:tcPr>
            <w:tcW w:w="2640" w:type="dxa"/>
            <w:vAlign w:val="bottom"/>
            <w:gridSpan w:val="2"/>
          </w:tcPr>
          <w:p>
            <w:pPr>
              <w:jc w:val="right"/>
              <w:spacing w:after="0"/>
              <w:rPr>
                <w:sz w:val="20"/>
                <w:szCs w:val="20"/>
                <w:color w:val="auto"/>
              </w:rPr>
            </w:pPr>
            <w:r>
              <w:rPr>
                <w:rFonts w:ascii="Arial" w:cs="Arial" w:eastAsia="Arial" w:hAnsi="Arial"/>
                <w:sz w:val="16"/>
                <w:szCs w:val="16"/>
                <w:b w:val="1"/>
                <w:bCs w:val="1"/>
                <w:color w:val="auto"/>
              </w:rPr>
              <w:t>5,377,500</w:t>
            </w:r>
          </w:p>
        </w:tc>
        <w:tc>
          <w:tcPr>
            <w:tcW w:w="140" w:type="dxa"/>
            <w:vAlign w:val="bottom"/>
          </w:tcPr>
          <w:p>
            <w:pPr>
              <w:spacing w:after="0"/>
              <w:rPr>
                <w:sz w:val="16"/>
                <w:szCs w:val="16"/>
                <w:color w:val="auto"/>
              </w:rPr>
            </w:pPr>
          </w:p>
        </w:tc>
        <w:tc>
          <w:tcPr>
            <w:tcW w:w="24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0.23</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ind w:left="760"/>
              <w:spacing w:after="0"/>
              <w:rPr>
                <w:sz w:val="20"/>
                <w:szCs w:val="20"/>
                <w:color w:val="auto"/>
              </w:rPr>
            </w:pPr>
            <w:r>
              <w:rPr>
                <w:rFonts w:ascii="Arial" w:cs="Arial" w:eastAsia="Arial" w:hAnsi="Arial"/>
                <w:sz w:val="16"/>
                <w:szCs w:val="16"/>
                <w:b w:val="1"/>
                <w:bCs w:val="1"/>
                <w:color w:val="auto"/>
              </w:rPr>
              <w:t>1.93</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1.76 years</w:t>
            </w:r>
          </w:p>
        </w:tc>
      </w:tr>
      <w:tr>
        <w:trPr>
          <w:trHeight w:val="190"/>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Vested and exercisable at December 31, 2022</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2,688,771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the years ended December 31, 2022 and 2021, the Company recognized stock-based compensation expense of $338 and $349, related to stock option grants of ACM Shanghai. As of December 31, 2022 and 2021, $160 and $525 of total unrecognized non-employee stock-based compensation expense, net of estimated forfeitures, related to ACM Shanghai stock-based awards were expected to be recognized over a weighted-average period of 0.8 and 1.5 years, respectively. Total recognized compensation cost may be adjusted for future changes in estimated forfeitures.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 the U.S. and foreign components of income before income tax for the years ended December 31, 2022, 2021 and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90"/>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i w:val="1"/>
                <w:iCs w:val="1"/>
                <w:color w:val="auto"/>
                <w:w w:val="86"/>
              </w:rPr>
              <w:t>(in 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federal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(4,389)</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(16,688)</w:t>
            </w:r>
          </w:p>
        </w:tc>
      </w:tr>
      <w:tr>
        <w:trPr>
          <w:trHeight w:val="194"/>
        </w:trPr>
        <w:tc>
          <w:tcPr>
            <w:tcW w:w="7320" w:type="dxa"/>
            <w:vAlign w:val="bottom"/>
          </w:tcPr>
          <w:p>
            <w:pPr>
              <w:ind w:left="100"/>
              <w:spacing w:after="0"/>
              <w:rPr>
                <w:sz w:val="20"/>
                <w:szCs w:val="20"/>
                <w:color w:val="auto"/>
              </w:rPr>
            </w:pPr>
            <w:r>
              <w:rPr>
                <w:rFonts w:ascii="Arial" w:cs="Arial" w:eastAsia="Arial" w:hAnsi="Arial"/>
                <w:sz w:val="16"/>
                <w:szCs w:val="16"/>
                <w:color w:val="auto"/>
              </w:rPr>
              <w:t>Foreign</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70,818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47,444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35,983</w:t>
            </w:r>
          </w:p>
        </w:tc>
      </w:tr>
      <w:tr>
        <w:trPr>
          <w:trHeight w:val="23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67,362</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19,295</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 components of the income tax benefit (expense) for the years ended December 31, 2022, 2021 and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40" w:type="dxa"/>
            <w:vAlign w:val="bottom"/>
            <w:gridSpan w:val="2"/>
            <w:vMerge w:val="restart"/>
          </w:tcPr>
          <w:p>
            <w:pPr>
              <w:spacing w:after="0"/>
              <w:rPr>
                <w:sz w:val="20"/>
                <w:szCs w:val="20"/>
                <w:color w:val="auto"/>
              </w:rPr>
            </w:pPr>
            <w:r>
              <w:rPr>
                <w:rFonts w:ascii="Arial" w:cs="Arial" w:eastAsia="Arial" w:hAnsi="Arial"/>
                <w:sz w:val="16"/>
                <w:szCs w:val="16"/>
                <w:color w:val="auto"/>
              </w:rPr>
              <w:t>Current:</w:t>
            </w: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i w:val="1"/>
                <w:iCs w:val="1"/>
                <w:color w:val="auto"/>
                <w:w w:val="86"/>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140" w:type="dxa"/>
            <w:vAlign w:val="bottom"/>
            <w:gridSpan w:val="2"/>
            <w:vMerge w:val="continue"/>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U.S. federal</w:t>
            </w:r>
          </w:p>
        </w:tc>
        <w:tc>
          <w:tcPr>
            <w:tcW w:w="3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U.S. state</w:t>
            </w: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U.S. current tax benefit (expense)</w:t>
            </w:r>
          </w:p>
        </w:tc>
        <w:tc>
          <w:tcPr>
            <w:tcW w:w="3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Foreign</w:t>
            </w: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(11,139)</w:t>
            </w:r>
          </w:p>
        </w:tc>
        <w:tc>
          <w:tcPr>
            <w:tcW w:w="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(2,195)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current tax expense</w:t>
            </w:r>
          </w:p>
        </w:tc>
        <w:tc>
          <w:tcPr>
            <w:tcW w:w="3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(11,636)</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Deferred:</w:t>
            </w: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U.S. federal</w:t>
            </w:r>
          </w:p>
        </w:tc>
        <w:tc>
          <w:tcPr>
            <w:tcW w:w="3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(10,927)</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U.S. state</w:t>
            </w: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U.S. deferred tax benefit (expense)</w:t>
            </w:r>
          </w:p>
        </w:tc>
        <w:tc>
          <w:tcPr>
            <w:tcW w:w="3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(10,919)</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Foreign</w:t>
            </w: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5,757</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(2,866)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deferred tax benefit</w:t>
            </w:r>
          </w:p>
        </w:tc>
        <w:tc>
          <w:tcPr>
            <w:tcW w:w="3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(5,162)</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Total income tax benefit (expense)</w:t>
            </w:r>
          </w:p>
        </w:tc>
        <w:tc>
          <w:tcPr>
            <w:tcW w:w="3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(16,798)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(134)</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180" w:type="dxa"/>
            <w:vAlign w:val="bottom"/>
            <w:vMerge w:val="restart"/>
          </w:tcPr>
          <w:p>
            <w:pPr>
              <w:jc w:val="right"/>
              <w:ind w:right="1526"/>
              <w:spacing w:after="0"/>
              <w:rPr>
                <w:sz w:val="20"/>
                <w:szCs w:val="20"/>
                <w:color w:val="auto"/>
              </w:rPr>
            </w:pPr>
            <w:r>
              <w:rPr>
                <w:rFonts w:ascii="Arial" w:cs="Arial" w:eastAsia="Arial" w:hAnsi="Arial"/>
                <w:sz w:val="13"/>
                <w:szCs w:val="13"/>
                <w:color w:val="auto"/>
              </w:rPr>
              <w:t>133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Tax effects of temporary differences that give rise to significant portions of the Company’s deferred tax assets at December 31, 2022, 2021, and 2020 are presented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732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operating loss carry forwards (offshore)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522</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Net operating loss carry forwards (U.S.) and credit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12,173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9,981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revenue (offshore)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Accruals (U.S.)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Reserves and other (offshore)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Stock-based compensation (U.S.)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3,289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2,283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Property and equipment (U.S.)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Lease liability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Total gross deferred tax assets</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11,986</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Less: valuation allowance</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(1,782)</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Total deferred tax assets</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Fixed assets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Deferred revenue (offshore)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(1,486)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Equity Investments and unrealized gain on trading securities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(3,059)</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Total deferred tax liabilities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(3,502)</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(4,659)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assets, net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6,702</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2022 and 2021, based on estimates of recoverability. In order to fully realize the deferred tax assets, the Company must generate sufficient taxable income in future periods before the expiration of the deferred tax assets governed by the tax code.</w:t>
      </w:r>
    </w:p>
    <w:p>
      <w:pPr>
        <w:spacing w:after="0" w:line="17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As of December 31, 2022 and 2021, the Company had valuation allowances, respectively, of $49 and $160 for U.S federal purposes, $277 and $237 for U.S. state purposes and $1,456 and $522 for PRC income tax purposes.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2022 and 2021, the Company had net operating loss carry-forwards of, respectively, $4,385 and $56,077 for U.S federal purposes, $545 and $545 for U.S. state purposes and $6,474 and $2,086 for PRC income tax purposes. Such losses begin expiring in 2037, 2032 and 2025 for U.S. federal, U.S. state and PRC income tax purposes, respectively.</w:t>
      </w:r>
    </w:p>
    <w:p>
      <w:pPr>
        <w:spacing w:after="0" w:line="16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As of December 31, 2022 and 2021, the Company had research credit carry-forwards of, respectively, $61 and $200 for U.S. federal purposes and $377 and $377 for U.S. state purposes. Such credits begin expiring in 2023 for U.S. federal carry-forwards. There is no expiration date for U.S. state carry-forwards.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provisions of the U.S. Internal Revenue Code (the “IRC”), a limitation applies to the use of the U.S. net operating loss and credit carry-forwards that would be applicable if ACM experiences an “ownership change,” as defined in IRC Section 382. ACM conducted an analysis of its stock ownership under IRC Section 382 and $4,385 of the net operating loss carryforwards are subject to annual limitation as a result of the ownership change in 2017. The net operating loss carryforwards are not expected to expire before utilization.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The Company’s effective tax rate differs from statutory rates of 21% for U.S. federal income tax purposes and 12.5% to 25% for PRC income tax purpose due to the effects of the valuation allowance and certain permanent differences as they pertain to book-tax differences in employee stock-based compensation and non-US research expense. A new requirement to capitalize and amortize previously deductible research and experimental expenses resulting from a change in Section 174 made by the Tax Cuts and Jobs Act of 2017 (the “TCJA”) became effective on January 1, 2022. Under the TCJA, the Company is required to capitalize, and subsequently amortize R&amp;D expenses over fifteen years for research activities conducted outside of the U.S. The capitalization of overseas R&amp;D expenses resulted in a significant increase in the Company’s global intangible low-taxed income inclusion. Congress is considering legislation, but legislation has not passed, that would repeal the capitalization requirement. Pursuant to the Corporate Income Tax Law of the PRC, all of the Company’s PRC subsidiaries are liable to PRC Corporate Income Taxes at a rate of 25%, except for ACM Shanghai.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is entitled to a preferential income tax rate of 12.5% from January 1, 2020 to December 31, 2022. The provision for PRC corporate income tax for ACM Shanghai is calculated by applying the income tax rate of 12.5% for the years ended December 31, 2022, 2021 and 2020.</w:t>
      </w:r>
    </w:p>
    <w:p>
      <w:pPr>
        <w:spacing w:after="0" w:line="148"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Income tax expense for the years ended December 31, 2022, 2021 and 2020 differed from the amounts computed by applying the statutory U.S. federal income tax rate of 21% to pretax income as a result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w w:val="95"/>
              </w:rPr>
              <w:t>Year Ended December 31,</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7960" w:type="dxa"/>
            <w:vAlign w:val="bottom"/>
            <w:gridSpan w:val="3"/>
          </w:tcPr>
          <w:p>
            <w:pPr>
              <w:spacing w:after="0"/>
              <w:rPr>
                <w:sz w:val="20"/>
                <w:szCs w:val="20"/>
                <w:color w:val="auto"/>
              </w:rPr>
            </w:pPr>
            <w:r>
              <w:rPr>
                <w:rFonts w:ascii="Arial" w:cs="Arial" w:eastAsia="Arial" w:hAnsi="Arial"/>
                <w:sz w:val="16"/>
                <w:szCs w:val="16"/>
                <w:color w:val="auto"/>
              </w:rPr>
              <w:t>Effective tax rate reconciliation:</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tax provision at statutory rate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8"/>
              </w:rPr>
              <w:t>21.00%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21.00%</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gridSpan w:val="2"/>
          </w:tcPr>
          <w:p>
            <w:pPr>
              <w:ind w:left="80"/>
              <w:spacing w:after="0"/>
              <w:rPr>
                <w:sz w:val="20"/>
                <w:szCs w:val="20"/>
                <w:color w:val="auto"/>
              </w:rPr>
            </w:pPr>
            <w:r>
              <w:rPr>
                <w:rFonts w:ascii="Arial" w:cs="Arial" w:eastAsia="Arial" w:hAnsi="Arial"/>
                <w:sz w:val="16"/>
                <w:szCs w:val="16"/>
                <w:color w:val="auto"/>
              </w:rPr>
              <w:t>Stock Compensation</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(2.72)</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(12.75)</w:t>
            </w: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(36.99)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Foreign rate differential</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(9.43)</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(11.60)</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gridSpan w:val="2"/>
          </w:tcPr>
          <w:p>
            <w:pPr>
              <w:ind w:left="80"/>
              <w:spacing w:after="0"/>
              <w:rPr>
                <w:sz w:val="20"/>
                <w:szCs w:val="20"/>
                <w:color w:val="auto"/>
              </w:rPr>
            </w:pPr>
            <w:r>
              <w:rPr>
                <w:rFonts w:ascii="Arial" w:cs="Arial" w:eastAsia="Arial" w:hAnsi="Arial"/>
                <w:sz w:val="16"/>
                <w:szCs w:val="16"/>
                <w:color w:val="auto"/>
              </w:rPr>
              <w:t>Other permanent difference</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(0.26)</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(0.23)</w:t>
            </w:r>
          </w:p>
        </w:tc>
        <w:tc>
          <w:tcPr>
            <w:tcW w:w="2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Foreign income taxed in US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19.86</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10.32</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gridSpan w:val="2"/>
          </w:tcPr>
          <w:p>
            <w:pPr>
              <w:ind w:left="80"/>
              <w:spacing w:after="0"/>
              <w:rPr>
                <w:sz w:val="20"/>
                <w:szCs w:val="20"/>
                <w:color w:val="auto"/>
              </w:rPr>
            </w:pPr>
            <w:r>
              <w:rPr>
                <w:rFonts w:ascii="Arial" w:cs="Arial" w:eastAsia="Arial" w:hAnsi="Arial"/>
                <w:sz w:val="16"/>
                <w:szCs w:val="16"/>
                <w:color w:val="auto"/>
              </w:rPr>
              <w:t>Foreign Research Expense</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(4.79)</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(6.59)</w:t>
            </w: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Change in valuation allowance</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2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Total income tax expense (benefit)</w:t>
            </w:r>
          </w:p>
        </w:tc>
        <w:tc>
          <w:tcPr>
            <w:tcW w:w="7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24.94%</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0.31%</w:t>
            </w:r>
          </w:p>
        </w:tc>
        <w:tc>
          <w:tcPr>
            <w:tcW w:w="22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2022 and 2021,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340" w:type="dxa"/>
            <w:vAlign w:val="bottom"/>
            <w:gridSpan w:val="2"/>
          </w:tcPr>
          <w:p>
            <w:pPr>
              <w:spacing w:after="0"/>
              <w:rPr>
                <w:sz w:val="16"/>
                <w:szCs w:val="16"/>
                <w:color w:val="auto"/>
              </w:rPr>
            </w:pPr>
          </w:p>
        </w:tc>
        <w:tc>
          <w:tcPr>
            <w:tcW w:w="9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6,066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570</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Increase of unrecognized tax benefits taken in prior years</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Increase of unrecognized tax benefits related to current year</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2,623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5,476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Reductions for tax positions related to prior years</w:t>
            </w:r>
          </w:p>
        </w:tc>
        <w:tc>
          <w:tcPr>
            <w:tcW w:w="76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(241)</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8,448</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Company is subject to taxation in the United States, California and foreign jurisdictions. The federal, state and foreign income tax returns are under the statute of limitations subject to tax examinations for the tax years ended December 31, 2000 through December 31, 2022. To the extent the Company has tax attribute carry-forwards, the tax years in which the attribute was generated may still be adjusted upon examination by the U.S. Internal Revenue Service or by state or foreign tax authorities to the extent utilized in a future period.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$8,448 and $6,066 of unrecognized tax benefits as of December 31, 2022 and 2021, respectively.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recognizes interest and penalties related to uncertain tax positions in income tax expense. As of December 31, 2022 and 2021, respectively, the Company had $508 and $44 of accrued penalties related to uncertain tax positions, all of which was recognized in the Company’s consolidated statements of operations and comprehensive income for the year then ended. The amount of the unrecognized tax benefit that, if recognized, would impact the effective tax rate was $8,360 as of December 31, 2022. There were no ongoing examinations by taxing authorities as of December 31, 2022 or 2021.</w:t>
      </w:r>
    </w:p>
    <w:p>
      <w:pPr>
        <w:spacing w:after="0" w:line="16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of December 31, 2022, the Company has not made a provision for U.S. or additional foreign withholding taxes on approximately $90 million of undistributed earnings of its foreign subsidiaries that is indefinitely reinvested. Generally, such amounts become subject to U.S. taxation upon the remittance of dividends and under certain other circumstances. It is not practicable to estimate the amount of deferred tax liability related to investments in these foreign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 SEGMENT INFORMATION</w:t>
      </w:r>
    </w:p>
    <w:p>
      <w:pPr>
        <w:spacing w:after="0" w:line="200"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The Company is engaged in the developing, manufacture and sale of single-wafer wet cleaning equipment, which have been organized as one reporting segment as the equipment has substantially similar nature and economic characteristics. The Company’s principal operating decision maker, ACM’s Chief Executive Officer, receives and reviews the results of the operations for all major type of equipment as a whole when making decisions about allocating resources and assessing performance of the Company.</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geographical reporting, revenue by geographic location is determined by the location of customers’ facilities to which products were shipped. Long-lived assets consist primarily of property, plant and equipment, other long-term assets, and right-of-use assets and are attributed to the geographic location in which they are located. Long-lived assets by geographic region as of the years ended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gridSpan w:val="2"/>
          </w:tcPr>
          <w:p>
            <w:pPr>
              <w:spacing w:after="0"/>
              <w:rPr>
                <w:sz w:val="20"/>
                <w:szCs w:val="20"/>
                <w:color w:val="auto"/>
              </w:rPr>
            </w:pPr>
            <w:r>
              <w:rPr>
                <w:rFonts w:ascii="Arial" w:cs="Arial" w:eastAsia="Arial" w:hAnsi="Arial"/>
                <w:sz w:val="16"/>
                <w:szCs w:val="16"/>
                <w:color w:val="auto"/>
              </w:rPr>
              <w:t>Long-lived assets by geography:</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Mainland China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140,481</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71,534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144,321</w:t>
            </w:r>
          </w:p>
        </w:tc>
        <w:tc>
          <w:tcPr>
            <w:tcW w:w="200" w:type="dxa"/>
            <w:vAlign w:val="bottom"/>
          </w:tcPr>
          <w:p>
            <w:pPr>
              <w:spacing w:after="0"/>
              <w:rPr>
                <w:sz w:val="16"/>
                <w:szCs w:val="16"/>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72,908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22 – COMMITMENTS AND CONTINGENCIES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leases offices under non-cancelable operating lease agreements. See note 11 for future minimum lease payments under non-cancelable operating lease agreements with initial terms of one year or more.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 Company had $102,906 of open capital commitments.</w:t>
      </w:r>
    </w:p>
    <w:p>
      <w:pPr>
        <w:spacing w:after="0" w:line="19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Covenants in ACM Shengwei’s Grant Contract for State-owned Construction Land Use Right in Shanghai City (Category of R&amp;D Headquarters and Industrial Projects) with the China (Shanghai) Pilot Free Trade Zone Lingang Special Area Administration require, among other things, that ACM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and December 31, 2021, the Company had paid in total $35,376 and $13,265, respectively for its Lingang-related investments.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Company’s management has evaluated all such proceedings and claims that existed as of December 31, 2022 and 2021. In the opinion of management, no provision for liability nor disclosure was required as of December 31, 2022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23 – STATUTORY SURPLUS RESERVE</w:t>
      </w:r>
    </w:p>
    <w:p>
      <w:pPr>
        <w:spacing w:after="0" w:line="200" w:lineRule="exact"/>
        <w:rPr>
          <w:sz w:val="20"/>
          <w:szCs w:val="20"/>
          <w:color w:val="auto"/>
        </w:rPr>
      </w:pPr>
    </w:p>
    <w:p>
      <w:pPr>
        <w:jc w:val="both"/>
        <w:ind w:right="20"/>
        <w:spacing w:after="0" w:line="342" w:lineRule="auto"/>
        <w:rPr>
          <w:sz w:val="20"/>
          <w:szCs w:val="20"/>
          <w:color w:val="auto"/>
        </w:rPr>
      </w:pPr>
      <w:r>
        <w:rPr>
          <w:rFonts w:ascii="Arial" w:cs="Arial" w:eastAsia="Arial" w:hAnsi="Arial"/>
          <w:sz w:val="14"/>
          <w:szCs w:val="14"/>
          <w:color w:val="auto"/>
        </w:rPr>
        <w:t>In accordance with the PRC’s Foreign Enterprise Law, ACM Shanghai, ACM Shengwei, and ACM Wuxi are required to make appropriation to reserve funds, comprising the statutory surplus reserve and discretionary surplus reserve, based on after-tax net income in accordance with generally accepted accounting principles of PRC (“PRC GAAP”).</w:t>
      </w:r>
    </w:p>
    <w:p>
      <w:pPr>
        <w:spacing w:after="0" w:line="111"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Appropriations to the statutory surplus reserve are required to be at least 10% of the after-tax net income determined in accordance with PRC GAAP until the reserve is equal to 50% of the entities’ registered capital. The amount is calculated annually at the end of each calendar year. The balances of statutory reserve funds were $16,881 and $8,312 as of December 31, 2022 and December 31, 2021, respectively, and are presented as statutory surplus reserve on the Company’s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24 – PARENT COMPANY ONLY CONDENSED FINANCIAL INFORMATION</w:t>
      </w:r>
    </w:p>
    <w:p>
      <w:pPr>
        <w:spacing w:after="0" w:line="200"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ACM’s subsidiaries did not pay any dividends to ACM during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ACM did not have significant capital or other commitments, long-term obligations, or guarantees as of December 31, 2022 or 2021.</w:t>
      </w:r>
    </w:p>
    <w:p>
      <w:pPr>
        <w:spacing w:after="0" w:line="196"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following represents condensed unconsolidated financial information of ACM only as of December 31, 2022 and 2021, and for the years ended December 31, 2022, 2021 and 2020: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49"/>
        </w:trPr>
        <w:tc>
          <w:tcPr>
            <w:tcW w:w="448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2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480" w:type="dxa"/>
            <w:vAlign w:val="bottom"/>
            <w:gridSpan w:val="3"/>
          </w:tcPr>
          <w:p>
            <w:pPr>
              <w:spacing w:after="0"/>
              <w:rPr>
                <w:sz w:val="20"/>
                <w:szCs w:val="20"/>
                <w:color w:val="auto"/>
              </w:rPr>
            </w:pPr>
            <w:r>
              <w:rPr>
                <w:rFonts w:ascii="Arial" w:cs="Arial" w:eastAsia="Arial" w:hAnsi="Arial"/>
                <w:sz w:val="16"/>
                <w:szCs w:val="16"/>
                <w:b w:val="1"/>
                <w:bCs w:val="1"/>
                <w:color w:val="auto"/>
              </w:rPr>
              <w:t>CONDENSED BALANCE SHEETS</w:t>
            </w: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Current assets: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23,853</w:t>
            </w: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29,536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260"/>
              <w:spacing w:after="0"/>
              <w:rPr>
                <w:sz w:val="20"/>
                <w:szCs w:val="20"/>
                <w:color w:val="auto"/>
              </w:rPr>
            </w:pPr>
            <w:r>
              <w:rPr>
                <w:rFonts w:ascii="Arial" w:cs="Arial" w:eastAsia="Arial" w:hAnsi="Arial"/>
                <w:sz w:val="16"/>
                <w:szCs w:val="16"/>
                <w:color w:val="auto"/>
              </w:rPr>
              <w:t>Accounts receivable</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Due from intercompany</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260"/>
              <w:spacing w:after="0"/>
              <w:rPr>
                <w:sz w:val="20"/>
                <w:szCs w:val="20"/>
                <w:color w:val="auto"/>
              </w:rPr>
            </w:pPr>
            <w:r>
              <w:rPr>
                <w:rFonts w:ascii="Arial" w:cs="Arial" w:eastAsia="Arial" w:hAnsi="Arial"/>
                <w:sz w:val="16"/>
                <w:szCs w:val="16"/>
                <w:color w:val="auto"/>
              </w:rPr>
              <w:t>Other receivable</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Prepaid expenses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Total current assets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30,194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Deferred tax assets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Investment in unconsolidated subsidiaries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653,926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637,961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Total assets</w:t>
            </w:r>
          </w:p>
        </w:tc>
        <w:tc>
          <w:tcPr>
            <w:tcW w:w="2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689,657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681,321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Accounts payable</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6"/>
                <w:szCs w:val="16"/>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payables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Income taxes payable</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FIN-48 payable</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Deferred tax liability</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Total liabilities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60" w:type="dxa"/>
            <w:vAlign w:val="bottom"/>
            <w:gridSpan w:val="2"/>
          </w:tcPr>
          <w:p>
            <w:pPr>
              <w:ind w:left="400"/>
              <w:spacing w:after="0"/>
              <w:rPr>
                <w:sz w:val="20"/>
                <w:szCs w:val="20"/>
                <w:color w:val="auto"/>
              </w:rPr>
            </w:pPr>
            <w:r>
              <w:rPr>
                <w:rFonts w:ascii="Arial" w:cs="Arial" w:eastAsia="Arial" w:hAnsi="Arial"/>
                <w:sz w:val="16"/>
                <w:szCs w:val="16"/>
                <w:color w:val="auto"/>
              </w:rPr>
              <w:t>Total stockholders’ equity</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674,857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676,204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Total liabilities and stockholder’s equity</w:t>
            </w:r>
          </w:p>
        </w:tc>
        <w:tc>
          <w:tcPr>
            <w:tcW w:w="2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689,657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681,321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4480" w:type="dxa"/>
            <w:vAlign w:val="bottom"/>
            <w:gridSpan w:val="3"/>
          </w:tcPr>
          <w:p>
            <w:pPr>
              <w:spacing w:after="0"/>
              <w:rPr>
                <w:sz w:val="20"/>
                <w:szCs w:val="20"/>
                <w:color w:val="auto"/>
              </w:rPr>
            </w:pPr>
            <w:r>
              <w:rPr>
                <w:rFonts w:ascii="Arial" w:cs="Arial" w:eastAsia="Arial" w:hAnsi="Arial"/>
                <w:sz w:val="16"/>
                <w:szCs w:val="16"/>
                <w:b w:val="1"/>
                <w:bCs w:val="1"/>
                <w:color w:val="auto"/>
              </w:rPr>
              <w:t>CONDENSED STATEMENTS OF OPERATIONS</w:t>
            </w: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ind w:right="207"/>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Revenue</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Cost of revenue</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Gross profit</w:t>
            </w:r>
          </w:p>
        </w:tc>
        <w:tc>
          <w:tcPr>
            <w:tcW w:w="28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Operating expenses: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Sales and marketing expenses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(3,193)</w:t>
            </w: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(2,443)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260"/>
              <w:spacing w:after="0"/>
              <w:rPr>
                <w:sz w:val="20"/>
                <w:szCs w:val="20"/>
                <w:color w:val="auto"/>
              </w:rPr>
            </w:pPr>
            <w:r>
              <w:rPr>
                <w:rFonts w:ascii="Arial" w:cs="Arial" w:eastAsia="Arial" w:hAnsi="Arial"/>
                <w:sz w:val="16"/>
                <w:szCs w:val="16"/>
                <w:color w:val="auto"/>
              </w:rPr>
              <w:t>General and administrative expenses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(5,421)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(5,116)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Research and development expenses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Loss from operations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(8,045)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(7,543)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(6,302)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Equity in earnings of unconsolidated subsidiaries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32,145</w:t>
            </w: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36,273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Change in fair value of financial liability</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(11,964)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Interest income, net</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Interest expense, net</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 net</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2,148</w:t>
            </w: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26,298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37,757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18,780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 benefit</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12,965</w:t>
            </w: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Net income</w:t>
            </w:r>
          </w:p>
        </w:tc>
        <w:tc>
          <w:tcPr>
            <w:tcW w:w="28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39,263</w:t>
            </w:r>
          </w:p>
        </w:tc>
        <w:tc>
          <w:tcPr>
            <w:tcW w:w="34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37,757</w:t>
            </w:r>
          </w:p>
        </w:tc>
        <w:tc>
          <w:tcPr>
            <w:tcW w:w="120" w:type="dxa"/>
            <w:vAlign w:val="bottom"/>
          </w:tcPr>
          <w:p>
            <w:pPr>
              <w:spacing w:after="0"/>
              <w:rPr>
                <w:sz w:val="16"/>
                <w:szCs w:val="16"/>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40" w:type="dxa"/>
            <w:vAlign w:val="bottom"/>
            <w:vMerge w:val="restart"/>
          </w:tcPr>
          <w:p>
            <w:pPr>
              <w:jc w:val="right"/>
              <w:ind w:right="1537"/>
              <w:spacing w:after="0"/>
              <w:rPr>
                <w:sz w:val="20"/>
                <w:szCs w:val="20"/>
                <w:color w:val="auto"/>
              </w:rPr>
            </w:pPr>
            <w:r>
              <w:rPr>
                <w:rFonts w:ascii="Arial" w:cs="Arial" w:eastAsia="Arial" w:hAnsi="Arial"/>
                <w:sz w:val="13"/>
                <w:szCs w:val="13"/>
                <w:color w:val="auto"/>
              </w:rPr>
              <w:t>138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9" w:right="31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2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480" w:type="dxa"/>
            <w:vAlign w:val="bottom"/>
            <w:gridSpan w:val="3"/>
          </w:tcPr>
          <w:p>
            <w:pPr>
              <w:spacing w:after="0"/>
              <w:rPr>
                <w:sz w:val="20"/>
                <w:szCs w:val="20"/>
                <w:color w:val="auto"/>
              </w:rPr>
            </w:pPr>
            <w:r>
              <w:rPr>
                <w:rFonts w:ascii="Arial" w:cs="Arial" w:eastAsia="Arial" w:hAnsi="Arial"/>
                <w:sz w:val="16"/>
                <w:szCs w:val="16"/>
                <w:b w:val="1"/>
                <w:bCs w:val="1"/>
                <w:color w:val="auto"/>
              </w:rPr>
              <w:t>CONDENSED STATEMENTS OF CASH FLOWS</w:t>
            </w: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6"/>
                <w:szCs w:val="16"/>
                <w:color w:val="auto"/>
              </w:rPr>
              <w:t>Net cash used by investing activities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1,314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5,250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6"/>
                <w:szCs w:val="16"/>
                <w:color w:val="auto"/>
              </w:rPr>
              <w:t>Net increase (decrease) in cash and cash equivalents</w:t>
            </w: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(5,683)</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2,455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beginning of year</w:t>
            </w:r>
          </w:p>
        </w:tc>
        <w:tc>
          <w:tcPr>
            <w:tcW w:w="2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29,536</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30,188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27,733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6"/>
                <w:szCs w:val="16"/>
                <w:color w:val="auto"/>
              </w:rPr>
              <w:t>Cash and cash equivalents, end of year</w:t>
            </w:r>
          </w:p>
        </w:tc>
        <w:tc>
          <w:tcPr>
            <w:tcW w:w="28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23,853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29,536</w:t>
            </w:r>
          </w:p>
        </w:tc>
        <w:tc>
          <w:tcPr>
            <w:tcW w:w="34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30,188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40" w:type="dxa"/>
            <w:vAlign w:val="bottom"/>
            <w:vMerge w:val="restart"/>
          </w:tcPr>
          <w:p>
            <w:pPr>
              <w:jc w:val="right"/>
              <w:ind w:right="1537"/>
              <w:spacing w:after="0"/>
              <w:rPr>
                <w:sz w:val="20"/>
                <w:szCs w:val="20"/>
                <w:color w:val="auto"/>
              </w:rPr>
            </w:pPr>
            <w:r>
              <w:rPr>
                <w:rFonts w:ascii="Arial" w:cs="Arial" w:eastAsia="Arial" w:hAnsi="Arial"/>
                <w:sz w:val="13"/>
                <w:szCs w:val="13"/>
                <w:color w:val="auto"/>
              </w:rPr>
              <w:t>139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9" w:right="31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Dismissal of Previous Independent Registered Public Accounting Firm</w:t>
      </w:r>
    </w:p>
    <w:p>
      <w:pPr>
        <w:spacing w:after="0" w:line="200"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On May 12, 2022, the Audit Committee of our Board of Directors, or the Audit Committee, completed a competitive selection process to determine our independent registered public accounting firm for the fiscal year ended December 31, 2022. The Audit Committee invited to participate in this process several independent public accounting firms that are subject to inspection by the PCAOB. As a result of this process, on May 16, 2022, we dismissed BDO China as our independent registered public accounting firm. BDO China, which audited our consolidated financial statements from 2015 through 2021, is not inspected by the PCAOB and therefore was not considered by the Audit Committee in selecting our independent registered public accounting firm for the fiscal year ended December 31, 2022.</w:t>
      </w:r>
    </w:p>
    <w:p>
      <w:pPr>
        <w:spacing w:after="0" w:line="15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reports of BDO China on our consolidated financial statements and internal control over financial reporting for the fiscal years ended December 31, 2021 and 2020 did not contain an adverse opinion or disclaimer of opinion and were not qualified or modified as to uncertainty, audit scope or accounting principles.</w:t>
      </w:r>
    </w:p>
    <w:p>
      <w:pPr>
        <w:spacing w:after="0" w:line="156" w:lineRule="exact"/>
        <w:rPr>
          <w:sz w:val="20"/>
          <w:szCs w:val="20"/>
          <w:color w:val="auto"/>
        </w:rPr>
      </w:pPr>
    </w:p>
    <w:p>
      <w:pPr>
        <w:jc w:val="both"/>
        <w:spacing w:after="0" w:line="193" w:lineRule="exact"/>
        <w:rPr>
          <w:sz w:val="20"/>
          <w:szCs w:val="20"/>
          <w:color w:val="auto"/>
        </w:rPr>
      </w:pPr>
      <w:r>
        <w:rPr>
          <w:rFonts w:ascii="Arial" w:cs="Arial" w:eastAsia="Arial" w:hAnsi="Arial"/>
          <w:sz w:val="14"/>
          <w:szCs w:val="14"/>
          <w:color w:val="auto"/>
        </w:rPr>
        <w:t>During the fiscal years ended December 31, 2021 and 2020 and in the subsequent interim period through March 31, 2022, there were (a) no “disagreements” (as defined in Item 304(a)(1)(iv) of Regulation S</w:t>
      </w:r>
      <w:r>
        <w:rPr>
          <w:rFonts w:ascii="MS PGothic" w:cs="MS PGothic" w:eastAsia="MS PGothic" w:hAnsi="MS PGothic"/>
          <w:sz w:val="14"/>
          <w:szCs w:val="14"/>
          <w:color w:val="auto"/>
        </w:rPr>
        <w:t>‑</w:t>
      </w:r>
      <w:r>
        <w:rPr>
          <w:rFonts w:ascii="Arial" w:cs="Arial" w:eastAsia="Arial" w:hAnsi="Arial"/>
          <w:sz w:val="14"/>
          <w:szCs w:val="14"/>
          <w:color w:val="auto"/>
        </w:rPr>
        <w:t>K and the related instructions) with BDO China on any matter of accounting principles or practices, financial statement disclosure, or auditing scope or procedure that, if not resolved to the satisfaction of BDO China, would have caused BDO China to make reference thereto in its reports on the consolidated financial statements for the fiscal years ended December 31, 2021 and 2020 and (b) no “reportable events” (as defined in Item 304(a)(1)(v) of Regulation S</w:t>
      </w:r>
      <w:r>
        <w:rPr>
          <w:rFonts w:ascii="MS PGothic" w:cs="MS PGothic" w:eastAsia="MS PGothic" w:hAnsi="MS PGothic"/>
          <w:sz w:val="14"/>
          <w:szCs w:val="14"/>
          <w:color w:val="auto"/>
        </w:rPr>
        <w:t>‑</w:t>
      </w:r>
      <w:r>
        <w:rPr>
          <w:rFonts w:ascii="Arial" w:cs="Arial" w:eastAsia="Arial" w:hAnsi="Arial"/>
          <w:sz w:val="14"/>
          <w:szCs w:val="14"/>
          <w:color w:val="auto"/>
        </w:rPr>
        <w:t>K).</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4"/>
          <w:szCs w:val="14"/>
          <w:color w:val="auto"/>
        </w:rPr>
        <w:t>We provided a copy of the foregoing disclosures to BDO China and requested that BDO China furnish us with a letter addressed to the SEC, pursuant to Item 304(a)(3) of Regulation S-K, stating whether or not BDO China agreed with the above disclosures. A copy of BDO China’s letter furnished pursuant to that request is filed as Exhibit 16.01.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 of New Independent Registered Public Accounting Firm</w:t>
      </w:r>
    </w:p>
    <w:p>
      <w:pPr>
        <w:spacing w:after="0" w:line="20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May 12, 2022, the Audit Committee also approved the engagement of Armanino LLP as our new independent registered public accounting firm to perform independent audit services for the fiscal year ended December 31, 2022. Armanino LLP is subject to inspection by the PCAOB. The engagement of Armanino LLP became effective on May 19, 2022.</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During the fiscal years ended December 31, 2021 and 2020 and in the subsequent interim period through March 31, 2022, neither we nor anyone on our behalf consulted with Armanino LLP with respect to either (a) the application of accounting principles to a specified transaction, either completed or proposed, or the type of audit opinion that might be rendered with respect to our consolidated financial statements, and no written report or oral advice was provided to us by Armanino LLP that was an important factor that we considered in reaching a decision as to any accounting, auditing or financial reporting issue or (b) any matter that was the subject of a “disagreement” (as defined in Item 304(a)</w:t>
      </w:r>
    </w:p>
    <w:p>
      <w:pPr>
        <w:spacing w:after="0" w:line="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(1)(iv) of Regulation S</w:t>
      </w:r>
      <w:r>
        <w:rPr>
          <w:rFonts w:ascii="MS PGothic" w:cs="MS PGothic" w:eastAsia="MS PGothic" w:hAnsi="MS PGothic"/>
          <w:sz w:val="16"/>
          <w:szCs w:val="16"/>
          <w:color w:val="auto"/>
        </w:rPr>
        <w:t>‑</w:t>
      </w:r>
      <w:r>
        <w:rPr>
          <w:rFonts w:ascii="Arial" w:cs="Arial" w:eastAsia="Arial" w:hAnsi="Arial"/>
          <w:sz w:val="16"/>
          <w:szCs w:val="16"/>
          <w:color w:val="auto"/>
        </w:rPr>
        <w:t>K and the related instructions) or a “reportable event” (as defined in Item 304(a)(1)(v) of Regulation S</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96" w:lineRule="exact"/>
        <w:rPr>
          <w:sz w:val="20"/>
          <w:szCs w:val="20"/>
          <w:color w:val="auto"/>
        </w:rPr>
      </w:pPr>
    </w:p>
    <w:p>
      <w:pPr>
        <w:jc w:val="both"/>
        <w:spacing w:after="0" w:line="191" w:lineRule="exact"/>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December 31, 2022.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in 2021 and 2022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4"/>
          <w:szCs w:val="14"/>
          <w:color w:val="auto"/>
        </w:rPr>
        <w:t>‑</w:t>
      </w:r>
      <w:r>
        <w:rPr>
          <w:rFonts w:ascii="Arial" w:cs="Arial" w:eastAsia="Arial" w:hAnsi="Arial"/>
          <w:sz w:val="14"/>
          <w:szCs w:val="14"/>
          <w:color w:val="auto"/>
        </w:rPr>
        <w:t>19 pandemic increases.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41" w:name="page142"/>
    <w:bookmarkEnd w:id="141"/>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9" w:lineRule="exact"/>
        <w:rPr>
          <w:sz w:val="20"/>
          <w:szCs w:val="20"/>
          <w:color w:val="auto"/>
        </w:rPr>
      </w:pPr>
    </w:p>
    <w:p>
      <w:pPr>
        <w:jc w:val="both"/>
        <w:ind w:left="5"/>
        <w:spacing w:after="0" w:line="274" w:lineRule="auto"/>
        <w:rPr>
          <w:sz w:val="20"/>
          <w:szCs w:val="20"/>
          <w:color w:val="auto"/>
        </w:rPr>
      </w:pPr>
      <w:r>
        <w:rPr>
          <w:rFonts w:ascii="Arial" w:cs="Arial" w:eastAsia="Arial" w:hAnsi="Arial"/>
          <w:sz w:val="15"/>
          <w:szCs w:val="15"/>
          <w:color w:val="auto"/>
        </w:rPr>
        <w:t>Based on that evaluation, and as a result of the material weaknesses in internal control over financial reporting described below, our Chief Executive Officer and Chief Financial Officer concluded that, as of December 31, 2022, our company’s disclosure controls and procedures were not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55"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Notwithstanding the material weaknesses in internal control over financial reporting described below, our management, including our Chief Executive Officer and Chief Financial Officer, believes that our consolidated financial statements included in this report present fairly, in all material respects, our financial position, results of operations and cash flows as of and for the periods presented, in conformity with GAAP.</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96"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The company’s internal control over financial reporting includes those policies and procedures that:</w:t>
      </w:r>
    </w:p>
    <w:p>
      <w:pPr>
        <w:spacing w:after="0" w:line="1" w:lineRule="exact"/>
        <w:rPr>
          <w:sz w:val="20"/>
          <w:szCs w:val="20"/>
          <w:color w:val="auto"/>
        </w:rPr>
      </w:pPr>
    </w:p>
    <w:p>
      <w:pPr>
        <w:ind w:left="425" w:hanging="425"/>
        <w:spacing w:after="0"/>
        <w:tabs>
          <w:tab w:leader="none" w:pos="425" w:val="left"/>
        </w:tabs>
        <w:numPr>
          <w:ilvl w:val="0"/>
          <w:numId w:val="88"/>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our company;</w:t>
      </w:r>
    </w:p>
    <w:p>
      <w:pPr>
        <w:spacing w:after="0" w:line="17" w:lineRule="exact"/>
        <w:rPr>
          <w:rFonts w:ascii="Arial" w:cs="Arial" w:eastAsia="Arial" w:hAnsi="Arial"/>
          <w:sz w:val="15"/>
          <w:szCs w:val="15"/>
          <w:color w:val="auto"/>
        </w:rPr>
      </w:pPr>
    </w:p>
    <w:p>
      <w:pPr>
        <w:ind w:left="425" w:right="20" w:hanging="425"/>
        <w:spacing w:after="0" w:line="283" w:lineRule="auto"/>
        <w:tabs>
          <w:tab w:leader="none" w:pos="425"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our company; and</w:t>
      </w:r>
    </w:p>
    <w:p>
      <w:pPr>
        <w:ind w:left="425" w:hanging="425"/>
        <w:spacing w:after="0" w:line="255" w:lineRule="auto"/>
        <w:tabs>
          <w:tab w:leader="none" w:pos="425" w:val="left"/>
        </w:tabs>
        <w:numPr>
          <w:ilvl w:val="0"/>
          <w:numId w:val="8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company’s assets that could have a material effect on the financial statements.</w:t>
      </w:r>
    </w:p>
    <w:p>
      <w:pPr>
        <w:spacing w:after="0" w:line="168"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Our management, with the participation of our Chief Executive Officer and Chief Financial Officer, assessed the effectiveness of our internal control over financial reporting as of December 31, 2022. In making this assessment, our management used the criteria set forth in the Internal Control-Integrated Framework (2013) issued by the Committee of Sponsoring Organizations of the Treadway Commission. Based on its assessment, management concluded that we did not maintain effective internal control over financial reporting as of December 31, 2022 due to the material weaknesses described below.</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Material Weaknesses in Internal Control Over Financial Reporting</w:t>
      </w:r>
    </w:p>
    <w:p>
      <w:pPr>
        <w:spacing w:after="0" w:line="196" w:lineRule="exact"/>
        <w:rPr>
          <w:sz w:val="20"/>
          <w:szCs w:val="20"/>
          <w:color w:val="auto"/>
        </w:rPr>
      </w:pPr>
    </w:p>
    <w:p>
      <w:pPr>
        <w:jc w:val="both"/>
        <w:ind w:left="5"/>
        <w:spacing w:after="0" w:line="270"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color w:val="auto"/>
        </w:rPr>
        <w:t>Management identified the following material weaknesses during its assessment of internal controls over financial reporting as of December 31, 2022:</w:t>
      </w:r>
    </w:p>
    <w:p>
      <w:pPr>
        <w:spacing w:after="0" w:line="196" w:lineRule="exact"/>
        <w:rPr>
          <w:sz w:val="20"/>
          <w:szCs w:val="20"/>
          <w:color w:val="auto"/>
        </w:rPr>
      </w:pPr>
    </w:p>
    <w:p>
      <w:pPr>
        <w:jc w:val="both"/>
        <w:ind w:left="865" w:hanging="295"/>
        <w:spacing w:after="0" w:line="258" w:lineRule="auto"/>
        <w:tabs>
          <w:tab w:leader="none" w:pos="865" w:val="left"/>
        </w:tabs>
        <w:numPr>
          <w:ilvl w:val="0"/>
          <w:numId w:val="89"/>
        </w:numPr>
        <w:rPr>
          <w:rFonts w:ascii="Arial" w:cs="Arial" w:eastAsia="Arial" w:hAnsi="Arial"/>
          <w:sz w:val="16"/>
          <w:szCs w:val="16"/>
          <w:color w:val="auto"/>
        </w:rPr>
      </w:pPr>
      <w:r>
        <w:rPr>
          <w:rFonts w:ascii="Arial" w:cs="Arial" w:eastAsia="Arial" w:hAnsi="Arial"/>
          <w:sz w:val="16"/>
          <w:szCs w:val="16"/>
          <w:color w:val="auto"/>
        </w:rPr>
        <w:t>Management did not design and maintain effective risk assessment procedures, and monitoring activities. These deficiencies were attributed to insufficient identification and assessment of risks impacting the design, implementation, and operating effectiveness of internal control over financial reporting, and insufficient evaluation and determination as to whether components of internal control were present and functioning.</w:t>
      </w:r>
    </w:p>
    <w:p>
      <w:pPr>
        <w:spacing w:after="0" w:line="166" w:lineRule="exact"/>
        <w:rPr>
          <w:rFonts w:ascii="Arial" w:cs="Arial" w:eastAsia="Arial" w:hAnsi="Arial"/>
          <w:sz w:val="16"/>
          <w:szCs w:val="16"/>
          <w:color w:val="auto"/>
        </w:rPr>
      </w:pPr>
    </w:p>
    <w:p>
      <w:pPr>
        <w:jc w:val="both"/>
        <w:ind w:left="865" w:hanging="295"/>
        <w:spacing w:after="0" w:line="303" w:lineRule="auto"/>
        <w:tabs>
          <w:tab w:leader="none" w:pos="865" w:val="left"/>
        </w:tabs>
        <w:numPr>
          <w:ilvl w:val="0"/>
          <w:numId w:val="89"/>
        </w:numPr>
        <w:rPr>
          <w:rFonts w:ascii="Arial" w:cs="Arial" w:eastAsia="Arial" w:hAnsi="Arial"/>
          <w:sz w:val="14"/>
          <w:szCs w:val="14"/>
          <w:color w:val="auto"/>
        </w:rPr>
      </w:pPr>
      <w:r>
        <w:rPr>
          <w:rFonts w:ascii="Arial" w:cs="Arial" w:eastAsia="Arial" w:hAnsi="Arial"/>
          <w:sz w:val="14"/>
          <w:szCs w:val="14"/>
          <w:color w:val="auto"/>
        </w:rPr>
        <w:t>Management did not design and maintain effective information technology controls related to (a) user access controls to ensure appropriate segregation of duties and adequately restrict user and privileged access to financial applications, programs, and data to appropriate personnel, (b) computer operations controls to ensure that critical information is monitored, and data backups are authorized and monitored, (c) appropriate controls to evaluate automated controls, and (d) appropriate controls to validate the completeness and accuracy of key reports used within controls across substantially all financial statement areas.</w:t>
      </w:r>
    </w:p>
    <w:p>
      <w:pPr>
        <w:spacing w:after="0" w:line="137" w:lineRule="exact"/>
        <w:rPr>
          <w:sz w:val="20"/>
          <w:szCs w:val="20"/>
          <w:color w:val="auto"/>
        </w:rPr>
      </w:pPr>
    </w:p>
    <w:p>
      <w:pPr>
        <w:jc w:val="both"/>
        <w:ind w:left="5"/>
        <w:spacing w:after="0" w:line="258" w:lineRule="auto"/>
        <w:rPr>
          <w:sz w:val="20"/>
          <w:szCs w:val="20"/>
          <w:color w:val="auto"/>
        </w:rPr>
      </w:pPr>
      <w:r>
        <w:rPr>
          <w:rFonts w:ascii="Arial" w:cs="Arial" w:eastAsia="Arial" w:hAnsi="Arial"/>
          <w:sz w:val="16"/>
          <w:szCs w:val="16"/>
          <w:color w:val="auto"/>
        </w:rPr>
        <w:t>Although these material weaknesses did not result in any material misstatement of our consolidated financial statements as of and for the year ended December 31, 2022, there is a reasonable possibility that a material misstatement of our consolidated financial statements will not be prevented or detected on a timely basis. Accordingly, management has concluded that these control deficiencies constitute material weaknesses.</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Remediation Efforts</w:t>
      </w:r>
    </w:p>
    <w:p>
      <w:pPr>
        <w:spacing w:after="0" w:line="196" w:lineRule="exact"/>
        <w:rPr>
          <w:sz w:val="20"/>
          <w:szCs w:val="20"/>
          <w:color w:val="auto"/>
        </w:rPr>
      </w:pPr>
    </w:p>
    <w:p>
      <w:pPr>
        <w:jc w:val="both"/>
        <w:ind w:left="5" w:right="20"/>
        <w:spacing w:after="0" w:line="255" w:lineRule="auto"/>
        <w:rPr>
          <w:sz w:val="20"/>
          <w:szCs w:val="20"/>
          <w:color w:val="auto"/>
        </w:rPr>
      </w:pPr>
      <w:r>
        <w:rPr>
          <w:rFonts w:ascii="Arial" w:cs="Arial" w:eastAsia="Arial" w:hAnsi="Arial"/>
          <w:sz w:val="16"/>
          <w:szCs w:val="16"/>
          <w:color w:val="auto"/>
        </w:rPr>
        <w:t>We have begun the process of, and are focused on, designing and implementing effective internal control measures to improve our internal control over financial reporting and remediate the material weaknesses. Our internal control remediation efforts include the following:</w:t>
      </w:r>
    </w:p>
    <w:p>
      <w:pPr>
        <w:jc w:val="both"/>
        <w:ind w:left="565" w:right="20" w:hanging="280"/>
        <w:spacing w:after="0" w:line="264" w:lineRule="auto"/>
        <w:tabs>
          <w:tab w:leader="none" w:pos="565"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Continue engagement with an outside firm to assist management with (i) designing and maintaining effective risk assessment procedures and monitoring activities, (ii) reviewing our current processes, procedures, and systems and assessing the design of controls to identify opportunities to enhance the design of controls that would address relevant risks identified by management to assure the operating effectiveness of internal control over financial reporting, and (iii) enhancing and implementing protocols to retain sufficient documentary evidence of operating effectiveness of such controls.</w:t>
      </w:r>
    </w:p>
    <w:p>
      <w:pPr>
        <w:spacing w:after="0" w:line="1" w:lineRule="exact"/>
        <w:rPr>
          <w:rFonts w:ascii="Arial" w:cs="Arial" w:eastAsia="Arial" w:hAnsi="Arial"/>
          <w:sz w:val="15"/>
          <w:szCs w:val="15"/>
          <w:color w:val="auto"/>
        </w:rPr>
      </w:pPr>
    </w:p>
    <w:p>
      <w:pPr>
        <w:ind w:left="565" w:right="20" w:hanging="280"/>
        <w:spacing w:after="0" w:line="247" w:lineRule="auto"/>
        <w:tabs>
          <w:tab w:leader="none" w:pos="565"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Continue to recruit qualified individuals for key positions within our accounting and other support functions that will further enhance internal control capabilities, allow for appropriate segregation of duties, and provide appropriate oversight and reviews.</w:t>
      </w:r>
    </w:p>
    <w:p>
      <w:pPr>
        <w:spacing w:after="0" w:line="1" w:lineRule="exact"/>
        <w:rPr>
          <w:rFonts w:ascii="Arial" w:cs="Arial" w:eastAsia="Arial" w:hAnsi="Arial"/>
          <w:sz w:val="16"/>
          <w:szCs w:val="16"/>
          <w:color w:val="auto"/>
        </w:rPr>
      </w:pPr>
    </w:p>
    <w:p>
      <w:pPr>
        <w:ind w:left="565" w:right="20" w:hanging="280"/>
        <w:spacing w:after="0" w:line="247" w:lineRule="auto"/>
        <w:tabs>
          <w:tab w:leader="none" w:pos="565"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Complete the implementation of our new enterprise reporting software and other system integrations and establish effective general controls over these systems to ensure that our automated process level controls and information produced and maintained in our IT systems is relevant and reliable.</w:t>
      </w:r>
    </w:p>
    <w:p>
      <w:pPr>
        <w:spacing w:after="0" w:line="1" w:lineRule="exact"/>
        <w:rPr>
          <w:rFonts w:ascii="Arial" w:cs="Arial" w:eastAsia="Arial" w:hAnsi="Arial"/>
          <w:sz w:val="16"/>
          <w:szCs w:val="16"/>
          <w:color w:val="auto"/>
        </w:rPr>
      </w:pPr>
    </w:p>
    <w:p>
      <w:pPr>
        <w:jc w:val="both"/>
        <w:ind w:left="565" w:hanging="280"/>
        <w:spacing w:after="0" w:line="250" w:lineRule="auto"/>
        <w:tabs>
          <w:tab w:leader="none" w:pos="565"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Restrict and monitor user access controls to ensure appropriate segregation of duties and adequately restrict user and privileged access of applications, programs, and data to appropriate personnel, implement computer operations controls to ensure that critical information is monitored, and data backups are authorized and monitored, establish appropriate controls to evaluate automated controls, and design and monitor appropriate controls to validate the completeness and accuracy of key reports used within controls across substantially all financial statement areas.</w:t>
      </w:r>
    </w:p>
    <w:p>
      <w:pPr>
        <w:spacing w:after="0" w:line="172" w:lineRule="exact"/>
        <w:rPr>
          <w:sz w:val="20"/>
          <w:szCs w:val="20"/>
          <w:color w:val="auto"/>
        </w:rPr>
      </w:pPr>
    </w:p>
    <w:p>
      <w:pPr>
        <w:jc w:val="both"/>
        <w:ind w:left="5"/>
        <w:spacing w:after="0" w:line="277" w:lineRule="auto"/>
        <w:rPr>
          <w:sz w:val="20"/>
          <w:szCs w:val="20"/>
          <w:color w:val="auto"/>
        </w:rPr>
      </w:pPr>
      <w:r>
        <w:rPr>
          <w:rFonts w:ascii="Arial" w:cs="Arial" w:eastAsia="Arial" w:hAnsi="Arial"/>
          <w:sz w:val="15"/>
          <w:szCs w:val="15"/>
          <w:color w:val="auto"/>
        </w:rPr>
        <w:t>We are committed to ensuring that our internal controls over financial reporting are designed and operating effectively. Management believes the planned remediation will improve the effectiveness of our internal control over financial reporting. While these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Attestation Report of Independent Registered Public Accounting Firm</w:t>
      </w:r>
    </w:p>
    <w:p>
      <w:pPr>
        <w:spacing w:after="0" w:line="196"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6"/>
          <w:szCs w:val="16"/>
          <w:color w:val="auto"/>
        </w:rPr>
        <w:t>Armanino LLP, an independent registered public accounting firm, has issued an attestation report on our internal control over financial reporting, which is included herein under “Item 8. Financial Statements and Supplementary Data”.</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Changes in Internal Control over Financial Reporting and Remediation Efforts</w:t>
      </w:r>
    </w:p>
    <w:p>
      <w:pPr>
        <w:spacing w:after="0" w:line="196"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Other than the material weaknesses and the management remediation efforts described above, no changes were identified to our internal control over financial reporting during the year ended December 31, 2022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ectPr>
          <w:pgSz w:w="11900" w:h="16838" w:orient="portrait"/>
          <w:cols w:equalWidth="0" w:num="1">
            <w:col w:w="11265"/>
          </w:cols>
          <w:pgMar w:left="315" w:top="124" w:right="319" w:bottom="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1"/>
          <w:szCs w:val="1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43180</wp:posOffset>
            </wp:positionV>
            <wp:extent cx="714883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43" w:name="page144"/>
    <w:bookmarkEnd w:id="143"/>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5"/>
        <w:spacing w:after="0"/>
        <w:tabs>
          <w:tab w:leader="none" w:pos="845"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color w:val="auto"/>
        </w:rPr>
        <w:t>None.</w:t>
      </w:r>
    </w:p>
    <w:p>
      <w:pPr>
        <w:spacing w:after="0" w:line="19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00" w:lineRule="exact"/>
        <w:rPr>
          <w:sz w:val="20"/>
          <w:szCs w:val="20"/>
          <w:color w:val="auto"/>
        </w:rPr>
      </w:pPr>
    </w:p>
    <w:p>
      <w:pPr>
        <w:jc w:val="both"/>
        <w:ind w:left="5" w:firstLine="58"/>
        <w:spacing w:after="0" w:line="253" w:lineRule="auto"/>
        <w:tabs>
          <w:tab w:leader="none" w:pos="307" w:val="left"/>
        </w:tabs>
        <w:numPr>
          <w:ilvl w:val="1"/>
          <w:numId w:val="91"/>
        </w:numPr>
        <w:rPr>
          <w:rFonts w:ascii="Arial" w:cs="Arial" w:eastAsia="Arial" w:hAnsi="Arial"/>
          <w:sz w:val="16"/>
          <w:szCs w:val="16"/>
          <w:color w:val="auto"/>
        </w:rPr>
      </w:pPr>
      <w:r>
        <w:rPr>
          <w:rFonts w:ascii="Arial" w:cs="Arial" w:eastAsia="Arial" w:hAnsi="Arial"/>
          <w:sz w:val="16"/>
          <w:szCs w:val="16"/>
          <w:color w:val="auto"/>
        </w:rPr>
        <w:t>ACM Research was identified by the SEC pursuant to Section 104(i)(2)(A) of the Sarbanes-Oxley Act of 2002 (15 U.S.C. 7214(i)(2)(A)) as having retained, for the preparation of the audit report on its financial statements included in its Annual Report on Form 10-K for the year ended December 31, 2021, a registered public accounting firm that has a branch or office that is located in a foreign jurisdiction and that the PCAOB had then determined it was unable to inspect or investigate completely because of a position taken by an authority in the foreign jurisdiction, which determination was vacated by the PCAOB on December 15, 2022. ACM Research herein confirms that it is not owned or controlled by any governmental entity in such foreign jurisdiction.</w:t>
      </w:r>
    </w:p>
    <w:p>
      <w:pPr>
        <w:spacing w:after="0" w:line="170" w:lineRule="exact"/>
        <w:rPr>
          <w:rFonts w:ascii="Arial" w:cs="Arial" w:eastAsia="Arial" w:hAnsi="Arial"/>
          <w:sz w:val="16"/>
          <w:szCs w:val="16"/>
          <w:color w:val="auto"/>
        </w:rPr>
      </w:pPr>
    </w:p>
    <w:p>
      <w:pPr>
        <w:ind w:left="225" w:hanging="225"/>
        <w:spacing w:after="0"/>
        <w:tabs>
          <w:tab w:leader="none" w:pos="225"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35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2023 Annual Meeting of Stockholders to be filed with the SEC within 120 days after the end of the fiscal year covered by this report.</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2023 Annual Meeting of Stockholders to be filed with the SEC within 120 days after the end of the fiscal year covered by this report.</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2023 Annual Meeting of Stockholders to be filed with the SEC within 120 days after the end of the fiscal year covered by this report.</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2023 Annual Meeting of Stockholders to be filed with the SEC within 120 days after the end of the fiscal year covered by this report.</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2"/>
          <w:szCs w:val="12"/>
          <w:b w:val="1"/>
          <w:bCs w:val="1"/>
          <w:color w:val="auto"/>
        </w:rPr>
        <w:t>Principal Accounting Fees and Services</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2023 Annual Meeting of Stockholders to be filed with the SEC within 120 days after the end of the fiscal year covered by this report.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883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5" w:name="page146"/>
    <w:bookmarkEnd w:id="145"/>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PART IV</w:t>
      </w:r>
    </w:p>
    <w:p>
      <w:pPr>
        <w:spacing w:after="0" w:line="196" w:lineRule="exact"/>
        <w:rPr>
          <w:sz w:val="20"/>
          <w:szCs w:val="20"/>
          <w:color w:val="auto"/>
        </w:rPr>
      </w:pPr>
    </w:p>
    <w:p>
      <w:pPr>
        <w:ind w:left="5"/>
        <w:spacing w:after="0"/>
        <w:tabs>
          <w:tab w:leader="none" w:pos="845"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00" w:lineRule="exact"/>
        <w:rPr>
          <w:sz w:val="20"/>
          <w:szCs w:val="20"/>
          <w:color w:val="auto"/>
        </w:rPr>
      </w:pPr>
    </w:p>
    <w:p>
      <w:pPr>
        <w:ind w:left="405" w:hanging="405"/>
        <w:spacing w:after="0"/>
        <w:tabs>
          <w:tab w:leader="none" w:pos="4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See “Item 8. Financial Statements and Supplementary Data – Index to Consolidated Financial Statements” of Part II above and “Exhibit Index” below.</w:t>
      </w:r>
    </w:p>
    <w:p>
      <w:pPr>
        <w:spacing w:after="0" w:line="196" w:lineRule="exact"/>
        <w:rPr>
          <w:rFonts w:ascii="Arial" w:cs="Arial" w:eastAsia="Arial" w:hAnsi="Arial"/>
          <w:sz w:val="16"/>
          <w:szCs w:val="16"/>
          <w:color w:val="auto"/>
        </w:rPr>
      </w:pPr>
    </w:p>
    <w:p>
      <w:pPr>
        <w:ind w:left="425" w:hanging="425"/>
        <w:spacing w:after="0"/>
        <w:tabs>
          <w:tab w:leader="none" w:pos="4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Exhibits.</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1120" w:type="dxa"/>
            <w:vAlign w:val="bottom"/>
            <w:gridSpan w:val="8"/>
          </w:tcPr>
          <w:p>
            <w:pPr>
              <w:spacing w:after="0"/>
              <w:rPr>
                <w:sz w:val="20"/>
                <w:szCs w:val="20"/>
                <w:color w:val="auto"/>
              </w:rPr>
            </w:pPr>
            <w:r>
              <w:rPr>
                <w:rFonts w:ascii="Arial" w:cs="Arial" w:eastAsia="Arial" w:hAnsi="Arial"/>
                <w:sz w:val="16"/>
                <w:szCs w:val="16"/>
                <w:b w:val="1"/>
                <w:bCs w:val="1"/>
                <w:color w:val="auto"/>
              </w:rPr>
              <w:t>Exhibit</w:t>
            </w:r>
          </w:p>
        </w:tc>
        <w:tc>
          <w:tcPr>
            <w:tcW w:w="10140" w:type="dxa"/>
            <w:vAlign w:val="bottom"/>
          </w:tcPr>
          <w:p>
            <w:pPr>
              <w:spacing w:after="0"/>
              <w:rPr>
                <w:sz w:val="16"/>
                <w:szCs w:val="16"/>
                <w:color w:val="auto"/>
              </w:rPr>
            </w:pPr>
          </w:p>
        </w:tc>
      </w:tr>
      <w:tr>
        <w:trPr>
          <w:trHeight w:val="210"/>
        </w:trPr>
        <w:tc>
          <w:tcPr>
            <w:tcW w:w="1120" w:type="dxa"/>
            <w:vAlign w:val="bottom"/>
            <w:gridSpan w:val="8"/>
          </w:tcPr>
          <w:p>
            <w:pPr>
              <w:spacing w:after="0"/>
              <w:rPr>
                <w:sz w:val="20"/>
                <w:szCs w:val="20"/>
                <w:color w:val="auto"/>
              </w:rPr>
            </w:pPr>
            <w:r>
              <w:rPr>
                <w:rFonts w:ascii="Arial" w:cs="Arial" w:eastAsia="Arial" w:hAnsi="Arial"/>
                <w:sz w:val="16"/>
                <w:szCs w:val="16"/>
                <w:b w:val="1"/>
                <w:bCs w:val="1"/>
                <w:color w:val="auto"/>
              </w:rPr>
              <w:t>No.</w:t>
            </w:r>
          </w:p>
        </w:tc>
        <w:tc>
          <w:tcPr>
            <w:tcW w:w="10140" w:type="dxa"/>
            <w:vAlign w:val="bottom"/>
          </w:tcPr>
          <w:p>
            <w:pPr>
              <w:spacing w:after="0"/>
              <w:rPr>
                <w:sz w:val="20"/>
                <w:szCs w:val="20"/>
                <w:color w:val="auto"/>
              </w:rPr>
            </w:pPr>
            <w:r>
              <w:rPr>
                <w:rFonts w:ascii="Arial" w:cs="Arial" w:eastAsia="Arial" w:hAnsi="Arial"/>
                <w:sz w:val="16"/>
                <w:szCs w:val="16"/>
                <w:b w:val="1"/>
                <w:bCs w:val="1"/>
                <w:color w:val="auto"/>
              </w:rPr>
              <w:t>Description</w:t>
            </w:r>
          </w:p>
        </w:tc>
      </w:tr>
      <w:tr>
        <w:trPr>
          <w:trHeight w:val="154"/>
        </w:trPr>
        <w:tc>
          <w:tcPr>
            <w:tcW w:w="900" w:type="dxa"/>
            <w:vAlign w:val="bottom"/>
            <w:tcBorders>
              <w:top w:val="single" w:sz="8" w:color="auto"/>
            </w:tcBorders>
            <w:gridSpan w:val="7"/>
            <w:shd w:val="clear" w:color="auto" w:fill="CCEEFF"/>
          </w:tcPr>
          <w:p>
            <w:pPr>
              <w:spacing w:after="0" w:line="155" w:lineRule="exact"/>
              <w:rPr>
                <w:rFonts w:ascii="Arial" w:cs="Arial" w:eastAsia="Arial" w:hAnsi="Arial"/>
                <w:sz w:val="16"/>
                <w:szCs w:val="16"/>
                <w:color w:val="0000EE"/>
              </w:rPr>
            </w:pPr>
            <w:hyperlink r:id="rId154">
              <w:r>
                <w:rPr>
                  <w:rFonts w:ascii="Arial" w:cs="Arial" w:eastAsia="Arial" w:hAnsi="Arial"/>
                  <w:sz w:val="16"/>
                  <w:szCs w:val="16"/>
                  <w:color w:val="0000EE"/>
                </w:rPr>
                <w:t>3.</w:t>
              </w:r>
              <w:r>
                <w:rPr>
                  <w:rFonts w:ascii="Arial" w:cs="Arial" w:eastAsia="Arial" w:hAnsi="Arial"/>
                  <w:sz w:val="16"/>
                  <w:szCs w:val="16"/>
                  <w:u w:val="single" w:color="auto"/>
                  <w:color w:val="0000EE"/>
                </w:rPr>
                <w:t>01(a)</w:t>
              </w:r>
            </w:hyperlink>
          </w:p>
        </w:tc>
        <w:tc>
          <w:tcPr>
            <w:tcW w:w="22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w w:val="94"/>
              </w:rPr>
              <w:t>Restated Certificate of Incorporation of ACM Research, Inc. (incorporated herein by reference to Exhibit 3.01 to the Current Report on Form 8-K filed on</w:t>
            </w:r>
          </w:p>
        </w:tc>
      </w:tr>
      <w:tr>
        <w:trPr>
          <w:trHeight w:val="206"/>
        </w:trPr>
        <w:tc>
          <w:tcPr>
            <w:tcW w:w="2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November 14, 2017)</w:t>
            </w:r>
          </w:p>
        </w:tc>
      </w:tr>
      <w:tr>
        <w:trPr>
          <w:trHeight w:val="154"/>
        </w:trPr>
        <w:tc>
          <w:tcPr>
            <w:tcW w:w="1120" w:type="dxa"/>
            <w:vAlign w:val="bottom"/>
            <w:gridSpan w:val="8"/>
          </w:tcPr>
          <w:p>
            <w:pPr>
              <w:spacing w:after="0" w:line="155" w:lineRule="exact"/>
              <w:rPr>
                <w:rFonts w:ascii="Arial" w:cs="Arial" w:eastAsia="Arial" w:hAnsi="Arial"/>
                <w:sz w:val="16"/>
                <w:szCs w:val="16"/>
                <w:color w:val="0000EE"/>
              </w:rPr>
            </w:pPr>
            <w:hyperlink r:id="rId155">
              <w:r>
                <w:rPr>
                  <w:rFonts w:ascii="Arial" w:cs="Arial" w:eastAsia="Arial" w:hAnsi="Arial"/>
                  <w:sz w:val="16"/>
                  <w:szCs w:val="16"/>
                  <w:color w:val="0000EE"/>
                </w:rPr>
                <w:t>3.</w:t>
              </w:r>
              <w:r>
                <w:rPr>
                  <w:rFonts w:ascii="Arial" w:cs="Arial" w:eastAsia="Arial" w:hAnsi="Arial"/>
                  <w:sz w:val="16"/>
                  <w:szCs w:val="16"/>
                  <w:u w:val="single" w:color="auto"/>
                  <w:color w:val="0000EE"/>
                </w:rPr>
                <w:t>01(b)</w:t>
              </w:r>
            </w:hyperlink>
          </w:p>
        </w:tc>
        <w:tc>
          <w:tcPr>
            <w:tcW w:w="10140" w:type="dxa"/>
            <w:vAlign w:val="bottom"/>
          </w:tcPr>
          <w:p>
            <w:pPr>
              <w:spacing w:after="0" w:line="155" w:lineRule="exact"/>
              <w:rPr>
                <w:sz w:val="20"/>
                <w:szCs w:val="20"/>
                <w:color w:val="auto"/>
              </w:rPr>
            </w:pPr>
            <w:r>
              <w:rPr>
                <w:rFonts w:ascii="Arial" w:cs="Arial" w:eastAsia="Arial" w:hAnsi="Arial"/>
                <w:sz w:val="16"/>
                <w:szCs w:val="16"/>
                <w:color w:val="auto"/>
                <w:w w:val="93"/>
              </w:rPr>
              <w:t>Certificate of Amendment to Restated Certificate of Incorporation of ACM Research, Inc., dated July 13, 2021 (incorporated herein by reference to Exhibit</w:t>
            </w:r>
          </w:p>
        </w:tc>
      </w:tr>
      <w:tr>
        <w:trPr>
          <w:trHeight w:val="204"/>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3.01 to the Current Report filed on July 13, 2021)</w:t>
            </w:r>
          </w:p>
        </w:tc>
      </w:tr>
      <w:tr>
        <w:trPr>
          <w:trHeight w:val="172"/>
        </w:trPr>
        <w:tc>
          <w:tcPr>
            <w:tcW w:w="280" w:type="dxa"/>
            <w:vAlign w:val="bottom"/>
            <w:tcBorders>
              <w:bottom w:val="single" w:sz="8" w:color="0000EE"/>
            </w:tcBorders>
            <w:shd w:val="clear" w:color="auto" w:fill="CCEEFF"/>
          </w:tcPr>
          <w:p>
            <w:pPr>
              <w:spacing w:after="0" w:line="156" w:lineRule="exact"/>
              <w:rPr>
                <w:rFonts w:ascii="Arial" w:cs="Arial" w:eastAsia="Arial" w:hAnsi="Arial"/>
                <w:sz w:val="16"/>
                <w:szCs w:val="16"/>
                <w:color w:val="0000EE"/>
                <w:w w:val="83"/>
              </w:rPr>
            </w:pPr>
            <w:hyperlink r:id="rId156">
              <w:r>
                <w:rPr>
                  <w:rFonts w:ascii="Arial" w:cs="Arial" w:eastAsia="Arial" w:hAnsi="Arial"/>
                  <w:sz w:val="16"/>
                  <w:szCs w:val="16"/>
                  <w:color w:val="0000EE"/>
                  <w:w w:val="83"/>
                </w:rPr>
                <w:t>3.</w:t>
              </w:r>
              <w:r>
                <w:rPr>
                  <w:rFonts w:ascii="Arial" w:cs="Arial" w:eastAsia="Arial" w:hAnsi="Arial"/>
                  <w:sz w:val="16"/>
                  <w:szCs w:val="16"/>
                  <w:u w:val="single" w:color="auto"/>
                  <w:color w:val="0000EE"/>
                  <w:w w:val="83"/>
                </w:rPr>
                <w:t>02</w:t>
              </w:r>
            </w:hyperlink>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1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w w:val="93"/>
              </w:rPr>
              <w:t>Restated Bylaws of ACM Research, Inc. (incorporated herein by reference to Exhibit 3.02 to the Current Report on Form 8-K filed on November 14, 2017)</w:t>
            </w:r>
          </w:p>
        </w:tc>
      </w:tr>
      <w:tr>
        <w:trPr>
          <w:trHeight w:val="154"/>
        </w:trPr>
        <w:tc>
          <w:tcPr>
            <w:tcW w:w="360" w:type="dxa"/>
            <w:vAlign w:val="bottom"/>
            <w:gridSpan w:val="2"/>
          </w:tcPr>
          <w:p>
            <w:pPr>
              <w:spacing w:after="0" w:line="155" w:lineRule="exact"/>
              <w:rPr>
                <w:rFonts w:ascii="Arial" w:cs="Arial" w:eastAsia="Arial" w:hAnsi="Arial"/>
                <w:sz w:val="16"/>
                <w:szCs w:val="16"/>
                <w:color w:val="0000EE"/>
              </w:rPr>
            </w:pPr>
            <w:hyperlink r:id="rId157">
              <w:r>
                <w:rPr>
                  <w:rFonts w:ascii="Arial" w:cs="Arial" w:eastAsia="Arial" w:hAnsi="Arial"/>
                  <w:sz w:val="16"/>
                  <w:szCs w:val="16"/>
                  <w:color w:val="0000EE"/>
                </w:rPr>
                <w:t>4.</w:t>
              </w:r>
              <w:r>
                <w:rPr>
                  <w:rFonts w:ascii="Arial" w:cs="Arial" w:eastAsia="Arial" w:hAnsi="Arial"/>
                  <w:sz w:val="16"/>
                  <w:szCs w:val="16"/>
                  <w:u w:val="single" w:color="auto"/>
                  <w:color w:val="0000EE"/>
                </w:rPr>
                <w:t>01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40" w:type="dxa"/>
            <w:vAlign w:val="bottom"/>
          </w:tcPr>
          <w:p>
            <w:pPr>
              <w:spacing w:after="0" w:line="155" w:lineRule="exact"/>
              <w:rPr>
                <w:sz w:val="20"/>
                <w:szCs w:val="20"/>
                <w:color w:val="auto"/>
              </w:rPr>
            </w:pPr>
            <w:r>
              <w:rPr>
                <w:rFonts w:ascii="Arial" w:cs="Arial" w:eastAsia="Arial" w:hAnsi="Arial"/>
                <w:sz w:val="16"/>
                <w:szCs w:val="16"/>
                <w:color w:val="auto"/>
                <w:w w:val="94"/>
              </w:rPr>
              <w:t>Senior Secured Promissory Note dated March 30, 2018 issued by Shengxin (Shanghai) Management Consulting Limited Partnership to ACM Research</w:t>
            </w:r>
          </w:p>
        </w:tc>
      </w:tr>
      <w:tr>
        <w:trPr>
          <w:trHeight w:val="204"/>
        </w:trPr>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(Shanghai), Inc. (incorporated herein by reference to Exhibit 10.03 to the Quarterly Report on Form 10-Q filed on May 14, 2018)</w:t>
            </w:r>
          </w:p>
        </w:tc>
      </w:tr>
      <w:tr>
        <w:trPr>
          <w:trHeight w:val="156"/>
        </w:trPr>
        <w:tc>
          <w:tcPr>
            <w:tcW w:w="360" w:type="dxa"/>
            <w:vAlign w:val="bottom"/>
            <w:gridSpan w:val="2"/>
            <w:shd w:val="clear" w:color="auto" w:fill="CCEEFF"/>
          </w:tcPr>
          <w:p>
            <w:pPr>
              <w:spacing w:after="0" w:line="156" w:lineRule="exact"/>
              <w:rPr>
                <w:rFonts w:ascii="Arial" w:cs="Arial" w:eastAsia="Arial" w:hAnsi="Arial"/>
                <w:sz w:val="16"/>
                <w:szCs w:val="16"/>
                <w:color w:val="0000EE"/>
              </w:rPr>
            </w:pPr>
            <w:hyperlink r:id="rId158">
              <w:r>
                <w:rPr>
                  <w:rFonts w:ascii="Arial" w:cs="Arial" w:eastAsia="Arial" w:hAnsi="Arial"/>
                  <w:sz w:val="16"/>
                  <w:szCs w:val="16"/>
                  <w:color w:val="0000EE"/>
                </w:rPr>
                <w:t>4.</w:t>
              </w:r>
              <w:r>
                <w:rPr>
                  <w:rFonts w:ascii="Arial" w:cs="Arial" w:eastAsia="Arial" w:hAnsi="Arial"/>
                  <w:sz w:val="16"/>
                  <w:szCs w:val="16"/>
                  <w:u w:val="single" w:color="auto"/>
                  <w:color w:val="0000EE"/>
                </w:rPr>
                <w:t>02</w:t>
              </w:r>
            </w:hyperlink>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14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91"/>
              </w:rPr>
              <w:t>Intercompany Promissory Note dated March 30, 2018 issued by ACM Research (Shanghai), Inc. to ACM Research, Inc. (incorporated herein by reference to</w:t>
            </w:r>
          </w:p>
        </w:tc>
      </w:tr>
      <w:tr>
        <w:trPr>
          <w:trHeight w:val="206"/>
        </w:trPr>
        <w:tc>
          <w:tcPr>
            <w:tcW w:w="2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Exhibit 10.04 to the Quarterly Report on Form 10-Q filed on May 14, 2018)</w:t>
            </w:r>
          </w:p>
        </w:tc>
      </w:tr>
      <w:tr>
        <w:trPr>
          <w:trHeight w:val="154"/>
        </w:trPr>
        <w:tc>
          <w:tcPr>
            <w:tcW w:w="360" w:type="dxa"/>
            <w:vAlign w:val="bottom"/>
            <w:gridSpan w:val="2"/>
          </w:tcPr>
          <w:p>
            <w:pPr>
              <w:spacing w:after="0" w:line="155" w:lineRule="exact"/>
              <w:rPr>
                <w:rFonts w:ascii="Arial" w:cs="Arial" w:eastAsia="Arial" w:hAnsi="Arial"/>
                <w:sz w:val="16"/>
                <w:szCs w:val="16"/>
                <w:color w:val="0000EE"/>
              </w:rPr>
            </w:pPr>
            <w:hyperlink r:id="rId159">
              <w:r>
                <w:rPr>
                  <w:rFonts w:ascii="Arial" w:cs="Arial" w:eastAsia="Arial" w:hAnsi="Arial"/>
                  <w:sz w:val="16"/>
                  <w:szCs w:val="16"/>
                  <w:color w:val="0000EE"/>
                </w:rPr>
                <w:t>4.</w:t>
              </w:r>
              <w:r>
                <w:rPr>
                  <w:rFonts w:ascii="Arial" w:cs="Arial" w:eastAsia="Arial" w:hAnsi="Arial"/>
                  <w:sz w:val="16"/>
                  <w:szCs w:val="16"/>
                  <w:u w:val="single" w:color="auto"/>
                  <w:color w:val="0000EE"/>
                </w:rPr>
                <w:t>03</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40" w:type="dxa"/>
            <w:vAlign w:val="bottom"/>
          </w:tcPr>
          <w:p>
            <w:pPr>
              <w:spacing w:after="0" w:line="155" w:lineRule="exact"/>
              <w:rPr>
                <w:sz w:val="20"/>
                <w:szCs w:val="20"/>
                <w:color w:val="auto"/>
              </w:rPr>
            </w:pPr>
            <w:r>
              <w:rPr>
                <w:rFonts w:ascii="Arial" w:cs="Arial" w:eastAsia="Arial" w:hAnsi="Arial"/>
                <w:sz w:val="16"/>
                <w:szCs w:val="16"/>
                <w:color w:val="auto"/>
                <w:w w:val="97"/>
              </w:rPr>
              <w:t>Warrant Exercise Agreement dated March 30, 2018 by and among ACM Research, Inc., ACM Research (Shanghai), Inc., and Shengxin (Shanghai)</w:t>
            </w:r>
          </w:p>
        </w:tc>
      </w:tr>
      <w:tr>
        <w:trPr>
          <w:trHeight w:val="204"/>
        </w:trPr>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w w:val="91"/>
              </w:rPr>
              <w:t>Management Consulting Limited Partnership (incorporated herein by reference to Exhibit 10.02 to the Quarterly Report on Form 10-Q filed on May 14, 2018)</w:t>
            </w:r>
          </w:p>
        </w:tc>
      </w:tr>
      <w:tr>
        <w:trPr>
          <w:trHeight w:val="156"/>
        </w:trPr>
        <w:tc>
          <w:tcPr>
            <w:tcW w:w="1120" w:type="dxa"/>
            <w:vAlign w:val="bottom"/>
            <w:gridSpan w:val="8"/>
            <w:shd w:val="clear" w:color="auto" w:fill="CCEEFF"/>
          </w:tcPr>
          <w:p>
            <w:pPr>
              <w:spacing w:after="0" w:line="156" w:lineRule="exact"/>
              <w:rPr>
                <w:rFonts w:ascii="Arial" w:cs="Arial" w:eastAsia="Arial" w:hAnsi="Arial"/>
                <w:sz w:val="16"/>
                <w:szCs w:val="16"/>
                <w:color w:val="0000EE"/>
              </w:rPr>
            </w:pPr>
            <w:hyperlink r:id="rId160">
              <w:r>
                <w:rPr>
                  <w:rFonts w:ascii="Arial" w:cs="Arial" w:eastAsia="Arial" w:hAnsi="Arial"/>
                  <w:sz w:val="16"/>
                  <w:szCs w:val="16"/>
                  <w:color w:val="0000EE"/>
                </w:rPr>
                <w:t>4.</w:t>
              </w:r>
              <w:r>
                <w:rPr>
                  <w:rFonts w:ascii="Arial" w:cs="Arial" w:eastAsia="Arial" w:hAnsi="Arial"/>
                  <w:sz w:val="16"/>
                  <w:szCs w:val="16"/>
                  <w:u w:val="single" w:color="auto"/>
                  <w:color w:val="0000EE"/>
                </w:rPr>
                <w:t>04‡</w:t>
              </w:r>
            </w:hyperlink>
          </w:p>
        </w:tc>
        <w:tc>
          <w:tcPr>
            <w:tcW w:w="1014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91"/>
              </w:rPr>
              <w:t>Warrant to Purchase Class A Common Stock issued to Shengxin (Shanghai) Management Consulting Limited Partnership dated July 29, 2020 (incorporated</w:t>
            </w:r>
          </w:p>
        </w:tc>
      </w:tr>
      <w:tr>
        <w:trPr>
          <w:trHeight w:val="206"/>
        </w:trPr>
        <w:tc>
          <w:tcPr>
            <w:tcW w:w="2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herein by reference to Exhibit 4.01 to the Quarterly Report on Form 10-Q filed on August 10, 2020)</w:t>
            </w:r>
          </w:p>
        </w:tc>
      </w:tr>
      <w:tr>
        <w:trPr>
          <w:trHeight w:val="154"/>
        </w:trPr>
        <w:tc>
          <w:tcPr>
            <w:tcW w:w="28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color w:val="0000EE"/>
                <w:w w:val="83"/>
              </w:rPr>
              <w:t>4.</w:t>
            </w:r>
            <w:r>
              <w:rPr>
                <w:rFonts w:ascii="Arial" w:cs="Arial" w:eastAsia="Arial" w:hAnsi="Arial"/>
                <w:sz w:val="16"/>
                <w:szCs w:val="16"/>
                <w:u w:val="single" w:color="auto"/>
                <w:color w:val="0000EE"/>
                <w:w w:val="83"/>
              </w:rPr>
              <w:t>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40" w:type="dxa"/>
            <w:vAlign w:val="bottom"/>
          </w:tcPr>
          <w:p>
            <w:pPr>
              <w:spacing w:after="0" w:line="155" w:lineRule="exact"/>
              <w:rPr>
                <w:sz w:val="20"/>
                <w:szCs w:val="20"/>
                <w:color w:val="auto"/>
              </w:rPr>
            </w:pPr>
            <w:r>
              <w:rPr>
                <w:rFonts w:ascii="Arial" w:cs="Arial" w:eastAsia="Arial" w:hAnsi="Arial"/>
                <w:sz w:val="16"/>
                <w:szCs w:val="16"/>
                <w:color w:val="auto"/>
              </w:rPr>
              <w:t>Description of ACM Research, Inc.’s Securities</w:t>
            </w:r>
          </w:p>
        </w:tc>
      </w:tr>
      <w:tr>
        <w:trPr>
          <w:trHeight w:val="170"/>
        </w:trPr>
        <w:tc>
          <w:tcPr>
            <w:tcW w:w="1120" w:type="dxa"/>
            <w:vAlign w:val="bottom"/>
            <w:gridSpan w:val="8"/>
            <w:shd w:val="clear" w:color="auto" w:fill="CCEEFF"/>
          </w:tcPr>
          <w:p>
            <w:pPr>
              <w:spacing w:after="0" w:line="170" w:lineRule="exact"/>
              <w:rPr>
                <w:rFonts w:ascii="Arial" w:cs="Arial" w:eastAsia="Arial" w:hAnsi="Arial"/>
                <w:sz w:val="16"/>
                <w:szCs w:val="16"/>
                <w:color w:val="0000EE"/>
              </w:rPr>
            </w:pPr>
            <w:hyperlink r:id="rId161">
              <w:r>
                <w:rPr>
                  <w:rFonts w:ascii="Arial" w:cs="Arial" w:eastAsia="Arial" w:hAnsi="Arial"/>
                  <w:sz w:val="16"/>
                  <w:szCs w:val="16"/>
                  <w:color w:val="0000EE"/>
                </w:rPr>
                <w:t>10.</w:t>
              </w:r>
              <w:r>
                <w:rPr>
                  <w:rFonts w:ascii="Arial" w:cs="Arial" w:eastAsia="Arial" w:hAnsi="Arial"/>
                  <w:sz w:val="16"/>
                  <w:szCs w:val="16"/>
                  <w:u w:val="single" w:color="auto"/>
                  <w:color w:val="0000EE"/>
                </w:rPr>
                <w:t>01(a)</w:t>
              </w:r>
            </w:hyperlink>
          </w:p>
        </w:tc>
        <w:tc>
          <w:tcPr>
            <w:tcW w:w="1014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w w:val="91"/>
              </w:rPr>
              <w:t>Lease dated March 22, 2017 between ACM Research, Inc. and D&amp;J Construction, Inc. (incorporated herein by reference to Exhibit 10.01 to the Registration</w:t>
            </w:r>
          </w:p>
        </w:tc>
      </w:tr>
      <w:tr>
        <w:trPr>
          <w:trHeight w:val="206"/>
        </w:trPr>
        <w:tc>
          <w:tcPr>
            <w:tcW w:w="2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Statement on Form S-1 filed on September 13, 2017)</w:t>
            </w:r>
          </w:p>
        </w:tc>
      </w:tr>
      <w:tr>
        <w:trPr>
          <w:trHeight w:val="154"/>
        </w:trPr>
        <w:tc>
          <w:tcPr>
            <w:tcW w:w="1120" w:type="dxa"/>
            <w:vAlign w:val="bottom"/>
            <w:gridSpan w:val="8"/>
          </w:tcPr>
          <w:p>
            <w:pPr>
              <w:spacing w:after="0" w:line="155" w:lineRule="exact"/>
              <w:rPr>
                <w:rFonts w:ascii="Arial" w:cs="Arial" w:eastAsia="Arial" w:hAnsi="Arial"/>
                <w:sz w:val="16"/>
                <w:szCs w:val="16"/>
                <w:color w:val="0000EE"/>
              </w:rPr>
            </w:pPr>
            <w:hyperlink r:id="rId162">
              <w:r>
                <w:rPr>
                  <w:rFonts w:ascii="Arial" w:cs="Arial" w:eastAsia="Arial" w:hAnsi="Arial"/>
                  <w:sz w:val="16"/>
                  <w:szCs w:val="16"/>
                  <w:color w:val="0000EE"/>
                </w:rPr>
                <w:t>10.</w:t>
              </w:r>
              <w:r>
                <w:rPr>
                  <w:rFonts w:ascii="Arial" w:cs="Arial" w:eastAsia="Arial" w:hAnsi="Arial"/>
                  <w:sz w:val="16"/>
                  <w:szCs w:val="16"/>
                  <w:u w:val="single" w:color="auto"/>
                  <w:color w:val="0000EE"/>
                </w:rPr>
                <w:t>01(b)</w:t>
              </w:r>
            </w:hyperlink>
          </w:p>
        </w:tc>
        <w:tc>
          <w:tcPr>
            <w:tcW w:w="10140" w:type="dxa"/>
            <w:vAlign w:val="bottom"/>
          </w:tcPr>
          <w:p>
            <w:pPr>
              <w:spacing w:after="0" w:line="155" w:lineRule="exact"/>
              <w:rPr>
                <w:sz w:val="20"/>
                <w:szCs w:val="20"/>
                <w:color w:val="auto"/>
              </w:rPr>
            </w:pPr>
            <w:r>
              <w:rPr>
                <w:rFonts w:ascii="Arial" w:cs="Arial" w:eastAsia="Arial" w:hAnsi="Arial"/>
                <w:sz w:val="16"/>
                <w:szCs w:val="16"/>
                <w:color w:val="auto"/>
                <w:w w:val="90"/>
              </w:rPr>
              <w:t>Lease Amendment dated February 28, 2018 between ACM Research, Inc. and D&amp;J Construction, Inc. (incorporated herein by reference to Exhibit 10.06 to the</w:t>
            </w:r>
          </w:p>
        </w:tc>
      </w:tr>
      <w:tr>
        <w:trPr>
          <w:trHeight w:val="204"/>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Amended Quarterly Report on Form 10-Q/A filed on October 15, 2018)</w:t>
            </w:r>
          </w:p>
        </w:tc>
      </w:tr>
      <w:tr>
        <w:trPr>
          <w:trHeight w:val="156"/>
        </w:trPr>
        <w:tc>
          <w:tcPr>
            <w:tcW w:w="1120" w:type="dxa"/>
            <w:vAlign w:val="bottom"/>
            <w:gridSpan w:val="8"/>
            <w:shd w:val="clear" w:color="auto" w:fill="CCEEFF"/>
          </w:tcPr>
          <w:p>
            <w:pPr>
              <w:spacing w:after="0" w:line="156" w:lineRule="exact"/>
              <w:rPr>
                <w:rFonts w:ascii="Arial" w:cs="Arial" w:eastAsia="Arial" w:hAnsi="Arial"/>
                <w:sz w:val="16"/>
                <w:szCs w:val="16"/>
                <w:color w:val="0000EE"/>
              </w:rPr>
            </w:pPr>
            <w:hyperlink r:id="rId163">
              <w:r>
                <w:rPr>
                  <w:rFonts w:ascii="Arial" w:cs="Arial" w:eastAsia="Arial" w:hAnsi="Arial"/>
                  <w:sz w:val="16"/>
                  <w:szCs w:val="16"/>
                  <w:color w:val="0000EE"/>
                </w:rPr>
                <w:t>10.</w:t>
              </w:r>
              <w:r>
                <w:rPr>
                  <w:rFonts w:ascii="Arial" w:cs="Arial" w:eastAsia="Arial" w:hAnsi="Arial"/>
                  <w:sz w:val="16"/>
                  <w:szCs w:val="16"/>
                  <w:u w:val="single" w:color="auto"/>
                  <w:color w:val="0000EE"/>
                </w:rPr>
                <w:t>01(c)</w:t>
              </w:r>
            </w:hyperlink>
          </w:p>
        </w:tc>
        <w:tc>
          <w:tcPr>
            <w:tcW w:w="1014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91"/>
              </w:rPr>
              <w:t>Lease Amendment dated February 4, 2019 between ACM Research, Inc. and D&amp;J Construction, Inc. (incorporated herein by reference to Exhibit 10.1 to the</w:t>
            </w:r>
          </w:p>
        </w:tc>
      </w:tr>
      <w:tr>
        <w:trPr>
          <w:trHeight w:val="206"/>
        </w:trPr>
        <w:tc>
          <w:tcPr>
            <w:tcW w:w="2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Report on Form 8-K filed on February 8, 2019)</w:t>
            </w:r>
          </w:p>
        </w:tc>
      </w:tr>
      <w:tr>
        <w:trPr>
          <w:trHeight w:val="154"/>
        </w:trPr>
        <w:tc>
          <w:tcPr>
            <w:tcW w:w="1120" w:type="dxa"/>
            <w:vAlign w:val="bottom"/>
            <w:gridSpan w:val="8"/>
          </w:tcPr>
          <w:p>
            <w:pPr>
              <w:spacing w:after="0" w:line="155" w:lineRule="exact"/>
              <w:rPr>
                <w:rFonts w:ascii="Arial" w:cs="Arial" w:eastAsia="Arial" w:hAnsi="Arial"/>
                <w:sz w:val="16"/>
                <w:szCs w:val="16"/>
                <w:color w:val="0000EE"/>
              </w:rPr>
            </w:pPr>
            <w:hyperlink r:id="rId164">
              <w:r>
                <w:rPr>
                  <w:rFonts w:ascii="Arial" w:cs="Arial" w:eastAsia="Arial" w:hAnsi="Arial"/>
                  <w:sz w:val="16"/>
                  <w:szCs w:val="16"/>
                  <w:color w:val="0000EE"/>
                </w:rPr>
                <w:t>10.</w:t>
              </w:r>
              <w:r>
                <w:rPr>
                  <w:rFonts w:ascii="Arial" w:cs="Arial" w:eastAsia="Arial" w:hAnsi="Arial"/>
                  <w:sz w:val="16"/>
                  <w:szCs w:val="16"/>
                  <w:u w:val="single" w:color="auto"/>
                  <w:color w:val="0000EE"/>
                </w:rPr>
                <w:t>01(d)</w:t>
              </w:r>
            </w:hyperlink>
          </w:p>
        </w:tc>
        <w:tc>
          <w:tcPr>
            <w:tcW w:w="10140" w:type="dxa"/>
            <w:vAlign w:val="bottom"/>
          </w:tcPr>
          <w:p>
            <w:pPr>
              <w:spacing w:after="0" w:line="155" w:lineRule="exact"/>
              <w:rPr>
                <w:sz w:val="20"/>
                <w:szCs w:val="20"/>
                <w:color w:val="auto"/>
              </w:rPr>
            </w:pPr>
            <w:r>
              <w:rPr>
                <w:rFonts w:ascii="Arial" w:cs="Arial" w:eastAsia="Arial" w:hAnsi="Arial"/>
                <w:sz w:val="16"/>
                <w:szCs w:val="16"/>
                <w:color w:val="auto"/>
                <w:w w:val="89"/>
              </w:rPr>
              <w:t>Lease Amendment dated January 4, 2021 between ACM Research, Inc. and D&amp;J Construction, Inc. (incorporated herein by reference to Exhibit 10.01(d) to the</w:t>
            </w:r>
          </w:p>
        </w:tc>
      </w:tr>
      <w:tr>
        <w:trPr>
          <w:trHeight w:val="204"/>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Annual Report on Form 10-K filed on March 1, 2022)</w:t>
            </w:r>
          </w:p>
        </w:tc>
      </w:tr>
      <w:tr>
        <w:trPr>
          <w:trHeight w:val="156"/>
        </w:trPr>
        <w:tc>
          <w:tcPr>
            <w:tcW w:w="440" w:type="dxa"/>
            <w:vAlign w:val="bottom"/>
            <w:gridSpan w:val="3"/>
            <w:shd w:val="clear" w:color="auto" w:fill="CCEEFF"/>
          </w:tcPr>
          <w:p>
            <w:pPr>
              <w:spacing w:after="0" w:line="156" w:lineRule="exact"/>
              <w:rPr>
                <w:rFonts w:ascii="Arial" w:cs="Arial" w:eastAsia="Arial" w:hAnsi="Arial"/>
                <w:sz w:val="16"/>
                <w:szCs w:val="16"/>
                <w:color w:val="0000EE"/>
              </w:rPr>
            </w:pPr>
            <w:hyperlink r:id="rId165">
              <w:r>
                <w:rPr>
                  <w:rFonts w:ascii="Arial" w:cs="Arial" w:eastAsia="Arial" w:hAnsi="Arial"/>
                  <w:sz w:val="16"/>
                  <w:szCs w:val="16"/>
                  <w:color w:val="0000EE"/>
                </w:rPr>
                <w:t>10.</w:t>
              </w:r>
              <w:r>
                <w:rPr>
                  <w:rFonts w:ascii="Arial" w:cs="Arial" w:eastAsia="Arial" w:hAnsi="Arial"/>
                  <w:sz w:val="16"/>
                  <w:szCs w:val="16"/>
                  <w:u w:val="single" w:color="auto"/>
                  <w:color w:val="0000EE"/>
                </w:rPr>
                <w:t>02</w:t>
              </w:r>
            </w:hyperlink>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14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89"/>
              </w:rPr>
              <w:t>Lease Agreement dated April 26, 2018 between ACM Research (Shanghai), Inc. and Shanghai Zhangjiang Group Co., Ltd. (incorporated herein by reference to</w:t>
            </w:r>
          </w:p>
        </w:tc>
      </w:tr>
      <w:tr>
        <w:trPr>
          <w:trHeight w:val="206"/>
        </w:trPr>
        <w:tc>
          <w:tcPr>
            <w:tcW w:w="2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Exhibit 10.01 to the Amended Quarterly Report on Form 10-Q/A filed on October 15, 2018)</w:t>
            </w:r>
          </w:p>
        </w:tc>
      </w:tr>
      <w:tr>
        <w:trPr>
          <w:trHeight w:val="154"/>
        </w:trPr>
        <w:tc>
          <w:tcPr>
            <w:tcW w:w="440" w:type="dxa"/>
            <w:vAlign w:val="bottom"/>
            <w:gridSpan w:val="3"/>
          </w:tcPr>
          <w:p>
            <w:pPr>
              <w:spacing w:after="0" w:line="155" w:lineRule="exact"/>
              <w:rPr>
                <w:rFonts w:ascii="Arial" w:cs="Arial" w:eastAsia="Arial" w:hAnsi="Arial"/>
                <w:sz w:val="16"/>
                <w:szCs w:val="16"/>
                <w:color w:val="0000EE"/>
              </w:rPr>
            </w:pPr>
            <w:hyperlink r:id="rId166">
              <w:r>
                <w:rPr>
                  <w:rFonts w:ascii="Arial" w:cs="Arial" w:eastAsia="Arial" w:hAnsi="Arial"/>
                  <w:sz w:val="16"/>
                  <w:szCs w:val="16"/>
                  <w:color w:val="0000EE"/>
                </w:rPr>
                <w:t>10.</w:t>
              </w:r>
              <w:r>
                <w:rPr>
                  <w:rFonts w:ascii="Arial" w:cs="Arial" w:eastAsia="Arial" w:hAnsi="Arial"/>
                  <w:sz w:val="16"/>
                  <w:szCs w:val="16"/>
                  <w:u w:val="single" w:color="auto"/>
                  <w:color w:val="0000EE"/>
                </w:rPr>
                <w:t>03</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40" w:type="dxa"/>
            <w:vAlign w:val="bottom"/>
          </w:tcPr>
          <w:p>
            <w:pPr>
              <w:spacing w:after="0" w:line="155" w:lineRule="exact"/>
              <w:rPr>
                <w:sz w:val="20"/>
                <w:szCs w:val="20"/>
                <w:color w:val="auto"/>
              </w:rPr>
            </w:pPr>
            <w:r>
              <w:rPr>
                <w:rFonts w:ascii="Arial" w:cs="Arial" w:eastAsia="Arial" w:hAnsi="Arial"/>
                <w:sz w:val="16"/>
                <w:szCs w:val="16"/>
                <w:color w:val="auto"/>
                <w:w w:val="89"/>
              </w:rPr>
              <w:t>Lease Agreement dated January 18, 2018 between ACM Research (Shanghai), Inc. and Shanghai Shengyu Culture Development Co., Ltd. (incorporated herein</w:t>
            </w:r>
          </w:p>
        </w:tc>
      </w:tr>
      <w:tr>
        <w:trPr>
          <w:trHeight w:val="204"/>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by reference to Exhibit 10.05 to the Amended Quarterly Report on Form 10-Q/A filed on October 15, 2018)</w:t>
            </w:r>
          </w:p>
        </w:tc>
      </w:tr>
      <w:tr>
        <w:trPr>
          <w:trHeight w:val="156"/>
        </w:trPr>
        <w:tc>
          <w:tcPr>
            <w:tcW w:w="440" w:type="dxa"/>
            <w:vAlign w:val="bottom"/>
            <w:gridSpan w:val="3"/>
            <w:shd w:val="clear" w:color="auto" w:fill="CCEEFF"/>
          </w:tcPr>
          <w:p>
            <w:pPr>
              <w:spacing w:after="0" w:line="156" w:lineRule="exact"/>
              <w:rPr>
                <w:rFonts w:ascii="Arial" w:cs="Arial" w:eastAsia="Arial" w:hAnsi="Arial"/>
                <w:sz w:val="16"/>
                <w:szCs w:val="16"/>
                <w:color w:val="0000EE"/>
              </w:rPr>
            </w:pPr>
            <w:hyperlink r:id="rId167">
              <w:r>
                <w:rPr>
                  <w:rFonts w:ascii="Arial" w:cs="Arial" w:eastAsia="Arial" w:hAnsi="Arial"/>
                  <w:sz w:val="16"/>
                  <w:szCs w:val="16"/>
                  <w:color w:val="0000EE"/>
                </w:rPr>
                <w:t>10.</w:t>
              </w:r>
              <w:r>
                <w:rPr>
                  <w:rFonts w:ascii="Arial" w:cs="Arial" w:eastAsia="Arial" w:hAnsi="Arial"/>
                  <w:sz w:val="16"/>
                  <w:szCs w:val="16"/>
                  <w:u w:val="single" w:color="auto"/>
                  <w:color w:val="0000EE"/>
                </w:rPr>
                <w:t>04</w:t>
              </w:r>
            </w:hyperlink>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14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90"/>
              </w:rPr>
              <w:t>Securities Purchase Agreement dated March 14, 2017 by and among ACM Research, Inc., Shengxin (Shanghai) Management Consulting Limited Partnership</w:t>
            </w:r>
          </w:p>
        </w:tc>
      </w:tr>
      <w:tr>
        <w:trPr>
          <w:trHeight w:val="206"/>
        </w:trPr>
        <w:tc>
          <w:tcPr>
            <w:tcW w:w="2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and ACM Research (Shanghai), Inc. (incorporated herein by reference to Exhibit 10.03 to the Registration Statement on Form S-1 filed on September 13, 2017)</w:t>
            </w:r>
          </w:p>
        </w:tc>
      </w:tr>
      <w:tr>
        <w:trPr>
          <w:trHeight w:val="154"/>
        </w:trPr>
        <w:tc>
          <w:tcPr>
            <w:tcW w:w="440" w:type="dxa"/>
            <w:vAlign w:val="bottom"/>
            <w:gridSpan w:val="3"/>
          </w:tcPr>
          <w:p>
            <w:pPr>
              <w:spacing w:after="0" w:line="155" w:lineRule="exact"/>
              <w:rPr>
                <w:rFonts w:ascii="Arial" w:cs="Arial" w:eastAsia="Arial" w:hAnsi="Arial"/>
                <w:sz w:val="16"/>
                <w:szCs w:val="16"/>
                <w:color w:val="0000EE"/>
              </w:rPr>
            </w:pPr>
            <w:hyperlink r:id="rId168">
              <w:r>
                <w:rPr>
                  <w:rFonts w:ascii="Arial" w:cs="Arial" w:eastAsia="Arial" w:hAnsi="Arial"/>
                  <w:sz w:val="16"/>
                  <w:szCs w:val="16"/>
                  <w:color w:val="0000EE"/>
                </w:rPr>
                <w:t>10.</w:t>
              </w:r>
              <w:r>
                <w:rPr>
                  <w:rFonts w:ascii="Arial" w:cs="Arial" w:eastAsia="Arial" w:hAnsi="Arial"/>
                  <w:sz w:val="16"/>
                  <w:szCs w:val="16"/>
                  <w:u w:val="single" w:color="auto"/>
                  <w:color w:val="0000EE"/>
                </w:rPr>
                <w:t>05</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40" w:type="dxa"/>
            <w:vAlign w:val="bottom"/>
          </w:tcPr>
          <w:p>
            <w:pPr>
              <w:spacing w:after="0" w:line="155" w:lineRule="exact"/>
              <w:rPr>
                <w:sz w:val="20"/>
                <w:szCs w:val="20"/>
                <w:color w:val="auto"/>
              </w:rPr>
            </w:pPr>
            <w:r>
              <w:rPr>
                <w:rFonts w:ascii="Arial" w:cs="Arial" w:eastAsia="Arial" w:hAnsi="Arial"/>
                <w:sz w:val="16"/>
                <w:szCs w:val="16"/>
                <w:color w:val="auto"/>
                <w:w w:val="93"/>
              </w:rPr>
              <w:t>Securities Purchase Agreement dated March 23, 2017 between ACM Research, Inc. and Shanghai Science and Technology Venture Capital Co., Ltd., as</w:t>
            </w:r>
          </w:p>
        </w:tc>
      </w:tr>
      <w:tr>
        <w:trPr>
          <w:trHeight w:val="204"/>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amended (incorporated herein by reference to Exhibit 10.04 to the Amended Registration Statement on Form S-1/A filed on October 18, 2017)</w:t>
            </w:r>
          </w:p>
        </w:tc>
      </w:tr>
      <w:tr>
        <w:trPr>
          <w:trHeight w:val="503"/>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tcPr>
          <w:p>
            <w:pPr>
              <w:ind w:left="4400"/>
              <w:spacing w:after="0"/>
              <w:rPr>
                <w:sz w:val="20"/>
                <w:szCs w:val="20"/>
                <w:color w:val="auto"/>
              </w:rPr>
            </w:pPr>
            <w:r>
              <w:rPr>
                <w:rFonts w:ascii="Arial" w:cs="Arial" w:eastAsia="Arial" w:hAnsi="Arial"/>
                <w:sz w:val="13"/>
                <w:szCs w:val="13"/>
                <w:color w:val="auto"/>
              </w:rPr>
              <w:t>144</w:t>
            </w:r>
          </w:p>
        </w:tc>
      </w:tr>
      <w:tr>
        <w:trPr>
          <w:trHeight w:val="37"/>
        </w:trPr>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140" w:type="dxa"/>
            <w:vAlign w:val="bottom"/>
            <w:tcBorders>
              <w:bottom w:val="single" w:sz="8" w:color="auto"/>
            </w:tcBorders>
          </w:tcPr>
          <w:p>
            <w:pPr>
              <w:spacing w:after="0"/>
              <w:rPr>
                <w:sz w:val="3"/>
                <w:szCs w:val="3"/>
                <w:color w:val="auto"/>
              </w:rPr>
            </w:pPr>
          </w:p>
        </w:tc>
      </w:tr>
    </w:tbl>
    <w:p>
      <w:pPr>
        <w:sectPr>
          <w:pgSz w:w="11900" w:h="16838" w:orient="portrait"/>
          <w:cols w:equalWidth="0" w:num="1">
            <w:col w:w="11265"/>
          </w:cols>
          <w:pgMar w:left="315" w:top="124" w:right="31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gridSpan w:val="2"/>
            <w:shd w:val="clear" w:color="auto" w:fill="CCEEFF"/>
          </w:tcPr>
          <w:p>
            <w:pPr>
              <w:spacing w:after="0"/>
              <w:rPr>
                <w:rFonts w:ascii="Arial" w:cs="Arial" w:eastAsia="Arial" w:hAnsi="Arial"/>
                <w:sz w:val="16"/>
                <w:szCs w:val="16"/>
                <w:color w:val="0000EE"/>
              </w:rPr>
            </w:pPr>
            <w:hyperlink r:id="rId169">
              <w:r>
                <w:rPr>
                  <w:rFonts w:ascii="Arial" w:cs="Arial" w:eastAsia="Arial" w:hAnsi="Arial"/>
                  <w:sz w:val="16"/>
                  <w:szCs w:val="16"/>
                  <w:color w:val="0000EE"/>
                </w:rPr>
                <w:t>10.</w:t>
              </w:r>
              <w:r>
                <w:rPr>
                  <w:rFonts w:ascii="Arial" w:cs="Arial" w:eastAsia="Arial" w:hAnsi="Arial"/>
                  <w:sz w:val="16"/>
                  <w:szCs w:val="16"/>
                  <w:u w:val="single" w:color="auto"/>
                  <w:color w:val="0000EE"/>
                </w:rPr>
                <w:t>06</w:t>
              </w:r>
            </w:hyperlink>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9"/>
              </w:rPr>
              <w:t>Ordinary Share Purchase Agreement dated September 6, 2017 by and among ACM Research, Inc., Ninebell Co., Ltd. and Moon-Soo Choi (incorporated herein</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by reference to Exhibit 10.07 to the Amended Registration Statement on Form S-1/A filed on October 18, 2017)</w:t>
            </w:r>
          </w:p>
        </w:tc>
      </w:tr>
      <w:tr>
        <w:trPr>
          <w:trHeight w:val="154"/>
        </w:trPr>
        <w:tc>
          <w:tcPr>
            <w:tcW w:w="440" w:type="dxa"/>
            <w:vAlign w:val="bottom"/>
            <w:gridSpan w:val="2"/>
          </w:tcPr>
          <w:p>
            <w:pPr>
              <w:spacing w:after="0" w:line="155" w:lineRule="exact"/>
              <w:rPr>
                <w:rFonts w:ascii="Arial" w:cs="Arial" w:eastAsia="Arial" w:hAnsi="Arial"/>
                <w:sz w:val="16"/>
                <w:szCs w:val="16"/>
                <w:color w:val="0000EE"/>
              </w:rPr>
            </w:pPr>
            <w:hyperlink r:id="rId170">
              <w:r>
                <w:rPr>
                  <w:rFonts w:ascii="Arial" w:cs="Arial" w:eastAsia="Arial" w:hAnsi="Arial"/>
                  <w:sz w:val="16"/>
                  <w:szCs w:val="16"/>
                  <w:color w:val="0000EE"/>
                </w:rPr>
                <w:t>10.</w:t>
              </w:r>
              <w:r>
                <w:rPr>
                  <w:rFonts w:ascii="Arial" w:cs="Arial" w:eastAsia="Arial" w:hAnsi="Arial"/>
                  <w:sz w:val="16"/>
                  <w:szCs w:val="16"/>
                  <w:u w:val="single" w:color="auto"/>
                  <w:color w:val="0000EE"/>
                </w:rPr>
                <w:t>07</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1"/>
              </w:rPr>
              <w:t>Stock Purchase Agreement, dated October 11, 2017, by and among ACM Research, Inc., Xinxin (Shanghai) Capital Co., Limited, Xinxin (Hongkong) Capital</w:t>
            </w:r>
          </w:p>
        </w:tc>
      </w:tr>
      <w:tr>
        <w:trPr>
          <w:trHeight w:val="193"/>
        </w:trPr>
        <w:tc>
          <w:tcPr>
            <w:tcW w:w="3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w w:val="92"/>
              </w:rPr>
              <w:t>Co., Limited and David H. Wang (incorporated herein by reference to Exhibit 10.10 to the Amended Registration Statement on Form S-1/A filed on October</w:t>
            </w:r>
          </w:p>
        </w:tc>
      </w:tr>
      <w:tr>
        <w:trPr>
          <w:trHeight w:val="201"/>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18, 2017)</w:t>
            </w:r>
          </w:p>
        </w:tc>
      </w:tr>
      <w:tr>
        <w:trPr>
          <w:trHeight w:val="156"/>
        </w:trPr>
        <w:tc>
          <w:tcPr>
            <w:tcW w:w="440" w:type="dxa"/>
            <w:vAlign w:val="bottom"/>
            <w:gridSpan w:val="2"/>
            <w:shd w:val="clear" w:color="auto" w:fill="CCEEFF"/>
          </w:tcPr>
          <w:p>
            <w:pPr>
              <w:spacing w:after="0" w:line="156" w:lineRule="exact"/>
              <w:rPr>
                <w:rFonts w:ascii="Arial" w:cs="Arial" w:eastAsia="Arial" w:hAnsi="Arial"/>
                <w:sz w:val="16"/>
                <w:szCs w:val="16"/>
                <w:color w:val="0000EE"/>
              </w:rPr>
            </w:pPr>
            <w:hyperlink r:id="rId171">
              <w:r>
                <w:rPr>
                  <w:rFonts w:ascii="Arial" w:cs="Arial" w:eastAsia="Arial" w:hAnsi="Arial"/>
                  <w:sz w:val="16"/>
                  <w:szCs w:val="16"/>
                  <w:color w:val="0000EE"/>
                </w:rPr>
                <w:t>10.</w:t>
              </w:r>
              <w:r>
                <w:rPr>
                  <w:rFonts w:ascii="Arial" w:cs="Arial" w:eastAsia="Arial" w:hAnsi="Arial"/>
                  <w:sz w:val="16"/>
                  <w:szCs w:val="16"/>
                  <w:u w:val="single" w:color="auto"/>
                  <w:color w:val="0000EE"/>
                </w:rPr>
                <w:t>08</w:t>
              </w:r>
            </w:hyperlink>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0" w:type="dxa"/>
            <w:vAlign w:val="bottom"/>
            <w:shd w:val="clear" w:color="auto" w:fill="CCEEFF"/>
          </w:tcPr>
          <w:p>
            <w:pPr>
              <w:ind w:left="260"/>
              <w:spacing w:after="0" w:line="156" w:lineRule="exact"/>
              <w:rPr>
                <w:sz w:val="20"/>
                <w:szCs w:val="20"/>
                <w:color w:val="auto"/>
              </w:rPr>
            </w:pPr>
            <w:r>
              <w:rPr>
                <w:rFonts w:ascii="Arial" w:cs="Arial" w:eastAsia="Arial" w:hAnsi="Arial"/>
                <w:sz w:val="16"/>
                <w:szCs w:val="16"/>
                <w:color w:val="auto"/>
                <w:w w:val="92"/>
              </w:rPr>
              <w:t>Form of Capital Increase Agreement between ACM Research, Inc. and certain investors (incorporated herein by reference to Exhibit 10.01 to the Quarterly</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Report on Form 10-Q filed on August 12, 2019)</w:t>
            </w:r>
          </w:p>
        </w:tc>
      </w:tr>
      <w:tr>
        <w:trPr>
          <w:trHeight w:val="154"/>
        </w:trPr>
        <w:tc>
          <w:tcPr>
            <w:tcW w:w="860" w:type="dxa"/>
            <w:vAlign w:val="bottom"/>
            <w:gridSpan w:val="5"/>
          </w:tcPr>
          <w:p>
            <w:pPr>
              <w:spacing w:after="0" w:line="155" w:lineRule="exact"/>
              <w:rPr>
                <w:rFonts w:ascii="Arial" w:cs="Arial" w:eastAsia="Arial" w:hAnsi="Arial"/>
                <w:sz w:val="16"/>
                <w:szCs w:val="16"/>
                <w:color w:val="0000EE"/>
              </w:rPr>
            </w:pPr>
            <w:hyperlink r:id="rId172">
              <w:r>
                <w:rPr>
                  <w:rFonts w:ascii="Arial" w:cs="Arial" w:eastAsia="Arial" w:hAnsi="Arial"/>
                  <w:sz w:val="16"/>
                  <w:szCs w:val="16"/>
                  <w:color w:val="0000EE"/>
                </w:rPr>
                <w:t>10.</w:t>
              </w:r>
              <w:r>
                <w:rPr>
                  <w:rFonts w:ascii="Arial" w:cs="Arial" w:eastAsia="Arial" w:hAnsi="Arial"/>
                  <w:sz w:val="16"/>
                  <w:szCs w:val="16"/>
                  <w:u w:val="single" w:color="auto"/>
                  <w:color w:val="0000EE"/>
                </w:rPr>
                <w:t>08(a)</w:t>
              </w:r>
            </w:hyperlink>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5"/>
              </w:rPr>
              <w:t>Schedule identifying agreements substantially identical to the form of Capital Increase Agreement filed as Exhibit 10.12 hereto (incorporated herein by</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reference to Exhibit 10.01(a) to the Quarterly Report on Form 10-Q filed on August 12, 2019)</w:t>
            </w:r>
          </w:p>
        </w:tc>
      </w:tr>
      <w:tr>
        <w:trPr>
          <w:trHeight w:val="156"/>
        </w:trPr>
        <w:tc>
          <w:tcPr>
            <w:tcW w:w="440" w:type="dxa"/>
            <w:vAlign w:val="bottom"/>
            <w:gridSpan w:val="2"/>
            <w:shd w:val="clear" w:color="auto" w:fill="CCEEFF"/>
          </w:tcPr>
          <w:p>
            <w:pPr>
              <w:spacing w:after="0" w:line="156" w:lineRule="exact"/>
              <w:rPr>
                <w:rFonts w:ascii="Arial" w:cs="Arial" w:eastAsia="Arial" w:hAnsi="Arial"/>
                <w:sz w:val="16"/>
                <w:szCs w:val="16"/>
                <w:color w:val="0000EE"/>
              </w:rPr>
            </w:pPr>
            <w:hyperlink r:id="rId173">
              <w:r>
                <w:rPr>
                  <w:rFonts w:ascii="Arial" w:cs="Arial" w:eastAsia="Arial" w:hAnsi="Arial"/>
                  <w:sz w:val="16"/>
                  <w:szCs w:val="16"/>
                  <w:color w:val="0000EE"/>
                </w:rPr>
                <w:t>10.</w:t>
              </w:r>
              <w:r>
                <w:rPr>
                  <w:rFonts w:ascii="Arial" w:cs="Arial" w:eastAsia="Arial" w:hAnsi="Arial"/>
                  <w:sz w:val="16"/>
                  <w:szCs w:val="16"/>
                  <w:u w:val="single" w:color="auto"/>
                  <w:color w:val="0000EE"/>
                </w:rPr>
                <w:t>09</w:t>
              </w:r>
            </w:hyperlink>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0" w:type="dxa"/>
            <w:vAlign w:val="bottom"/>
            <w:shd w:val="clear" w:color="auto" w:fill="CCEEFF"/>
          </w:tcPr>
          <w:p>
            <w:pPr>
              <w:ind w:left="260"/>
              <w:spacing w:after="0" w:line="156" w:lineRule="exact"/>
              <w:rPr>
                <w:sz w:val="20"/>
                <w:szCs w:val="20"/>
                <w:color w:val="auto"/>
              </w:rPr>
            </w:pPr>
            <w:r>
              <w:rPr>
                <w:rFonts w:ascii="Arial" w:cs="Arial" w:eastAsia="Arial" w:hAnsi="Arial"/>
                <w:sz w:val="16"/>
                <w:szCs w:val="16"/>
                <w:color w:val="auto"/>
                <w:w w:val="90"/>
              </w:rPr>
              <w:t>Form of Agreement between ACM Research, Inc. and certain Investors (incorporated herein by reference to Exhibit 10.02 to the Quarterly Report on Form 10-</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Q filed on August 12, 2019)</w:t>
            </w:r>
          </w:p>
        </w:tc>
      </w:tr>
      <w:tr>
        <w:trPr>
          <w:trHeight w:val="154"/>
        </w:trPr>
        <w:tc>
          <w:tcPr>
            <w:tcW w:w="860" w:type="dxa"/>
            <w:vAlign w:val="bottom"/>
            <w:gridSpan w:val="5"/>
          </w:tcPr>
          <w:p>
            <w:pPr>
              <w:spacing w:after="0" w:line="155" w:lineRule="exact"/>
              <w:rPr>
                <w:rFonts w:ascii="Arial" w:cs="Arial" w:eastAsia="Arial" w:hAnsi="Arial"/>
                <w:sz w:val="16"/>
                <w:szCs w:val="16"/>
                <w:color w:val="0000EE"/>
              </w:rPr>
            </w:pPr>
            <w:hyperlink r:id="rId174">
              <w:r>
                <w:rPr>
                  <w:rFonts w:ascii="Arial" w:cs="Arial" w:eastAsia="Arial" w:hAnsi="Arial"/>
                  <w:sz w:val="16"/>
                  <w:szCs w:val="16"/>
                  <w:color w:val="0000EE"/>
                </w:rPr>
                <w:t>10.</w:t>
              </w:r>
              <w:r>
                <w:rPr>
                  <w:rFonts w:ascii="Arial" w:cs="Arial" w:eastAsia="Arial" w:hAnsi="Arial"/>
                  <w:sz w:val="16"/>
                  <w:szCs w:val="16"/>
                  <w:u w:val="single" w:color="auto"/>
                  <w:color w:val="0000EE"/>
                </w:rPr>
                <w:t>09(a)</w:t>
              </w:r>
            </w:hyperlink>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3"/>
              </w:rPr>
              <w:t>Schedule identifying agreements substantially identical to the form of Agreement filed as Exhibit 10.13 hereto (incorporated herein by reference to Exhibit</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10.02(a) to the Quarterly Report on Form 10-Q filed on August 12, 2019)</w:t>
            </w:r>
          </w:p>
        </w:tc>
      </w:tr>
      <w:tr>
        <w:trPr>
          <w:trHeight w:val="156"/>
        </w:trPr>
        <w:tc>
          <w:tcPr>
            <w:tcW w:w="440" w:type="dxa"/>
            <w:vAlign w:val="bottom"/>
            <w:gridSpan w:val="2"/>
            <w:shd w:val="clear" w:color="auto" w:fill="CCEEFF"/>
          </w:tcPr>
          <w:p>
            <w:pPr>
              <w:spacing w:after="0" w:line="156" w:lineRule="exact"/>
              <w:rPr>
                <w:rFonts w:ascii="Arial" w:cs="Arial" w:eastAsia="Arial" w:hAnsi="Arial"/>
                <w:sz w:val="16"/>
                <w:szCs w:val="16"/>
                <w:color w:val="0000EE"/>
              </w:rPr>
            </w:pPr>
            <w:hyperlink r:id="rId175">
              <w:r>
                <w:rPr>
                  <w:rFonts w:ascii="Arial" w:cs="Arial" w:eastAsia="Arial" w:hAnsi="Arial"/>
                  <w:sz w:val="16"/>
                  <w:szCs w:val="16"/>
                  <w:color w:val="0000EE"/>
                </w:rPr>
                <w:t>10.</w:t>
              </w:r>
              <w:r>
                <w:rPr>
                  <w:rFonts w:ascii="Arial" w:cs="Arial" w:eastAsia="Arial" w:hAnsi="Arial"/>
                  <w:sz w:val="16"/>
                  <w:szCs w:val="16"/>
                  <w:u w:val="single" w:color="auto"/>
                  <w:color w:val="0000EE"/>
                </w:rPr>
                <w:t>10</w:t>
              </w:r>
            </w:hyperlink>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0" w:type="dxa"/>
            <w:vAlign w:val="bottom"/>
            <w:shd w:val="clear" w:color="auto" w:fill="CCEEFF"/>
          </w:tcPr>
          <w:p>
            <w:pPr>
              <w:ind w:left="260"/>
              <w:spacing w:after="0" w:line="156" w:lineRule="exact"/>
              <w:rPr>
                <w:sz w:val="20"/>
                <w:szCs w:val="20"/>
                <w:color w:val="auto"/>
              </w:rPr>
            </w:pPr>
            <w:r>
              <w:rPr>
                <w:rFonts w:ascii="Arial" w:cs="Arial" w:eastAsia="Arial" w:hAnsi="Arial"/>
                <w:sz w:val="16"/>
                <w:szCs w:val="16"/>
                <w:color w:val="auto"/>
                <w:w w:val="92"/>
              </w:rPr>
              <w:t>Partnership Agreement of Hefei Shixi Chanheng Integrated Circuit Industry Venture Capital Fund Partnership (LP) dated September 5, 2019 by and among</w:t>
            </w:r>
          </w:p>
        </w:tc>
      </w:tr>
      <w:tr>
        <w:trPr>
          <w:trHeight w:val="193"/>
        </w:trPr>
        <w:tc>
          <w:tcPr>
            <w:tcW w:w="3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w w:val="98"/>
              </w:rPr>
              <w:t>Infotech National Emerging Industry Venture Investment Guidance Fund (LP), Hefei Guozheng Asset Management Co, Ltd., Hefei Economic and</w:t>
            </w:r>
          </w:p>
        </w:tc>
      </w:tr>
      <w:tr>
        <w:trPr>
          <w:trHeight w:val="190"/>
        </w:trPr>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7"/>
              </w:rPr>
              <w:t>Technological Development Zone Industrial Investment Guidance Fund Co., Ltd., ACM Research (Shanghai), Inc., Hefei Tongyi Equity Investment</w:t>
            </w:r>
          </w:p>
        </w:tc>
      </w:tr>
      <w:tr>
        <w:trPr>
          <w:trHeight w:val="190"/>
        </w:trPr>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Partnership (LP), Shenzen Waitan Technology Development Co., Ltd., and Beijing Shixi Qingliu Investment Co., Ltd. (incorporated herein by reference to</w:t>
            </w:r>
          </w:p>
        </w:tc>
      </w:tr>
      <w:tr>
        <w:trPr>
          <w:trHeight w:val="203"/>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Exhibit 10.03 to the Quarterly Report on Form 10-Q filed on November 13, 2019)</w:t>
            </w:r>
          </w:p>
        </w:tc>
      </w:tr>
      <w:tr>
        <w:trPr>
          <w:trHeight w:val="154"/>
        </w:trPr>
        <w:tc>
          <w:tcPr>
            <w:tcW w:w="440" w:type="dxa"/>
            <w:vAlign w:val="bottom"/>
            <w:tcBorders>
              <w:bottom w:val="single" w:sz="8" w:color="0000EE"/>
            </w:tcBorders>
            <w:gridSpan w:val="2"/>
          </w:tcPr>
          <w:p>
            <w:pPr>
              <w:spacing w:after="0" w:line="155" w:lineRule="exact"/>
              <w:rPr>
                <w:rFonts w:ascii="Arial" w:cs="Arial" w:eastAsia="Arial" w:hAnsi="Arial"/>
                <w:sz w:val="16"/>
                <w:szCs w:val="16"/>
                <w:color w:val="0000EE"/>
                <w:w w:val="84"/>
              </w:rPr>
            </w:pPr>
            <w:hyperlink r:id="rId176">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11+</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5"/>
              </w:rPr>
              <w:t>2016 Omnibus Incentive Plan of ACM Research, Inc. (incorporated herein by reference to Exhibit 10.01 to the Quarterly Report on Form 10-Q filed on</w:t>
            </w:r>
          </w:p>
        </w:tc>
      </w:tr>
      <w:tr>
        <w:trPr>
          <w:trHeight w:val="204"/>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December 8, 2017)</w:t>
            </w:r>
          </w:p>
        </w:tc>
      </w:tr>
      <w:tr>
        <w:trPr>
          <w:trHeight w:val="156"/>
        </w:trPr>
        <w:tc>
          <w:tcPr>
            <w:tcW w:w="860" w:type="dxa"/>
            <w:vAlign w:val="bottom"/>
            <w:gridSpan w:val="5"/>
            <w:shd w:val="clear" w:color="auto" w:fill="CCEEFF"/>
          </w:tcPr>
          <w:p>
            <w:pPr>
              <w:spacing w:after="0" w:line="156" w:lineRule="exact"/>
              <w:rPr>
                <w:rFonts w:ascii="Arial" w:cs="Arial" w:eastAsia="Arial" w:hAnsi="Arial"/>
                <w:sz w:val="16"/>
                <w:szCs w:val="16"/>
                <w:color w:val="0000EE"/>
              </w:rPr>
            </w:pPr>
            <w:hyperlink r:id="rId177">
              <w:r>
                <w:rPr>
                  <w:rFonts w:ascii="Arial" w:cs="Arial" w:eastAsia="Arial" w:hAnsi="Arial"/>
                  <w:sz w:val="16"/>
                  <w:szCs w:val="16"/>
                  <w:color w:val="0000EE"/>
                </w:rPr>
                <w:t>10.</w:t>
              </w:r>
              <w:r>
                <w:rPr>
                  <w:rFonts w:ascii="Arial" w:cs="Arial" w:eastAsia="Arial" w:hAnsi="Arial"/>
                  <w:sz w:val="16"/>
                  <w:szCs w:val="16"/>
                  <w:u w:val="single" w:color="auto"/>
                  <w:color w:val="0000EE"/>
                </w:rPr>
                <w:t>11(a)+</w:t>
              </w:r>
            </w:hyperlink>
          </w:p>
        </w:tc>
        <w:tc>
          <w:tcPr>
            <w:tcW w:w="10400" w:type="dxa"/>
            <w:vAlign w:val="bottom"/>
            <w:shd w:val="clear" w:color="auto" w:fill="CCEEFF"/>
          </w:tcPr>
          <w:p>
            <w:pPr>
              <w:ind w:left="260"/>
              <w:spacing w:after="0" w:line="156" w:lineRule="exact"/>
              <w:rPr>
                <w:sz w:val="20"/>
                <w:szCs w:val="20"/>
                <w:color w:val="auto"/>
              </w:rPr>
            </w:pPr>
            <w:r>
              <w:rPr>
                <w:rFonts w:ascii="Arial" w:cs="Arial" w:eastAsia="Arial" w:hAnsi="Arial"/>
                <w:sz w:val="16"/>
                <w:szCs w:val="16"/>
                <w:color w:val="auto"/>
                <w:w w:val="91"/>
              </w:rPr>
              <w:t>Form of Incentive Stock Option Grant Notice and Agreement under 2016 Omnibus Incentive Plan (incorporated herein by reference to Exhibit 10.10(a) to the</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Registration Statement on Form S-1 filed on September 13, 2017)</w:t>
            </w:r>
          </w:p>
        </w:tc>
      </w:tr>
      <w:tr>
        <w:trPr>
          <w:trHeight w:val="154"/>
        </w:trPr>
        <w:tc>
          <w:tcPr>
            <w:tcW w:w="860" w:type="dxa"/>
            <w:vAlign w:val="bottom"/>
            <w:gridSpan w:val="5"/>
          </w:tcPr>
          <w:p>
            <w:pPr>
              <w:spacing w:after="0" w:line="155" w:lineRule="exact"/>
              <w:rPr>
                <w:rFonts w:ascii="Arial" w:cs="Arial" w:eastAsia="Arial" w:hAnsi="Arial"/>
                <w:sz w:val="16"/>
                <w:szCs w:val="16"/>
                <w:color w:val="0000EE"/>
              </w:rPr>
            </w:pPr>
            <w:hyperlink r:id="rId178">
              <w:r>
                <w:rPr>
                  <w:rFonts w:ascii="Arial" w:cs="Arial" w:eastAsia="Arial" w:hAnsi="Arial"/>
                  <w:sz w:val="16"/>
                  <w:szCs w:val="16"/>
                  <w:color w:val="0000EE"/>
                </w:rPr>
                <w:t>10.</w:t>
              </w:r>
              <w:r>
                <w:rPr>
                  <w:rFonts w:ascii="Arial" w:cs="Arial" w:eastAsia="Arial" w:hAnsi="Arial"/>
                  <w:sz w:val="16"/>
                  <w:szCs w:val="16"/>
                  <w:u w:val="single" w:color="auto"/>
                  <w:color w:val="0000EE"/>
                </w:rPr>
                <w:t>11(b)+</w:t>
              </w:r>
            </w:hyperlink>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1"/>
              </w:rPr>
              <w:t>Form of Non-qualified Stock Option Grant Notice and Agreement under 2016 Omnibus Incentive Plan (incorporated herein by reference to Exhibit 10.10(b) to</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the Registration Statement on Form S-1 filed on September 13, 2017)</w:t>
            </w:r>
          </w:p>
        </w:tc>
      </w:tr>
      <w:tr>
        <w:trPr>
          <w:trHeight w:val="156"/>
        </w:trPr>
        <w:tc>
          <w:tcPr>
            <w:tcW w:w="860" w:type="dxa"/>
            <w:vAlign w:val="bottom"/>
            <w:gridSpan w:val="5"/>
            <w:shd w:val="clear" w:color="auto" w:fill="CCEEFF"/>
          </w:tcPr>
          <w:p>
            <w:pPr>
              <w:spacing w:after="0" w:line="156" w:lineRule="exact"/>
              <w:rPr>
                <w:rFonts w:ascii="Arial" w:cs="Arial" w:eastAsia="Arial" w:hAnsi="Arial"/>
                <w:sz w:val="16"/>
                <w:szCs w:val="16"/>
                <w:color w:val="0000EE"/>
              </w:rPr>
            </w:pPr>
            <w:hyperlink r:id="rId179">
              <w:r>
                <w:rPr>
                  <w:rFonts w:ascii="Arial" w:cs="Arial" w:eastAsia="Arial" w:hAnsi="Arial"/>
                  <w:sz w:val="16"/>
                  <w:szCs w:val="16"/>
                  <w:color w:val="0000EE"/>
                </w:rPr>
                <w:t>10.</w:t>
              </w:r>
              <w:r>
                <w:rPr>
                  <w:rFonts w:ascii="Arial" w:cs="Arial" w:eastAsia="Arial" w:hAnsi="Arial"/>
                  <w:sz w:val="16"/>
                  <w:szCs w:val="16"/>
                  <w:u w:val="single" w:color="auto"/>
                  <w:color w:val="0000EE"/>
                </w:rPr>
                <w:t>11(c)+</w:t>
              </w:r>
            </w:hyperlink>
          </w:p>
        </w:tc>
        <w:tc>
          <w:tcPr>
            <w:tcW w:w="10400" w:type="dxa"/>
            <w:vAlign w:val="bottom"/>
            <w:shd w:val="clear" w:color="auto" w:fill="CCEEFF"/>
          </w:tcPr>
          <w:p>
            <w:pPr>
              <w:ind w:left="260"/>
              <w:spacing w:after="0" w:line="156" w:lineRule="exact"/>
              <w:rPr>
                <w:sz w:val="20"/>
                <w:szCs w:val="20"/>
                <w:color w:val="auto"/>
              </w:rPr>
            </w:pPr>
            <w:r>
              <w:rPr>
                <w:rFonts w:ascii="Arial" w:cs="Arial" w:eastAsia="Arial" w:hAnsi="Arial"/>
                <w:sz w:val="16"/>
                <w:szCs w:val="16"/>
                <w:color w:val="auto"/>
                <w:w w:val="92"/>
              </w:rPr>
              <w:t>Form of Restricted Stock Unit Grant Notice and Agreement under 2016 Omnibus Incentive Plan (incorporated herein by reference to Exhibit 10.10(c) to the</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Registration Statement on Form S-1 filed on September 13, 2017)</w:t>
            </w:r>
          </w:p>
        </w:tc>
      </w:tr>
      <w:tr>
        <w:trPr>
          <w:trHeight w:val="154"/>
        </w:trPr>
        <w:tc>
          <w:tcPr>
            <w:tcW w:w="520" w:type="dxa"/>
            <w:vAlign w:val="bottom"/>
            <w:gridSpan w:val="3"/>
          </w:tcPr>
          <w:p>
            <w:pPr>
              <w:spacing w:after="0" w:line="155" w:lineRule="exact"/>
              <w:rPr>
                <w:rFonts w:ascii="Arial" w:cs="Arial" w:eastAsia="Arial" w:hAnsi="Arial"/>
                <w:sz w:val="16"/>
                <w:szCs w:val="16"/>
                <w:color w:val="0000EE"/>
              </w:rPr>
            </w:pPr>
            <w:hyperlink r:id="rId180">
              <w:r>
                <w:rPr>
                  <w:rFonts w:ascii="Arial" w:cs="Arial" w:eastAsia="Arial" w:hAnsi="Arial"/>
                  <w:sz w:val="16"/>
                  <w:szCs w:val="16"/>
                  <w:color w:val="0000EE"/>
                </w:rPr>
                <w:t>10.</w:t>
              </w:r>
              <w:r>
                <w:rPr>
                  <w:rFonts w:ascii="Arial" w:cs="Arial" w:eastAsia="Arial" w:hAnsi="Arial"/>
                  <w:sz w:val="16"/>
                  <w:szCs w:val="16"/>
                  <w:u w:val="single" w:color="auto"/>
                  <w:color w:val="0000EE"/>
                </w:rPr>
                <w:t>12+</w:t>
              </w:r>
            </w:hyperlink>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3"/>
              </w:rPr>
              <w:t>Form of Nonstatutory Stock Option Agreement of ACM Research, Inc. (incorporated herein by reference to Exhibit 10.11 to the Registration Statement on</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Form S-1 filed on September 13, 2017)</w:t>
            </w:r>
          </w:p>
        </w:tc>
      </w:tr>
      <w:tr>
        <w:trPr>
          <w:trHeight w:val="156"/>
        </w:trPr>
        <w:tc>
          <w:tcPr>
            <w:tcW w:w="520" w:type="dxa"/>
            <w:vAlign w:val="bottom"/>
            <w:gridSpan w:val="3"/>
            <w:shd w:val="clear" w:color="auto" w:fill="CCEEFF"/>
          </w:tcPr>
          <w:p>
            <w:pPr>
              <w:spacing w:after="0" w:line="156" w:lineRule="exact"/>
              <w:rPr>
                <w:rFonts w:ascii="Arial" w:cs="Arial" w:eastAsia="Arial" w:hAnsi="Arial"/>
                <w:sz w:val="16"/>
                <w:szCs w:val="16"/>
                <w:color w:val="0000EE"/>
              </w:rPr>
            </w:pPr>
            <w:hyperlink r:id="rId181">
              <w:r>
                <w:rPr>
                  <w:rFonts w:ascii="Arial" w:cs="Arial" w:eastAsia="Arial" w:hAnsi="Arial"/>
                  <w:sz w:val="16"/>
                  <w:szCs w:val="16"/>
                  <w:color w:val="0000EE"/>
                </w:rPr>
                <w:t>10.</w:t>
              </w:r>
              <w:r>
                <w:rPr>
                  <w:rFonts w:ascii="Arial" w:cs="Arial" w:eastAsia="Arial" w:hAnsi="Arial"/>
                  <w:sz w:val="16"/>
                  <w:szCs w:val="16"/>
                  <w:u w:val="single" w:color="auto"/>
                  <w:color w:val="0000EE"/>
                </w:rPr>
                <w:t>13+</w:t>
              </w:r>
            </w:hyperlink>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0" w:type="dxa"/>
            <w:vAlign w:val="bottom"/>
            <w:shd w:val="clear" w:color="auto" w:fill="CCEEFF"/>
          </w:tcPr>
          <w:p>
            <w:pPr>
              <w:ind w:left="260"/>
              <w:spacing w:after="0" w:line="156" w:lineRule="exact"/>
              <w:rPr>
                <w:sz w:val="20"/>
                <w:szCs w:val="20"/>
                <w:color w:val="auto"/>
              </w:rPr>
            </w:pPr>
            <w:r>
              <w:rPr>
                <w:rFonts w:ascii="Arial" w:cs="Arial" w:eastAsia="Arial" w:hAnsi="Arial"/>
                <w:sz w:val="16"/>
                <w:szCs w:val="16"/>
                <w:color w:val="auto"/>
                <w:w w:val="96"/>
              </w:rPr>
              <w:t>1998 Stock Option Plan of ACM Research, Inc. (incorporated herein by reference to Exhibit 10.12 to the Registration Statement on Form S-1 filed on</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September 13, 2017)</w:t>
            </w:r>
          </w:p>
        </w:tc>
      </w:tr>
      <w:tr>
        <w:trPr>
          <w:trHeight w:val="154"/>
        </w:trPr>
        <w:tc>
          <w:tcPr>
            <w:tcW w:w="860" w:type="dxa"/>
            <w:vAlign w:val="bottom"/>
            <w:gridSpan w:val="5"/>
          </w:tcPr>
          <w:p>
            <w:pPr>
              <w:spacing w:after="0" w:line="155" w:lineRule="exact"/>
              <w:rPr>
                <w:rFonts w:ascii="Arial" w:cs="Arial" w:eastAsia="Arial" w:hAnsi="Arial"/>
                <w:sz w:val="16"/>
                <w:szCs w:val="16"/>
                <w:color w:val="0000EE"/>
              </w:rPr>
            </w:pPr>
            <w:hyperlink r:id="rId182">
              <w:r>
                <w:rPr>
                  <w:rFonts w:ascii="Arial" w:cs="Arial" w:eastAsia="Arial" w:hAnsi="Arial"/>
                  <w:sz w:val="16"/>
                  <w:szCs w:val="16"/>
                  <w:color w:val="0000EE"/>
                </w:rPr>
                <w:t>10.</w:t>
              </w:r>
              <w:r>
                <w:rPr>
                  <w:rFonts w:ascii="Arial" w:cs="Arial" w:eastAsia="Arial" w:hAnsi="Arial"/>
                  <w:sz w:val="16"/>
                  <w:szCs w:val="16"/>
                  <w:u w:val="single" w:color="auto"/>
                  <w:color w:val="0000EE"/>
                </w:rPr>
                <w:t>13(a)+</w:t>
              </w:r>
            </w:hyperlink>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1"/>
              </w:rPr>
              <w:t>Form of Incentive Stock Option Agreement under 1998 Stock Option Plan (incorporated herein by reference to Exhibit 10.12(a) to the Registration Statement</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on Form S-1 filed on September 13, 2017)</w:t>
            </w:r>
          </w:p>
        </w:tc>
      </w:tr>
      <w:tr>
        <w:trPr>
          <w:trHeight w:val="156"/>
        </w:trPr>
        <w:tc>
          <w:tcPr>
            <w:tcW w:w="860" w:type="dxa"/>
            <w:vAlign w:val="bottom"/>
            <w:gridSpan w:val="5"/>
            <w:shd w:val="clear" w:color="auto" w:fill="CCEEFF"/>
          </w:tcPr>
          <w:p>
            <w:pPr>
              <w:spacing w:after="0" w:line="156" w:lineRule="exact"/>
              <w:rPr>
                <w:rFonts w:ascii="Arial" w:cs="Arial" w:eastAsia="Arial" w:hAnsi="Arial"/>
                <w:sz w:val="16"/>
                <w:szCs w:val="16"/>
                <w:color w:val="0000EE"/>
              </w:rPr>
            </w:pPr>
            <w:hyperlink r:id="rId183">
              <w:r>
                <w:rPr>
                  <w:rFonts w:ascii="Arial" w:cs="Arial" w:eastAsia="Arial" w:hAnsi="Arial"/>
                  <w:sz w:val="16"/>
                  <w:szCs w:val="16"/>
                  <w:color w:val="0000EE"/>
                </w:rPr>
                <w:t>10.</w:t>
              </w:r>
              <w:r>
                <w:rPr>
                  <w:rFonts w:ascii="Arial" w:cs="Arial" w:eastAsia="Arial" w:hAnsi="Arial"/>
                  <w:sz w:val="16"/>
                  <w:szCs w:val="16"/>
                  <w:u w:val="single" w:color="auto"/>
                  <w:color w:val="0000EE"/>
                </w:rPr>
                <w:t>13(b)+</w:t>
              </w:r>
            </w:hyperlink>
          </w:p>
        </w:tc>
        <w:tc>
          <w:tcPr>
            <w:tcW w:w="10400" w:type="dxa"/>
            <w:vAlign w:val="bottom"/>
            <w:shd w:val="clear" w:color="auto" w:fill="CCEEFF"/>
          </w:tcPr>
          <w:p>
            <w:pPr>
              <w:ind w:left="260"/>
              <w:spacing w:after="0" w:line="156" w:lineRule="exact"/>
              <w:rPr>
                <w:sz w:val="20"/>
                <w:szCs w:val="20"/>
                <w:color w:val="auto"/>
              </w:rPr>
            </w:pPr>
            <w:r>
              <w:rPr>
                <w:rFonts w:ascii="Arial" w:cs="Arial" w:eastAsia="Arial" w:hAnsi="Arial"/>
                <w:sz w:val="16"/>
                <w:szCs w:val="16"/>
                <w:color w:val="auto"/>
                <w:w w:val="94"/>
              </w:rPr>
              <w:t>Form of Non-statutory Stock Option Agreement under 1998 Stock Option Plan  (incorporated herein by reference to Exhibit 10.12(b) to the Registration</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Statement on Form S-1 filed on September 13, 2017)</w:t>
            </w:r>
          </w:p>
        </w:tc>
      </w:tr>
      <w:tr>
        <w:trPr>
          <w:trHeight w:val="154"/>
        </w:trPr>
        <w:tc>
          <w:tcPr>
            <w:tcW w:w="440" w:type="dxa"/>
            <w:vAlign w:val="bottom"/>
            <w:gridSpan w:val="2"/>
          </w:tcPr>
          <w:p>
            <w:pPr>
              <w:spacing w:after="0" w:line="155" w:lineRule="exact"/>
              <w:rPr>
                <w:rFonts w:ascii="Arial" w:cs="Arial" w:eastAsia="Arial" w:hAnsi="Arial"/>
                <w:sz w:val="16"/>
                <w:szCs w:val="16"/>
                <w:color w:val="0000EE"/>
              </w:rPr>
            </w:pPr>
            <w:hyperlink r:id="rId184">
              <w:r>
                <w:rPr>
                  <w:rFonts w:ascii="Arial" w:cs="Arial" w:eastAsia="Arial" w:hAnsi="Arial"/>
                  <w:sz w:val="16"/>
                  <w:szCs w:val="16"/>
                  <w:color w:val="0000EE"/>
                </w:rPr>
                <w:t>10.</w:t>
              </w:r>
              <w:r>
                <w:rPr>
                  <w:rFonts w:ascii="Arial" w:cs="Arial" w:eastAsia="Arial" w:hAnsi="Arial"/>
                  <w:sz w:val="16"/>
                  <w:szCs w:val="16"/>
                  <w:u w:val="single" w:color="auto"/>
                  <w:color w:val="0000EE"/>
                </w:rPr>
                <w:t>14</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2"/>
              </w:rPr>
              <w:t>Form of Indemnification Agreement entered into between ACM Research, Inc. and certain of its directors and officers  (incorporated herein by reference to</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Exhibit 10.13 to the Registration Statement on Form S-1 filed on September 13, 2017)</w:t>
            </w:r>
          </w:p>
        </w:tc>
      </w:tr>
      <w:tr>
        <w:trPr>
          <w:trHeight w:val="156"/>
        </w:trPr>
        <w:tc>
          <w:tcPr>
            <w:tcW w:w="520" w:type="dxa"/>
            <w:vAlign w:val="bottom"/>
            <w:gridSpan w:val="3"/>
            <w:shd w:val="clear" w:color="auto" w:fill="CCEEFF"/>
          </w:tcPr>
          <w:p>
            <w:pPr>
              <w:spacing w:after="0" w:line="156" w:lineRule="exact"/>
              <w:rPr>
                <w:rFonts w:ascii="Arial" w:cs="Arial" w:eastAsia="Arial" w:hAnsi="Arial"/>
                <w:sz w:val="16"/>
                <w:szCs w:val="16"/>
                <w:color w:val="0000EE"/>
              </w:rPr>
            </w:pPr>
            <w:hyperlink r:id="rId185">
              <w:r>
                <w:rPr>
                  <w:rFonts w:ascii="Arial" w:cs="Arial" w:eastAsia="Arial" w:hAnsi="Arial"/>
                  <w:sz w:val="16"/>
                  <w:szCs w:val="16"/>
                  <w:color w:val="0000EE"/>
                </w:rPr>
                <w:t>10.</w:t>
              </w:r>
              <w:r>
                <w:rPr>
                  <w:rFonts w:ascii="Arial" w:cs="Arial" w:eastAsia="Arial" w:hAnsi="Arial"/>
                  <w:sz w:val="16"/>
                  <w:szCs w:val="16"/>
                  <w:u w:val="single" w:color="auto"/>
                  <w:color w:val="0000EE"/>
                </w:rPr>
                <w:t>15+</w:t>
              </w:r>
            </w:hyperlink>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0" w:type="dxa"/>
            <w:vAlign w:val="bottom"/>
            <w:shd w:val="clear" w:color="auto" w:fill="CCEEFF"/>
          </w:tcPr>
          <w:p>
            <w:pPr>
              <w:ind w:left="260"/>
              <w:spacing w:after="0" w:line="156" w:lineRule="exact"/>
              <w:rPr>
                <w:sz w:val="20"/>
                <w:szCs w:val="20"/>
                <w:color w:val="auto"/>
              </w:rPr>
            </w:pPr>
            <w:r>
              <w:rPr>
                <w:rFonts w:ascii="Arial" w:cs="Arial" w:eastAsia="Arial" w:hAnsi="Arial"/>
                <w:sz w:val="16"/>
                <w:szCs w:val="16"/>
                <w:color w:val="auto"/>
                <w:w w:val="92"/>
              </w:rPr>
              <w:t>Letter agreement dated June 12, 2019 between ACM Research, Inc. and Mark McKechnie (incorporated herein by reference to Exhibit 10.02 to the Current</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Report on Form 8-K filed on August 13, 2019)</w:t>
            </w:r>
          </w:p>
        </w:tc>
      </w:tr>
      <w:tr>
        <w:trPr>
          <w:trHeight w:val="154"/>
        </w:trPr>
        <w:tc>
          <w:tcPr>
            <w:tcW w:w="860" w:type="dxa"/>
            <w:vAlign w:val="bottom"/>
            <w:gridSpan w:val="5"/>
          </w:tcPr>
          <w:p>
            <w:pPr>
              <w:spacing w:after="0" w:line="155" w:lineRule="exact"/>
              <w:rPr>
                <w:rFonts w:ascii="Arial" w:cs="Arial" w:eastAsia="Arial" w:hAnsi="Arial"/>
                <w:sz w:val="16"/>
                <w:szCs w:val="16"/>
                <w:color w:val="0000EE"/>
              </w:rPr>
            </w:pPr>
            <w:hyperlink r:id="rId186">
              <w:r>
                <w:rPr>
                  <w:rFonts w:ascii="Arial" w:cs="Arial" w:eastAsia="Arial" w:hAnsi="Arial"/>
                  <w:sz w:val="16"/>
                  <w:szCs w:val="16"/>
                  <w:color w:val="0000EE"/>
                </w:rPr>
                <w:t>10.</w:t>
              </w:r>
              <w:r>
                <w:rPr>
                  <w:rFonts w:ascii="Arial" w:cs="Arial" w:eastAsia="Arial" w:hAnsi="Arial"/>
                  <w:sz w:val="16"/>
                  <w:szCs w:val="16"/>
                  <w:u w:val="single" w:color="auto"/>
                  <w:color w:val="0000EE"/>
                </w:rPr>
                <w:t>16+‡</w:t>
              </w:r>
            </w:hyperlink>
          </w:p>
        </w:tc>
        <w:tc>
          <w:tcPr>
            <w:tcW w:w="10400" w:type="dxa"/>
            <w:vAlign w:val="bottom"/>
          </w:tcPr>
          <w:p>
            <w:pPr>
              <w:ind w:left="260"/>
              <w:spacing w:after="0" w:line="155" w:lineRule="exact"/>
              <w:rPr>
                <w:sz w:val="20"/>
                <w:szCs w:val="20"/>
                <w:color w:val="auto"/>
              </w:rPr>
            </w:pPr>
            <w:r>
              <w:rPr>
                <w:rFonts w:ascii="Arial" w:cs="Arial" w:eastAsia="Arial" w:hAnsi="Arial"/>
                <w:sz w:val="16"/>
                <w:szCs w:val="16"/>
                <w:color w:val="auto"/>
                <w:w w:val="91"/>
              </w:rPr>
              <w:t>Employment Agreement dated January 8, 2018 between ACM Research (Shanghai), Inc. and Lisa Feng (incorporated herein by reference to Exhibit 10.20 to</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Pr>
          <w:p>
            <w:pPr>
              <w:ind w:left="260"/>
              <w:spacing w:after="0"/>
              <w:rPr>
                <w:sz w:val="20"/>
                <w:szCs w:val="20"/>
                <w:color w:val="auto"/>
              </w:rPr>
            </w:pPr>
            <w:r>
              <w:rPr>
                <w:rFonts w:ascii="Arial" w:cs="Arial" w:eastAsia="Arial" w:hAnsi="Arial"/>
                <w:sz w:val="16"/>
                <w:szCs w:val="16"/>
                <w:color w:val="auto"/>
              </w:rPr>
              <w:t>the Annual Report on Form 10-K filed on March 1, 2022)</w:t>
            </w:r>
          </w:p>
        </w:tc>
      </w:tr>
      <w:tr>
        <w:trPr>
          <w:trHeight w:val="50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0" w:type="dxa"/>
            <w:vAlign w:val="bottom"/>
          </w:tcPr>
          <w:p>
            <w:pPr>
              <w:ind w:left="4660"/>
              <w:spacing w:after="0"/>
              <w:rPr>
                <w:sz w:val="20"/>
                <w:szCs w:val="20"/>
                <w:color w:val="auto"/>
              </w:rPr>
            </w:pPr>
            <w:r>
              <w:rPr>
                <w:rFonts w:ascii="Arial" w:cs="Arial" w:eastAsia="Arial" w:hAnsi="Arial"/>
                <w:sz w:val="13"/>
                <w:szCs w:val="13"/>
                <w:color w:val="auto"/>
              </w:rPr>
              <w:t>145</w:t>
            </w:r>
          </w:p>
        </w:tc>
      </w:tr>
      <w:tr>
        <w:trPr>
          <w:trHeight w:val="37"/>
        </w:trPr>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gridSpan w:val="2"/>
            <w:shd w:val="clear" w:color="auto" w:fill="CCEEFF"/>
          </w:tcPr>
          <w:p>
            <w:pPr>
              <w:spacing w:after="0"/>
              <w:rPr>
                <w:rFonts w:ascii="Arial" w:cs="Arial" w:eastAsia="Arial" w:hAnsi="Arial"/>
                <w:sz w:val="16"/>
                <w:szCs w:val="16"/>
                <w:color w:val="0000EE"/>
              </w:rPr>
            </w:pPr>
            <w:hyperlink r:id="rId187">
              <w:r>
                <w:rPr>
                  <w:rFonts w:ascii="Arial" w:cs="Arial" w:eastAsia="Arial" w:hAnsi="Arial"/>
                  <w:sz w:val="16"/>
                  <w:szCs w:val="16"/>
                  <w:color w:val="0000EE"/>
                </w:rPr>
                <w:t>10.</w:t>
              </w:r>
              <w:r>
                <w:rPr>
                  <w:rFonts w:ascii="Arial" w:cs="Arial" w:eastAsia="Arial" w:hAnsi="Arial"/>
                  <w:sz w:val="16"/>
                  <w:szCs w:val="16"/>
                  <w:u w:val="single" w:color="auto"/>
                  <w:color w:val="0000EE"/>
                </w:rPr>
                <w:t>17</w:t>
              </w:r>
            </w:hyperlink>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Note Assignment and Cancellation Agreement dated April 30, 2020 by and among ACM Research, Inc., ACM Research (Shanghai), Inc. and Shengxin</w:t>
            </w:r>
          </w:p>
        </w:tc>
      </w:tr>
      <w:tr>
        <w:trPr>
          <w:trHeight w:val="193"/>
        </w:trPr>
        <w:tc>
          <w:tcPr>
            <w:tcW w:w="3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w w:val="91"/>
              </w:rPr>
              <w:t>(Shanghai) Management Consulting Limited Partnership (incorporated herein by reference to Exhibit 10.02 to the Quarterly Report Form 10-Q filed on May 8,</w:t>
            </w:r>
          </w:p>
        </w:tc>
      </w:tr>
      <w:tr>
        <w:trPr>
          <w:trHeight w:val="203"/>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2020)</w:t>
            </w:r>
          </w:p>
        </w:tc>
      </w:tr>
      <w:tr>
        <w:trPr>
          <w:trHeight w:val="154"/>
        </w:trPr>
        <w:tc>
          <w:tcPr>
            <w:tcW w:w="820" w:type="dxa"/>
            <w:vAlign w:val="bottom"/>
            <w:gridSpan w:val="6"/>
          </w:tcPr>
          <w:p>
            <w:pPr>
              <w:spacing w:after="0" w:line="155" w:lineRule="exact"/>
              <w:rPr>
                <w:rFonts w:ascii="Arial" w:cs="Arial" w:eastAsia="Arial" w:hAnsi="Arial"/>
                <w:sz w:val="16"/>
                <w:szCs w:val="16"/>
                <w:color w:val="0000EE"/>
              </w:rPr>
            </w:pPr>
            <w:hyperlink r:id="rId188">
              <w:r>
                <w:rPr>
                  <w:rFonts w:ascii="Arial" w:cs="Arial" w:eastAsia="Arial" w:hAnsi="Arial"/>
                  <w:sz w:val="16"/>
                  <w:szCs w:val="16"/>
                  <w:color w:val="0000EE"/>
                </w:rPr>
                <w:t>10.</w:t>
              </w:r>
              <w:r>
                <w:rPr>
                  <w:rFonts w:ascii="Arial" w:cs="Arial" w:eastAsia="Arial" w:hAnsi="Arial"/>
                  <w:sz w:val="16"/>
                  <w:szCs w:val="16"/>
                  <w:u w:val="single" w:color="auto"/>
                  <w:color w:val="0000EE"/>
                </w:rPr>
                <w:t>18(a)</w:t>
              </w:r>
            </w:hyperlink>
          </w:p>
        </w:tc>
        <w:tc>
          <w:tcPr>
            <w:tcW w:w="10440" w:type="dxa"/>
            <w:vAlign w:val="bottom"/>
          </w:tcPr>
          <w:p>
            <w:pPr>
              <w:ind w:left="300"/>
              <w:spacing w:after="0" w:line="155" w:lineRule="exact"/>
              <w:rPr>
                <w:sz w:val="20"/>
                <w:szCs w:val="20"/>
                <w:color w:val="auto"/>
              </w:rPr>
            </w:pPr>
            <w:r>
              <w:rPr>
                <w:rFonts w:ascii="Arial" w:cs="Arial" w:eastAsia="Arial" w:hAnsi="Arial"/>
                <w:sz w:val="16"/>
                <w:szCs w:val="16"/>
                <w:color w:val="auto"/>
                <w:w w:val="94"/>
              </w:rPr>
              <w:t>Share Transfer and Note Cancellation Agreement dated April 30, 2020 between ACM Research, Inc. and Shengxin (Shanghai) Management Consulting</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Limited Partnership (incorporated herein by reference to Exhibit 10.03 to the Quarterly Report on Form 10-Q filed on May 8, 2020)</w:t>
            </w:r>
          </w:p>
        </w:tc>
      </w:tr>
      <w:tr>
        <w:trPr>
          <w:trHeight w:val="156"/>
        </w:trPr>
        <w:tc>
          <w:tcPr>
            <w:tcW w:w="820" w:type="dxa"/>
            <w:vAlign w:val="bottom"/>
            <w:gridSpan w:val="6"/>
            <w:shd w:val="clear" w:color="auto" w:fill="CCEEFF"/>
          </w:tcPr>
          <w:p>
            <w:pPr>
              <w:spacing w:after="0" w:line="156" w:lineRule="exact"/>
              <w:rPr>
                <w:rFonts w:ascii="Arial" w:cs="Arial" w:eastAsia="Arial" w:hAnsi="Arial"/>
                <w:sz w:val="16"/>
                <w:szCs w:val="16"/>
                <w:color w:val="0000EE"/>
              </w:rPr>
            </w:pPr>
            <w:hyperlink r:id="rId189">
              <w:r>
                <w:rPr>
                  <w:rFonts w:ascii="Arial" w:cs="Arial" w:eastAsia="Arial" w:hAnsi="Arial"/>
                  <w:sz w:val="16"/>
                  <w:szCs w:val="16"/>
                  <w:color w:val="0000EE"/>
                </w:rPr>
                <w:t>10.</w:t>
              </w:r>
              <w:r>
                <w:rPr>
                  <w:rFonts w:ascii="Arial" w:cs="Arial" w:eastAsia="Arial" w:hAnsi="Arial"/>
                  <w:sz w:val="16"/>
                  <w:szCs w:val="16"/>
                  <w:u w:val="single" w:color="auto"/>
                  <w:color w:val="0000EE"/>
                </w:rPr>
                <w:t>18(b)</w:t>
              </w:r>
            </w:hyperlink>
          </w:p>
        </w:tc>
        <w:tc>
          <w:tcPr>
            <w:tcW w:w="10440" w:type="dxa"/>
            <w:vAlign w:val="bottom"/>
            <w:shd w:val="clear" w:color="auto" w:fill="CCEEFF"/>
          </w:tcPr>
          <w:p>
            <w:pPr>
              <w:ind w:left="300"/>
              <w:spacing w:after="0" w:line="156" w:lineRule="exact"/>
              <w:rPr>
                <w:sz w:val="20"/>
                <w:szCs w:val="20"/>
                <w:color w:val="auto"/>
              </w:rPr>
            </w:pPr>
            <w:r>
              <w:rPr>
                <w:rFonts w:ascii="Arial" w:cs="Arial" w:eastAsia="Arial" w:hAnsi="Arial"/>
                <w:sz w:val="16"/>
                <w:szCs w:val="16"/>
                <w:color w:val="auto"/>
                <w:w w:val="96"/>
              </w:rPr>
              <w:t>Amendment No. 1 to Share Transfer and Note Cancellation Agreement dated July 29, 2020 between ACM Research, Inc. and Shengxin (Shanghai)</w:t>
            </w:r>
          </w:p>
        </w:tc>
      </w:tr>
      <w:tr>
        <w:trPr>
          <w:trHeight w:val="193"/>
        </w:trPr>
        <w:tc>
          <w:tcPr>
            <w:tcW w:w="3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w w:val="92"/>
              </w:rPr>
              <w:t>Management Consulting Limited Partnership (incorporated herein by reference to Exhibit 10.01 to the Quarterly Report on Form 10-Q filed on November 9,</w:t>
            </w:r>
          </w:p>
        </w:tc>
      </w:tr>
      <w:tr>
        <w:trPr>
          <w:trHeight w:val="203"/>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2020)</w:t>
            </w:r>
          </w:p>
        </w:tc>
      </w:tr>
      <w:tr>
        <w:trPr>
          <w:trHeight w:val="154"/>
        </w:trPr>
        <w:tc>
          <w:tcPr>
            <w:tcW w:w="820" w:type="dxa"/>
            <w:vAlign w:val="bottom"/>
            <w:gridSpan w:val="6"/>
          </w:tcPr>
          <w:p>
            <w:pPr>
              <w:spacing w:after="0" w:line="155" w:lineRule="exact"/>
              <w:rPr>
                <w:rFonts w:ascii="Arial" w:cs="Arial" w:eastAsia="Arial" w:hAnsi="Arial"/>
                <w:sz w:val="16"/>
                <w:szCs w:val="16"/>
                <w:color w:val="0000EE"/>
              </w:rPr>
            </w:pPr>
            <w:hyperlink r:id="rId190">
              <w:r>
                <w:rPr>
                  <w:rFonts w:ascii="Arial" w:cs="Arial" w:eastAsia="Arial" w:hAnsi="Arial"/>
                  <w:sz w:val="16"/>
                  <w:szCs w:val="16"/>
                  <w:color w:val="0000EE"/>
                </w:rPr>
                <w:t>10.</w:t>
              </w:r>
              <w:r>
                <w:rPr>
                  <w:rFonts w:ascii="Arial" w:cs="Arial" w:eastAsia="Arial" w:hAnsi="Arial"/>
                  <w:sz w:val="16"/>
                  <w:szCs w:val="16"/>
                  <w:u w:val="single" w:color="auto"/>
                  <w:color w:val="0000EE"/>
                </w:rPr>
                <w:t>19‡†</w:t>
              </w:r>
            </w:hyperlink>
          </w:p>
        </w:tc>
        <w:tc>
          <w:tcPr>
            <w:tcW w:w="10440" w:type="dxa"/>
            <w:vAlign w:val="bottom"/>
          </w:tcPr>
          <w:p>
            <w:pPr>
              <w:ind w:left="300"/>
              <w:spacing w:after="0" w:line="155" w:lineRule="exact"/>
              <w:rPr>
                <w:sz w:val="20"/>
                <w:szCs w:val="20"/>
                <w:color w:val="auto"/>
              </w:rPr>
            </w:pPr>
            <w:r>
              <w:rPr>
                <w:rFonts w:ascii="Arial" w:cs="Arial" w:eastAsia="Arial" w:hAnsi="Arial"/>
                <w:sz w:val="16"/>
                <w:szCs w:val="16"/>
                <w:color w:val="auto"/>
                <w:w w:val="92"/>
              </w:rPr>
              <w:t>Grant Contract for State-owned Construction Land Use Right in Shanghai City (Category of R&amp;D Headquarters and Industrial Projects) dated as of May 7,</w:t>
            </w:r>
          </w:p>
        </w:tc>
      </w:tr>
      <w:tr>
        <w:trPr>
          <w:trHeight w:val="193"/>
        </w:trPr>
        <w:tc>
          <w:tcPr>
            <w:tcW w:w="3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w w:val="93"/>
              </w:rPr>
              <w:t>2020 between ACM Research (Lingang), Inc. and China (Shanghai) Pilot Free Trade Zone Lin-gang Special Area Administration (incorporated herein by</w:t>
            </w:r>
          </w:p>
        </w:tc>
      </w:tr>
      <w:tr>
        <w:trPr>
          <w:trHeight w:val="201"/>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reference to Exhibit 10.01 to the Current Report on Form 8-K filed on May 13, 2020)</w:t>
            </w:r>
          </w:p>
        </w:tc>
      </w:tr>
      <w:tr>
        <w:trPr>
          <w:trHeight w:val="156"/>
        </w:trPr>
        <w:tc>
          <w:tcPr>
            <w:tcW w:w="820" w:type="dxa"/>
            <w:vAlign w:val="bottom"/>
            <w:gridSpan w:val="6"/>
            <w:shd w:val="clear" w:color="auto" w:fill="CCEEFF"/>
          </w:tcPr>
          <w:p>
            <w:pPr>
              <w:spacing w:after="0" w:line="156" w:lineRule="exact"/>
              <w:rPr>
                <w:rFonts w:ascii="Arial" w:cs="Arial" w:eastAsia="Arial" w:hAnsi="Arial"/>
                <w:sz w:val="16"/>
                <w:szCs w:val="16"/>
                <w:color w:val="0000EE"/>
              </w:rPr>
            </w:pPr>
            <w:hyperlink r:id="rId191">
              <w:r>
                <w:rPr>
                  <w:rFonts w:ascii="Arial" w:cs="Arial" w:eastAsia="Arial" w:hAnsi="Arial"/>
                  <w:sz w:val="16"/>
                  <w:szCs w:val="16"/>
                  <w:color w:val="0000EE"/>
                </w:rPr>
                <w:t>10.</w:t>
              </w:r>
              <w:r>
                <w:rPr>
                  <w:rFonts w:ascii="Arial" w:cs="Arial" w:eastAsia="Arial" w:hAnsi="Arial"/>
                  <w:sz w:val="16"/>
                  <w:szCs w:val="16"/>
                  <w:u w:val="single" w:color="auto"/>
                  <w:color w:val="0000EE"/>
                </w:rPr>
                <w:t>20†</w:t>
              </w:r>
            </w:hyperlink>
          </w:p>
        </w:tc>
        <w:tc>
          <w:tcPr>
            <w:tcW w:w="10440" w:type="dxa"/>
            <w:vAlign w:val="bottom"/>
            <w:shd w:val="clear" w:color="auto" w:fill="CCEEFF"/>
          </w:tcPr>
          <w:p>
            <w:pPr>
              <w:ind w:left="300"/>
              <w:spacing w:after="0" w:line="156" w:lineRule="exact"/>
              <w:rPr>
                <w:sz w:val="20"/>
                <w:szCs w:val="20"/>
                <w:color w:val="auto"/>
              </w:rPr>
            </w:pPr>
            <w:r>
              <w:rPr>
                <w:rFonts w:ascii="Arial" w:cs="Arial" w:eastAsia="Arial" w:hAnsi="Arial"/>
                <w:sz w:val="16"/>
                <w:szCs w:val="16"/>
                <w:color w:val="auto"/>
                <w:w w:val="91"/>
              </w:rPr>
              <w:t>Commitment Letter Regarding the Lock-up of Shares, effective as of May 26, 2020, of ACM Research, Inc. (incorporated herein by reference to Exhibit 10.01</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 the Current Report on Form 8-K filed on June 1, 2020)</w:t>
            </w:r>
          </w:p>
        </w:tc>
      </w:tr>
      <w:tr>
        <w:trPr>
          <w:trHeight w:val="154"/>
        </w:trPr>
        <w:tc>
          <w:tcPr>
            <w:tcW w:w="820" w:type="dxa"/>
            <w:vAlign w:val="bottom"/>
            <w:gridSpan w:val="6"/>
          </w:tcPr>
          <w:p>
            <w:pPr>
              <w:spacing w:after="0" w:line="155" w:lineRule="exact"/>
              <w:rPr>
                <w:rFonts w:ascii="Arial" w:cs="Arial" w:eastAsia="Arial" w:hAnsi="Arial"/>
                <w:sz w:val="16"/>
                <w:szCs w:val="16"/>
                <w:color w:val="0000EE"/>
              </w:rPr>
            </w:pPr>
            <w:hyperlink r:id="rId192">
              <w:r>
                <w:rPr>
                  <w:rFonts w:ascii="Arial" w:cs="Arial" w:eastAsia="Arial" w:hAnsi="Arial"/>
                  <w:sz w:val="16"/>
                  <w:szCs w:val="16"/>
                  <w:color w:val="0000EE"/>
                </w:rPr>
                <w:t>10.</w:t>
              </w:r>
              <w:r>
                <w:rPr>
                  <w:rFonts w:ascii="Arial" w:cs="Arial" w:eastAsia="Arial" w:hAnsi="Arial"/>
                  <w:sz w:val="16"/>
                  <w:szCs w:val="16"/>
                  <w:u w:val="single" w:color="auto"/>
                  <w:color w:val="0000EE"/>
                </w:rPr>
                <w:t>21†</w:t>
              </w:r>
            </w:hyperlink>
          </w:p>
        </w:tc>
        <w:tc>
          <w:tcPr>
            <w:tcW w:w="10440" w:type="dxa"/>
            <w:vAlign w:val="bottom"/>
          </w:tcPr>
          <w:p>
            <w:pPr>
              <w:ind w:left="300"/>
              <w:spacing w:after="0" w:line="155" w:lineRule="exact"/>
              <w:rPr>
                <w:sz w:val="20"/>
                <w:szCs w:val="20"/>
                <w:color w:val="auto"/>
              </w:rPr>
            </w:pPr>
            <w:r>
              <w:rPr>
                <w:rFonts w:ascii="Arial" w:cs="Arial" w:eastAsia="Arial" w:hAnsi="Arial"/>
                <w:sz w:val="16"/>
                <w:szCs w:val="16"/>
                <w:color w:val="auto"/>
                <w:w w:val="93"/>
              </w:rPr>
              <w:t>Commitment Letter Regarding Shareholding Intent and Intent to Reduce Shareholding, effective as of May 26, 2020, of ACM Research, Inc. and David H.</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Wang (incorporated herein by reference to Exhibit 10.02 to the Current Report to Form 8-K filed on June 1, 2020)</w:t>
            </w:r>
          </w:p>
        </w:tc>
      </w:tr>
      <w:tr>
        <w:trPr>
          <w:trHeight w:val="156"/>
        </w:trPr>
        <w:tc>
          <w:tcPr>
            <w:tcW w:w="820" w:type="dxa"/>
            <w:vAlign w:val="bottom"/>
            <w:gridSpan w:val="6"/>
            <w:shd w:val="clear" w:color="auto" w:fill="CCEEFF"/>
          </w:tcPr>
          <w:p>
            <w:pPr>
              <w:spacing w:after="0" w:line="156" w:lineRule="exact"/>
              <w:rPr>
                <w:rFonts w:ascii="Arial" w:cs="Arial" w:eastAsia="Arial" w:hAnsi="Arial"/>
                <w:sz w:val="16"/>
                <w:szCs w:val="16"/>
                <w:color w:val="0000EE"/>
              </w:rPr>
            </w:pPr>
            <w:hyperlink r:id="rId193">
              <w:r>
                <w:rPr>
                  <w:rFonts w:ascii="Arial" w:cs="Arial" w:eastAsia="Arial" w:hAnsi="Arial"/>
                  <w:sz w:val="16"/>
                  <w:szCs w:val="16"/>
                  <w:color w:val="0000EE"/>
                </w:rPr>
                <w:t>10.</w:t>
              </w:r>
              <w:r>
                <w:rPr>
                  <w:rFonts w:ascii="Arial" w:cs="Arial" w:eastAsia="Arial" w:hAnsi="Arial"/>
                  <w:sz w:val="16"/>
                  <w:szCs w:val="16"/>
                  <w:u w:val="single" w:color="auto"/>
                  <w:color w:val="0000EE"/>
                </w:rPr>
                <w:t>22†</w:t>
              </w:r>
            </w:hyperlink>
          </w:p>
        </w:tc>
        <w:tc>
          <w:tcPr>
            <w:tcW w:w="10440" w:type="dxa"/>
            <w:vAlign w:val="bottom"/>
            <w:shd w:val="clear" w:color="auto" w:fill="CCEEFF"/>
          </w:tcPr>
          <w:p>
            <w:pPr>
              <w:ind w:left="300"/>
              <w:spacing w:after="0" w:line="156" w:lineRule="exact"/>
              <w:rPr>
                <w:sz w:val="20"/>
                <w:szCs w:val="20"/>
                <w:color w:val="auto"/>
              </w:rPr>
            </w:pPr>
            <w:r>
              <w:rPr>
                <w:rFonts w:ascii="Arial" w:cs="Arial" w:eastAsia="Arial" w:hAnsi="Arial"/>
                <w:sz w:val="16"/>
                <w:szCs w:val="16"/>
                <w:color w:val="auto"/>
                <w:w w:val="93"/>
              </w:rPr>
              <w:t>Commitment Letter Regarding the Plan and Binding Measures for Stabilizing the Stock Price of ACM Research (Shanghai), Inc. Within Three Years After</w:t>
            </w:r>
          </w:p>
        </w:tc>
      </w:tr>
      <w:tr>
        <w:trPr>
          <w:trHeight w:val="193"/>
        </w:trPr>
        <w:tc>
          <w:tcPr>
            <w:tcW w:w="3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w w:val="91"/>
              </w:rPr>
              <w:t>Listing, effective as of May 26, 2020, of ACM Research, Inc., ACM Research (Shanghai), Inc., and certain individuals named therein (incorporated herein by</w:t>
            </w:r>
          </w:p>
        </w:tc>
      </w:tr>
      <w:tr>
        <w:trPr>
          <w:trHeight w:val="203"/>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reference to Exhibit 10.03 to the Current Report on Form 8-K filed on June 1, 2020)</w:t>
            </w:r>
          </w:p>
        </w:tc>
      </w:tr>
      <w:tr>
        <w:trPr>
          <w:trHeight w:val="154"/>
        </w:trPr>
        <w:tc>
          <w:tcPr>
            <w:tcW w:w="820" w:type="dxa"/>
            <w:vAlign w:val="bottom"/>
            <w:gridSpan w:val="6"/>
          </w:tcPr>
          <w:p>
            <w:pPr>
              <w:spacing w:after="0" w:line="155" w:lineRule="exact"/>
              <w:rPr>
                <w:rFonts w:ascii="Arial" w:cs="Arial" w:eastAsia="Arial" w:hAnsi="Arial"/>
                <w:sz w:val="16"/>
                <w:szCs w:val="16"/>
                <w:color w:val="0000EE"/>
              </w:rPr>
            </w:pPr>
            <w:hyperlink r:id="rId194">
              <w:r>
                <w:rPr>
                  <w:rFonts w:ascii="Arial" w:cs="Arial" w:eastAsia="Arial" w:hAnsi="Arial"/>
                  <w:sz w:val="16"/>
                  <w:szCs w:val="16"/>
                  <w:color w:val="0000EE"/>
                </w:rPr>
                <w:t>10.</w:t>
              </w:r>
              <w:r>
                <w:rPr>
                  <w:rFonts w:ascii="Arial" w:cs="Arial" w:eastAsia="Arial" w:hAnsi="Arial"/>
                  <w:sz w:val="16"/>
                  <w:szCs w:val="16"/>
                  <w:u w:val="single" w:color="auto"/>
                  <w:color w:val="0000EE"/>
                </w:rPr>
                <w:t>23†</w:t>
              </w:r>
            </w:hyperlink>
          </w:p>
        </w:tc>
        <w:tc>
          <w:tcPr>
            <w:tcW w:w="10440" w:type="dxa"/>
            <w:vAlign w:val="bottom"/>
          </w:tcPr>
          <w:p>
            <w:pPr>
              <w:ind w:left="300"/>
              <w:spacing w:after="0" w:line="155" w:lineRule="exact"/>
              <w:rPr>
                <w:sz w:val="20"/>
                <w:szCs w:val="20"/>
                <w:color w:val="auto"/>
              </w:rPr>
            </w:pPr>
            <w:r>
              <w:rPr>
                <w:rFonts w:ascii="Arial" w:cs="Arial" w:eastAsia="Arial" w:hAnsi="Arial"/>
                <w:sz w:val="16"/>
                <w:szCs w:val="16"/>
                <w:color w:val="auto"/>
                <w:w w:val="92"/>
              </w:rPr>
              <w:t>Commitment Letter Regarding Fraudulent Issuance of Listed Shares, effective as of May 26, 2020, of ACM Research, Inc., ACM Research (Shanghai), Inc.</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and David H. Wang (incorporated herein by reference to Exhibit 10.04 to the Current Report on Form 8-K filed on June 1, 2020)</w:t>
            </w:r>
          </w:p>
        </w:tc>
      </w:tr>
      <w:tr>
        <w:trPr>
          <w:trHeight w:val="156"/>
        </w:trPr>
        <w:tc>
          <w:tcPr>
            <w:tcW w:w="820" w:type="dxa"/>
            <w:vAlign w:val="bottom"/>
            <w:gridSpan w:val="6"/>
            <w:shd w:val="clear" w:color="auto" w:fill="CCEEFF"/>
          </w:tcPr>
          <w:p>
            <w:pPr>
              <w:spacing w:after="0" w:line="156" w:lineRule="exact"/>
              <w:rPr>
                <w:rFonts w:ascii="Arial" w:cs="Arial" w:eastAsia="Arial" w:hAnsi="Arial"/>
                <w:sz w:val="16"/>
                <w:szCs w:val="16"/>
                <w:color w:val="0000EE"/>
              </w:rPr>
            </w:pPr>
            <w:hyperlink r:id="rId195">
              <w:r>
                <w:rPr>
                  <w:rFonts w:ascii="Arial" w:cs="Arial" w:eastAsia="Arial" w:hAnsi="Arial"/>
                  <w:sz w:val="16"/>
                  <w:szCs w:val="16"/>
                  <w:color w:val="0000EE"/>
                </w:rPr>
                <w:t>10.</w:t>
              </w:r>
              <w:r>
                <w:rPr>
                  <w:rFonts w:ascii="Arial" w:cs="Arial" w:eastAsia="Arial" w:hAnsi="Arial"/>
                  <w:sz w:val="16"/>
                  <w:szCs w:val="16"/>
                  <w:u w:val="single" w:color="auto"/>
                  <w:color w:val="0000EE"/>
                </w:rPr>
                <w:t>24‡†</w:t>
              </w:r>
            </w:hyperlink>
          </w:p>
        </w:tc>
        <w:tc>
          <w:tcPr>
            <w:tcW w:w="10440" w:type="dxa"/>
            <w:vAlign w:val="bottom"/>
            <w:shd w:val="clear" w:color="auto" w:fill="CCEEFF"/>
          </w:tcPr>
          <w:p>
            <w:pPr>
              <w:ind w:left="300"/>
              <w:spacing w:after="0" w:line="156" w:lineRule="exact"/>
              <w:rPr>
                <w:sz w:val="20"/>
                <w:szCs w:val="20"/>
                <w:color w:val="auto"/>
              </w:rPr>
            </w:pPr>
            <w:r>
              <w:rPr>
                <w:rFonts w:ascii="Arial" w:cs="Arial" w:eastAsia="Arial" w:hAnsi="Arial"/>
                <w:sz w:val="16"/>
                <w:szCs w:val="16"/>
                <w:color w:val="auto"/>
                <w:w w:val="90"/>
              </w:rPr>
              <w:t>Commitment Letter Regarding the Lack of False Records, Misleading Statements or Major Omissions in the Preliminary Information Document, effective as of</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w w:val="98"/>
              </w:rPr>
              <w:t>May 26, 2020, of ACM Research, Inc. (incorporated herein by reference to Exhibit 10.05 to the Current Report on Form 8-K filed on June 1, 2020)</w:t>
            </w:r>
          </w:p>
        </w:tc>
      </w:tr>
      <w:tr>
        <w:trPr>
          <w:trHeight w:val="154"/>
        </w:trPr>
        <w:tc>
          <w:tcPr>
            <w:tcW w:w="820" w:type="dxa"/>
            <w:vAlign w:val="bottom"/>
            <w:gridSpan w:val="6"/>
          </w:tcPr>
          <w:p>
            <w:pPr>
              <w:spacing w:after="0" w:line="155" w:lineRule="exact"/>
              <w:rPr>
                <w:rFonts w:ascii="Arial" w:cs="Arial" w:eastAsia="Arial" w:hAnsi="Arial"/>
                <w:sz w:val="16"/>
                <w:szCs w:val="16"/>
                <w:color w:val="0000EE"/>
              </w:rPr>
            </w:pPr>
            <w:hyperlink r:id="rId196">
              <w:r>
                <w:rPr>
                  <w:rFonts w:ascii="Arial" w:cs="Arial" w:eastAsia="Arial" w:hAnsi="Arial"/>
                  <w:sz w:val="16"/>
                  <w:szCs w:val="16"/>
                  <w:color w:val="0000EE"/>
                </w:rPr>
                <w:t>10.</w:t>
              </w:r>
              <w:r>
                <w:rPr>
                  <w:rFonts w:ascii="Arial" w:cs="Arial" w:eastAsia="Arial" w:hAnsi="Arial"/>
                  <w:sz w:val="16"/>
                  <w:szCs w:val="16"/>
                  <w:u w:val="single" w:color="auto"/>
                  <w:color w:val="0000EE"/>
                </w:rPr>
                <w:t>25†</w:t>
              </w:r>
            </w:hyperlink>
          </w:p>
        </w:tc>
        <w:tc>
          <w:tcPr>
            <w:tcW w:w="10440" w:type="dxa"/>
            <w:vAlign w:val="bottom"/>
          </w:tcPr>
          <w:p>
            <w:pPr>
              <w:ind w:left="300"/>
              <w:spacing w:after="0" w:line="155" w:lineRule="exact"/>
              <w:rPr>
                <w:sz w:val="20"/>
                <w:szCs w:val="20"/>
                <w:color w:val="auto"/>
              </w:rPr>
            </w:pPr>
            <w:r>
              <w:rPr>
                <w:rFonts w:ascii="Arial" w:cs="Arial" w:eastAsia="Arial" w:hAnsi="Arial"/>
                <w:sz w:val="16"/>
                <w:szCs w:val="16"/>
                <w:color w:val="auto"/>
                <w:w w:val="95"/>
              </w:rPr>
              <w:t>Commitment Letter Regarding Making Up for Diluted Immediate Returns, effective as of May 26, 2020, of ACM Research, Inc. (incorporated herein by</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reference to Exhibit 10.06 to the Current Report on Form 8-K filed on June 1, 2020)</w:t>
            </w:r>
          </w:p>
        </w:tc>
      </w:tr>
      <w:tr>
        <w:trPr>
          <w:trHeight w:val="156"/>
        </w:trPr>
        <w:tc>
          <w:tcPr>
            <w:tcW w:w="820" w:type="dxa"/>
            <w:vAlign w:val="bottom"/>
            <w:gridSpan w:val="6"/>
            <w:shd w:val="clear" w:color="auto" w:fill="CCEEFF"/>
          </w:tcPr>
          <w:p>
            <w:pPr>
              <w:spacing w:after="0" w:line="156" w:lineRule="exact"/>
              <w:rPr>
                <w:rFonts w:ascii="Arial" w:cs="Arial" w:eastAsia="Arial" w:hAnsi="Arial"/>
                <w:sz w:val="16"/>
                <w:szCs w:val="16"/>
                <w:color w:val="0000EE"/>
              </w:rPr>
            </w:pPr>
            <w:hyperlink r:id="rId197">
              <w:r>
                <w:rPr>
                  <w:rFonts w:ascii="Arial" w:cs="Arial" w:eastAsia="Arial" w:hAnsi="Arial"/>
                  <w:sz w:val="16"/>
                  <w:szCs w:val="16"/>
                  <w:color w:val="0000EE"/>
                </w:rPr>
                <w:t>10.</w:t>
              </w:r>
              <w:r>
                <w:rPr>
                  <w:rFonts w:ascii="Arial" w:cs="Arial" w:eastAsia="Arial" w:hAnsi="Arial"/>
                  <w:sz w:val="16"/>
                  <w:szCs w:val="16"/>
                  <w:u w:val="single" w:color="auto"/>
                  <w:color w:val="0000EE"/>
                </w:rPr>
                <w:t>26‡†</w:t>
              </w:r>
            </w:hyperlink>
          </w:p>
        </w:tc>
        <w:tc>
          <w:tcPr>
            <w:tcW w:w="10440" w:type="dxa"/>
            <w:vAlign w:val="bottom"/>
            <w:shd w:val="clear" w:color="auto" w:fill="CCEEFF"/>
          </w:tcPr>
          <w:p>
            <w:pPr>
              <w:ind w:left="300"/>
              <w:spacing w:after="0" w:line="156" w:lineRule="exact"/>
              <w:rPr>
                <w:sz w:val="20"/>
                <w:szCs w:val="20"/>
                <w:color w:val="auto"/>
              </w:rPr>
            </w:pPr>
            <w:r>
              <w:rPr>
                <w:rFonts w:ascii="Arial" w:cs="Arial" w:eastAsia="Arial" w:hAnsi="Arial"/>
                <w:sz w:val="16"/>
                <w:szCs w:val="16"/>
                <w:color w:val="auto"/>
                <w:w w:val="95"/>
              </w:rPr>
              <w:t>Commitment Letter Regarding Unfulfilled Commitment on Binding Measures, effective as of May 26, 2020, of ACM Research, Inc. and David H. Wang</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(incorporated herein by reference to Exhibit 10.07 to the Current Report on Form 8-K filed on June 1, 2020)</w:t>
            </w:r>
          </w:p>
        </w:tc>
      </w:tr>
      <w:tr>
        <w:trPr>
          <w:trHeight w:val="154"/>
        </w:trPr>
        <w:tc>
          <w:tcPr>
            <w:tcW w:w="820" w:type="dxa"/>
            <w:vAlign w:val="bottom"/>
            <w:gridSpan w:val="6"/>
          </w:tcPr>
          <w:p>
            <w:pPr>
              <w:spacing w:after="0" w:line="155" w:lineRule="exact"/>
              <w:rPr>
                <w:rFonts w:ascii="Arial" w:cs="Arial" w:eastAsia="Arial" w:hAnsi="Arial"/>
                <w:sz w:val="16"/>
                <w:szCs w:val="16"/>
                <w:color w:val="0000EE"/>
              </w:rPr>
            </w:pPr>
            <w:hyperlink r:id="rId198">
              <w:r>
                <w:rPr>
                  <w:rFonts w:ascii="Arial" w:cs="Arial" w:eastAsia="Arial" w:hAnsi="Arial"/>
                  <w:sz w:val="16"/>
                  <w:szCs w:val="16"/>
                  <w:color w:val="0000EE"/>
                </w:rPr>
                <w:t>10.</w:t>
              </w:r>
              <w:r>
                <w:rPr>
                  <w:rFonts w:ascii="Arial" w:cs="Arial" w:eastAsia="Arial" w:hAnsi="Arial"/>
                  <w:sz w:val="16"/>
                  <w:szCs w:val="16"/>
                  <w:u w:val="single" w:color="auto"/>
                  <w:color w:val="0000EE"/>
                </w:rPr>
                <w:t>27†</w:t>
              </w:r>
            </w:hyperlink>
          </w:p>
        </w:tc>
        <w:tc>
          <w:tcPr>
            <w:tcW w:w="10440" w:type="dxa"/>
            <w:vAlign w:val="bottom"/>
          </w:tcPr>
          <w:p>
            <w:pPr>
              <w:ind w:left="300"/>
              <w:spacing w:after="0" w:line="155" w:lineRule="exact"/>
              <w:rPr>
                <w:sz w:val="20"/>
                <w:szCs w:val="20"/>
                <w:color w:val="auto"/>
              </w:rPr>
            </w:pPr>
            <w:r>
              <w:rPr>
                <w:rFonts w:ascii="Arial" w:cs="Arial" w:eastAsia="Arial" w:hAnsi="Arial"/>
                <w:sz w:val="16"/>
                <w:szCs w:val="16"/>
                <w:color w:val="auto"/>
                <w:w w:val="91"/>
              </w:rPr>
              <w:t>Commitment Letter Regarding the Avoidance of Competition in the Same Industry, effective as of May 26, 2020, of ACM Research, Inc. (incorporated herein</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by reference to Exhibit 10.08 to the Current Report on Form 8-K filed on June 1, 2020)</w:t>
            </w:r>
          </w:p>
        </w:tc>
      </w:tr>
      <w:tr>
        <w:trPr>
          <w:trHeight w:val="156"/>
        </w:trPr>
        <w:tc>
          <w:tcPr>
            <w:tcW w:w="820" w:type="dxa"/>
            <w:vAlign w:val="bottom"/>
            <w:gridSpan w:val="6"/>
            <w:shd w:val="clear" w:color="auto" w:fill="CCEEFF"/>
          </w:tcPr>
          <w:p>
            <w:pPr>
              <w:spacing w:after="0" w:line="156" w:lineRule="exact"/>
              <w:rPr>
                <w:rFonts w:ascii="Arial" w:cs="Arial" w:eastAsia="Arial" w:hAnsi="Arial"/>
                <w:sz w:val="16"/>
                <w:szCs w:val="16"/>
                <w:color w:val="0000EE"/>
              </w:rPr>
            </w:pPr>
            <w:hyperlink r:id="rId199">
              <w:r>
                <w:rPr>
                  <w:rFonts w:ascii="Arial" w:cs="Arial" w:eastAsia="Arial" w:hAnsi="Arial"/>
                  <w:sz w:val="16"/>
                  <w:szCs w:val="16"/>
                  <w:color w:val="0000EE"/>
                </w:rPr>
                <w:t>10.</w:t>
              </w:r>
              <w:r>
                <w:rPr>
                  <w:rFonts w:ascii="Arial" w:cs="Arial" w:eastAsia="Arial" w:hAnsi="Arial"/>
                  <w:sz w:val="16"/>
                  <w:szCs w:val="16"/>
                  <w:u w:val="single" w:color="auto"/>
                  <w:color w:val="0000EE"/>
                </w:rPr>
                <w:t>28†</w:t>
              </w:r>
            </w:hyperlink>
          </w:p>
        </w:tc>
        <w:tc>
          <w:tcPr>
            <w:tcW w:w="10440" w:type="dxa"/>
            <w:vAlign w:val="bottom"/>
            <w:shd w:val="clear" w:color="auto" w:fill="CCEEFF"/>
          </w:tcPr>
          <w:p>
            <w:pPr>
              <w:ind w:left="300"/>
              <w:spacing w:after="0" w:line="156" w:lineRule="exact"/>
              <w:rPr>
                <w:sz w:val="20"/>
                <w:szCs w:val="20"/>
                <w:color w:val="auto"/>
              </w:rPr>
            </w:pPr>
            <w:r>
              <w:rPr>
                <w:rFonts w:ascii="Arial" w:cs="Arial" w:eastAsia="Arial" w:hAnsi="Arial"/>
                <w:sz w:val="16"/>
                <w:szCs w:val="16"/>
                <w:color w:val="auto"/>
                <w:w w:val="90"/>
              </w:rPr>
              <w:t>Commitment Letter Regarding the Standardization and Reduction of Related Transactions, effective as of May 26, 2020, of ACM Research, Inc. (incorporated</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herein by reference to Exhibit 10.09 to the Current Report on Form 8-K filed on June 1, 2020)</w:t>
            </w:r>
          </w:p>
        </w:tc>
      </w:tr>
      <w:tr>
        <w:trPr>
          <w:trHeight w:val="154"/>
        </w:trPr>
        <w:tc>
          <w:tcPr>
            <w:tcW w:w="820" w:type="dxa"/>
            <w:vAlign w:val="bottom"/>
            <w:gridSpan w:val="6"/>
          </w:tcPr>
          <w:p>
            <w:pPr>
              <w:spacing w:after="0" w:line="155" w:lineRule="exact"/>
              <w:rPr>
                <w:rFonts w:ascii="Arial" w:cs="Arial" w:eastAsia="Arial" w:hAnsi="Arial"/>
                <w:sz w:val="16"/>
                <w:szCs w:val="16"/>
                <w:color w:val="0000EE"/>
              </w:rPr>
            </w:pPr>
            <w:hyperlink r:id="rId200">
              <w:r>
                <w:rPr>
                  <w:rFonts w:ascii="Arial" w:cs="Arial" w:eastAsia="Arial" w:hAnsi="Arial"/>
                  <w:sz w:val="16"/>
                  <w:szCs w:val="16"/>
                  <w:color w:val="0000EE"/>
                </w:rPr>
                <w:t>10.</w:t>
              </w:r>
              <w:r>
                <w:rPr>
                  <w:rFonts w:ascii="Arial" w:cs="Arial" w:eastAsia="Arial" w:hAnsi="Arial"/>
                  <w:sz w:val="16"/>
                  <w:szCs w:val="16"/>
                  <w:u w:val="single" w:color="auto"/>
                  <w:color w:val="0000EE"/>
                </w:rPr>
                <w:t>29†</w:t>
              </w:r>
            </w:hyperlink>
          </w:p>
        </w:tc>
        <w:tc>
          <w:tcPr>
            <w:tcW w:w="10440" w:type="dxa"/>
            <w:vAlign w:val="bottom"/>
          </w:tcPr>
          <w:p>
            <w:pPr>
              <w:ind w:left="300"/>
              <w:spacing w:after="0" w:line="155" w:lineRule="exact"/>
              <w:rPr>
                <w:sz w:val="20"/>
                <w:szCs w:val="20"/>
                <w:color w:val="auto"/>
              </w:rPr>
            </w:pPr>
            <w:r>
              <w:rPr>
                <w:rFonts w:ascii="Arial" w:cs="Arial" w:eastAsia="Arial" w:hAnsi="Arial"/>
                <w:sz w:val="16"/>
                <w:szCs w:val="16"/>
                <w:color w:val="auto"/>
                <w:w w:val="91"/>
              </w:rPr>
              <w:t>Commitment Letter Regarding the Avoidance of Funds Occupation and Illegal Guarantee, effective as of May 26, 2020, of ACM Research, Inc. (incorporated</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herein by reference to Exhibit 10.10 to the Current Report on Form 8-K filed on June 1, 2020)</w:t>
            </w:r>
          </w:p>
        </w:tc>
      </w:tr>
      <w:tr>
        <w:trPr>
          <w:trHeight w:val="156"/>
        </w:trPr>
        <w:tc>
          <w:tcPr>
            <w:tcW w:w="820" w:type="dxa"/>
            <w:vAlign w:val="bottom"/>
            <w:gridSpan w:val="6"/>
            <w:shd w:val="clear" w:color="auto" w:fill="CCEEFF"/>
          </w:tcPr>
          <w:p>
            <w:pPr>
              <w:spacing w:after="0" w:line="156" w:lineRule="exact"/>
              <w:rPr>
                <w:rFonts w:ascii="Arial" w:cs="Arial" w:eastAsia="Arial" w:hAnsi="Arial"/>
                <w:sz w:val="16"/>
                <w:szCs w:val="16"/>
                <w:color w:val="0000EE"/>
              </w:rPr>
            </w:pPr>
            <w:hyperlink r:id="rId201">
              <w:r>
                <w:rPr>
                  <w:rFonts w:ascii="Arial" w:cs="Arial" w:eastAsia="Arial" w:hAnsi="Arial"/>
                  <w:sz w:val="16"/>
                  <w:szCs w:val="16"/>
                  <w:color w:val="0000EE"/>
                </w:rPr>
                <w:t>10.</w:t>
              </w:r>
              <w:r>
                <w:rPr>
                  <w:rFonts w:ascii="Arial" w:cs="Arial" w:eastAsia="Arial" w:hAnsi="Arial"/>
                  <w:sz w:val="16"/>
                  <w:szCs w:val="16"/>
                  <w:u w:val="single" w:color="auto"/>
                  <w:color w:val="0000EE"/>
                </w:rPr>
                <w:t>30‡†</w:t>
              </w:r>
            </w:hyperlink>
          </w:p>
        </w:tc>
        <w:tc>
          <w:tcPr>
            <w:tcW w:w="10440" w:type="dxa"/>
            <w:vAlign w:val="bottom"/>
            <w:shd w:val="clear" w:color="auto" w:fill="CCEEFF"/>
          </w:tcPr>
          <w:p>
            <w:pPr>
              <w:ind w:left="300"/>
              <w:spacing w:after="0" w:line="156" w:lineRule="exact"/>
              <w:rPr>
                <w:sz w:val="20"/>
                <w:szCs w:val="20"/>
                <w:color w:val="auto"/>
              </w:rPr>
            </w:pPr>
            <w:r>
              <w:rPr>
                <w:rFonts w:ascii="Arial" w:cs="Arial" w:eastAsia="Arial" w:hAnsi="Arial"/>
                <w:sz w:val="16"/>
                <w:szCs w:val="16"/>
                <w:color w:val="auto"/>
                <w:w w:val="93"/>
              </w:rPr>
              <w:t>Statement and Commitment Letter, effective as of May 26, 2020, of ACM Research, Inc. (incorporated herein by reference to Exhibit 10.11 to the Current</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Report on Form 8-K filed on June 1, 2020)</w:t>
            </w:r>
          </w:p>
        </w:tc>
      </w:tr>
      <w:tr>
        <w:trPr>
          <w:trHeight w:val="154"/>
        </w:trPr>
        <w:tc>
          <w:tcPr>
            <w:tcW w:w="820" w:type="dxa"/>
            <w:vAlign w:val="bottom"/>
            <w:gridSpan w:val="6"/>
          </w:tcPr>
          <w:p>
            <w:pPr>
              <w:spacing w:after="0" w:line="155" w:lineRule="exact"/>
              <w:rPr>
                <w:rFonts w:ascii="Arial" w:cs="Arial" w:eastAsia="Arial" w:hAnsi="Arial"/>
                <w:sz w:val="16"/>
                <w:szCs w:val="16"/>
                <w:color w:val="0000EE"/>
              </w:rPr>
            </w:pPr>
            <w:hyperlink r:id="rId202">
              <w:r>
                <w:rPr>
                  <w:rFonts w:ascii="Arial" w:cs="Arial" w:eastAsia="Arial" w:hAnsi="Arial"/>
                  <w:sz w:val="16"/>
                  <w:szCs w:val="16"/>
                  <w:color w:val="0000EE"/>
                </w:rPr>
                <w:t>10.</w:t>
              </w:r>
              <w:r>
                <w:rPr>
                  <w:rFonts w:ascii="Arial" w:cs="Arial" w:eastAsia="Arial" w:hAnsi="Arial"/>
                  <w:sz w:val="16"/>
                  <w:szCs w:val="16"/>
                  <w:u w:val="single" w:color="auto"/>
                  <w:color w:val="0000EE"/>
                </w:rPr>
                <w:t>31†</w:t>
              </w:r>
            </w:hyperlink>
          </w:p>
        </w:tc>
        <w:tc>
          <w:tcPr>
            <w:tcW w:w="10440" w:type="dxa"/>
            <w:vAlign w:val="bottom"/>
          </w:tcPr>
          <w:p>
            <w:pPr>
              <w:ind w:left="300"/>
              <w:spacing w:after="0" w:line="155" w:lineRule="exact"/>
              <w:rPr>
                <w:sz w:val="20"/>
                <w:szCs w:val="20"/>
                <w:color w:val="auto"/>
              </w:rPr>
            </w:pPr>
            <w:r>
              <w:rPr>
                <w:rFonts w:ascii="Arial" w:cs="Arial" w:eastAsia="Arial" w:hAnsi="Arial"/>
                <w:sz w:val="16"/>
                <w:szCs w:val="16"/>
                <w:color w:val="auto"/>
                <w:w w:val="90"/>
              </w:rPr>
              <w:t>Commitment Letter Regarding Property Lease Matters, effective as of May 26, 2020, of ACM Research, Inc. (incorporated herein by reference to Exhibit 10.12</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to the Current Report on Form 8-K filed on June 1, 2020)</w:t>
            </w:r>
          </w:p>
        </w:tc>
      </w:tr>
      <w:tr>
        <w:trPr>
          <w:trHeight w:val="156"/>
        </w:trPr>
        <w:tc>
          <w:tcPr>
            <w:tcW w:w="820" w:type="dxa"/>
            <w:vAlign w:val="bottom"/>
            <w:gridSpan w:val="6"/>
            <w:shd w:val="clear" w:color="auto" w:fill="CCEEFF"/>
          </w:tcPr>
          <w:p>
            <w:pPr>
              <w:spacing w:after="0" w:line="156" w:lineRule="exact"/>
              <w:rPr>
                <w:rFonts w:ascii="Arial" w:cs="Arial" w:eastAsia="Arial" w:hAnsi="Arial"/>
                <w:sz w:val="16"/>
                <w:szCs w:val="16"/>
                <w:color w:val="0000EE"/>
              </w:rPr>
            </w:pPr>
            <w:hyperlink r:id="rId203">
              <w:r>
                <w:rPr>
                  <w:rFonts w:ascii="Arial" w:cs="Arial" w:eastAsia="Arial" w:hAnsi="Arial"/>
                  <w:sz w:val="16"/>
                  <w:szCs w:val="16"/>
                  <w:color w:val="0000EE"/>
                </w:rPr>
                <w:t>10.</w:t>
              </w:r>
              <w:r>
                <w:rPr>
                  <w:rFonts w:ascii="Arial" w:cs="Arial" w:eastAsia="Arial" w:hAnsi="Arial"/>
                  <w:sz w:val="16"/>
                  <w:szCs w:val="16"/>
                  <w:u w:val="single" w:color="auto"/>
                  <w:color w:val="0000EE"/>
                </w:rPr>
                <w:t>32†</w:t>
              </w:r>
            </w:hyperlink>
          </w:p>
        </w:tc>
        <w:tc>
          <w:tcPr>
            <w:tcW w:w="10440" w:type="dxa"/>
            <w:vAlign w:val="bottom"/>
            <w:shd w:val="clear" w:color="auto" w:fill="CCEEFF"/>
          </w:tcPr>
          <w:p>
            <w:pPr>
              <w:ind w:left="300"/>
              <w:spacing w:after="0" w:line="156" w:lineRule="exact"/>
              <w:rPr>
                <w:sz w:val="20"/>
                <w:szCs w:val="20"/>
                <w:color w:val="auto"/>
              </w:rPr>
            </w:pPr>
            <w:r>
              <w:rPr>
                <w:rFonts w:ascii="Arial" w:cs="Arial" w:eastAsia="Arial" w:hAnsi="Arial"/>
                <w:sz w:val="16"/>
                <w:szCs w:val="16"/>
                <w:color w:val="auto"/>
                <w:w w:val="93"/>
              </w:rPr>
              <w:t>Commitment Letter Regarding Social Insurance and Housing Provident Fund Matters, effective as of May 26, 2020, of ACM Research, Inc. (incorporated</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herein by reference to Exhibit 10.13 to the Current Report on Form 8-K filed on June 1, 2020)</w:t>
            </w:r>
          </w:p>
        </w:tc>
      </w:tr>
      <w:tr>
        <w:trPr>
          <w:trHeight w:val="501"/>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3"/>
                <w:szCs w:val="13"/>
                <w:color w:val="auto"/>
              </w:rPr>
              <w:t>146</w:t>
            </w:r>
          </w:p>
        </w:tc>
      </w:tr>
      <w:tr>
        <w:trPr>
          <w:trHeight w:val="37"/>
        </w:trPr>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48" w:name="page149"/>
    <w:bookmarkEnd w:id="148"/>
    <w:p>
      <w:pPr>
        <w:ind w:left="5"/>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22"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120" w:type="dxa"/>
            <w:vAlign w:val="bottom"/>
            <w:gridSpan w:val="5"/>
            <w:shd w:val="clear" w:color="auto" w:fill="CCEEFF"/>
          </w:tcPr>
          <w:p>
            <w:pPr>
              <w:spacing w:after="0"/>
              <w:rPr>
                <w:rFonts w:ascii="Arial" w:cs="Arial" w:eastAsia="Arial" w:hAnsi="Arial"/>
                <w:sz w:val="16"/>
                <w:szCs w:val="16"/>
                <w:color w:val="0000EE"/>
              </w:rPr>
            </w:pPr>
            <w:hyperlink r:id="rId204">
              <w:r>
                <w:rPr>
                  <w:rFonts w:ascii="Arial" w:cs="Arial" w:eastAsia="Arial" w:hAnsi="Arial"/>
                  <w:sz w:val="16"/>
                  <w:szCs w:val="16"/>
                  <w:color w:val="0000EE"/>
                </w:rPr>
                <w:t>10.</w:t>
              </w:r>
              <w:r>
                <w:rPr>
                  <w:rFonts w:ascii="Arial" w:cs="Arial" w:eastAsia="Arial" w:hAnsi="Arial"/>
                  <w:sz w:val="16"/>
                  <w:szCs w:val="16"/>
                  <w:u w:val="single" w:color="auto"/>
                  <w:color w:val="0000EE"/>
                </w:rPr>
                <w:t>33†</w:t>
              </w:r>
            </w:hyperlink>
          </w:p>
        </w:tc>
        <w:tc>
          <w:tcPr>
            <w:tcW w:w="101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2"/>
              </w:rPr>
              <w:t>Commitment Letter Regarding Foreign Exchange Matters, effective as of May 26, 2020, of ACM Research, Inc. (incorporated herein by reference to Exhibit</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10.14 to the Current Report on Form 8-K filed on June 1, 2020)</w:t>
            </w:r>
          </w:p>
        </w:tc>
      </w:tr>
      <w:tr>
        <w:trPr>
          <w:trHeight w:val="154"/>
        </w:trPr>
        <w:tc>
          <w:tcPr>
            <w:tcW w:w="1120" w:type="dxa"/>
            <w:vAlign w:val="bottom"/>
            <w:gridSpan w:val="5"/>
          </w:tcPr>
          <w:p>
            <w:pPr>
              <w:spacing w:after="0" w:line="155" w:lineRule="exact"/>
              <w:rPr>
                <w:rFonts w:ascii="Arial" w:cs="Arial" w:eastAsia="Arial" w:hAnsi="Arial"/>
                <w:sz w:val="16"/>
                <w:szCs w:val="16"/>
                <w:color w:val="0000EE"/>
              </w:rPr>
            </w:pPr>
            <w:hyperlink r:id="rId205">
              <w:r>
                <w:rPr>
                  <w:rFonts w:ascii="Arial" w:cs="Arial" w:eastAsia="Arial" w:hAnsi="Arial"/>
                  <w:sz w:val="16"/>
                  <w:szCs w:val="16"/>
                  <w:color w:val="0000EE"/>
                </w:rPr>
                <w:t>10.</w:t>
              </w:r>
              <w:r>
                <w:rPr>
                  <w:rFonts w:ascii="Arial" w:cs="Arial" w:eastAsia="Arial" w:hAnsi="Arial"/>
                  <w:sz w:val="16"/>
                  <w:szCs w:val="16"/>
                  <w:u w:val="single" w:color="auto"/>
                  <w:color w:val="0000EE"/>
                </w:rPr>
                <w:t>34†</w:t>
              </w:r>
            </w:hyperlink>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w w:val="91"/>
              </w:rPr>
              <w:t>Confirmation and Commitment Letter Regarding the Historical Evolution Related Matters Regarding ACM Research (Shanghai), Inc., effective as of May 26,</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40" w:type="dxa"/>
            <w:vAlign w:val="bottom"/>
            <w:gridSpan w:val="4"/>
          </w:tcPr>
          <w:p>
            <w:pPr>
              <w:spacing w:after="0"/>
              <w:rPr>
                <w:sz w:val="20"/>
                <w:szCs w:val="20"/>
                <w:color w:val="auto"/>
              </w:rPr>
            </w:pPr>
            <w:r>
              <w:rPr>
                <w:rFonts w:ascii="Arial" w:cs="Arial" w:eastAsia="Arial" w:hAnsi="Arial"/>
                <w:sz w:val="16"/>
                <w:szCs w:val="16"/>
                <w:color w:val="auto"/>
              </w:rPr>
              <w:t>2020, of ACM Research, Inc. (incorporated herein by reference to Exhibit 10.15 to the Current Report on Form 8-K filed on June 1, 2020)</w:t>
            </w:r>
          </w:p>
        </w:tc>
      </w:tr>
      <w:tr>
        <w:trPr>
          <w:trHeight w:val="156"/>
        </w:trPr>
        <w:tc>
          <w:tcPr>
            <w:tcW w:w="1120" w:type="dxa"/>
            <w:vAlign w:val="bottom"/>
            <w:gridSpan w:val="5"/>
            <w:shd w:val="clear" w:color="auto" w:fill="CCEEFF"/>
          </w:tcPr>
          <w:p>
            <w:pPr>
              <w:spacing w:after="0" w:line="156" w:lineRule="exact"/>
              <w:rPr>
                <w:rFonts w:ascii="Arial" w:cs="Arial" w:eastAsia="Arial" w:hAnsi="Arial"/>
                <w:sz w:val="16"/>
                <w:szCs w:val="16"/>
                <w:color w:val="0000EE"/>
              </w:rPr>
            </w:pPr>
            <w:hyperlink r:id="rId206">
              <w:r>
                <w:rPr>
                  <w:rFonts w:ascii="Arial" w:cs="Arial" w:eastAsia="Arial" w:hAnsi="Arial"/>
                  <w:sz w:val="16"/>
                  <w:szCs w:val="16"/>
                  <w:color w:val="0000EE"/>
                </w:rPr>
                <w:t>10.</w:t>
              </w:r>
              <w:r>
                <w:rPr>
                  <w:rFonts w:ascii="Arial" w:cs="Arial" w:eastAsia="Arial" w:hAnsi="Arial"/>
                  <w:sz w:val="16"/>
                  <w:szCs w:val="16"/>
                  <w:u w:val="single" w:color="auto"/>
                  <w:color w:val="0000EE"/>
                </w:rPr>
                <w:t>35†</w:t>
              </w:r>
            </w:hyperlink>
          </w:p>
        </w:tc>
        <w:tc>
          <w:tcPr>
            <w:tcW w:w="10140" w:type="dxa"/>
            <w:vAlign w:val="bottom"/>
            <w:gridSpan w:val="4"/>
            <w:shd w:val="clear" w:color="auto" w:fill="CCEEFF"/>
          </w:tcPr>
          <w:p>
            <w:pPr>
              <w:spacing w:after="0" w:line="156" w:lineRule="exact"/>
              <w:rPr>
                <w:sz w:val="20"/>
                <w:szCs w:val="20"/>
                <w:color w:val="auto"/>
              </w:rPr>
            </w:pPr>
            <w:r>
              <w:rPr>
                <w:rFonts w:ascii="Arial" w:cs="Arial" w:eastAsia="Arial" w:hAnsi="Arial"/>
                <w:sz w:val="16"/>
                <w:szCs w:val="16"/>
                <w:color w:val="auto"/>
                <w:w w:val="91"/>
              </w:rPr>
              <w:t>Confirmation Letter, effective as of May 26, 2020, of ACM Research, Inc. (incorporated herein by reference to Exhibit 10.16 to the Current Report on Form 8-</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K filed on June 1, 2020)</w:t>
            </w:r>
          </w:p>
        </w:tc>
      </w:tr>
      <w:tr>
        <w:trPr>
          <w:trHeight w:val="154"/>
        </w:trPr>
        <w:tc>
          <w:tcPr>
            <w:tcW w:w="1120" w:type="dxa"/>
            <w:vAlign w:val="bottom"/>
            <w:gridSpan w:val="5"/>
          </w:tcPr>
          <w:p>
            <w:pPr>
              <w:spacing w:after="0" w:line="155" w:lineRule="exact"/>
              <w:rPr>
                <w:rFonts w:ascii="Arial" w:cs="Arial" w:eastAsia="Arial" w:hAnsi="Arial"/>
                <w:sz w:val="16"/>
                <w:szCs w:val="16"/>
                <w:color w:val="0000EE"/>
              </w:rPr>
            </w:pPr>
            <w:hyperlink r:id="rId207">
              <w:r>
                <w:rPr>
                  <w:rFonts w:ascii="Arial" w:cs="Arial" w:eastAsia="Arial" w:hAnsi="Arial"/>
                  <w:sz w:val="16"/>
                  <w:szCs w:val="16"/>
                  <w:color w:val="0000EE"/>
                </w:rPr>
                <w:t>10.</w:t>
              </w:r>
              <w:r>
                <w:rPr>
                  <w:rFonts w:ascii="Arial" w:cs="Arial" w:eastAsia="Arial" w:hAnsi="Arial"/>
                  <w:sz w:val="16"/>
                  <w:szCs w:val="16"/>
                  <w:u w:val="single" w:color="auto"/>
                  <w:color w:val="0000EE"/>
                </w:rPr>
                <w:t>36‡†</w:t>
              </w:r>
            </w:hyperlink>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w w:val="90"/>
              </w:rPr>
              <w:t>Qingdao Fortune-Tech Xinxing Capital Partnership (L.P.) Partnership Agreement, dated June 9, 2020, among China Fortune Tech Capital Co., Ltd., as general</w:t>
            </w:r>
          </w:p>
        </w:tc>
      </w:tr>
      <w:tr>
        <w:trPr>
          <w:trHeight w:val="193"/>
        </w:trPr>
        <w:tc>
          <w:tcPr>
            <w:tcW w:w="3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140" w:type="dxa"/>
            <w:vAlign w:val="bottom"/>
            <w:gridSpan w:val="4"/>
          </w:tcPr>
          <w:p>
            <w:pPr>
              <w:spacing w:after="0"/>
              <w:rPr>
                <w:sz w:val="20"/>
                <w:szCs w:val="20"/>
                <w:color w:val="auto"/>
              </w:rPr>
            </w:pPr>
            <w:r>
              <w:rPr>
                <w:rFonts w:ascii="Arial" w:cs="Arial" w:eastAsia="Arial" w:hAnsi="Arial"/>
                <w:sz w:val="16"/>
                <w:szCs w:val="16"/>
                <w:color w:val="auto"/>
                <w:w w:val="92"/>
              </w:rPr>
              <w:t>partner, and the several limited partners named therein, including ACM Research (Shanghai), Inc. (incorporated herein by reference to Exhibit 10.01 to the</w:t>
            </w:r>
          </w:p>
        </w:tc>
      </w:tr>
      <w:tr>
        <w:trPr>
          <w:trHeight w:val="201"/>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40" w:type="dxa"/>
            <w:vAlign w:val="bottom"/>
            <w:gridSpan w:val="4"/>
          </w:tcPr>
          <w:p>
            <w:pPr>
              <w:spacing w:after="0"/>
              <w:rPr>
                <w:sz w:val="20"/>
                <w:szCs w:val="20"/>
                <w:color w:val="auto"/>
              </w:rPr>
            </w:pPr>
            <w:r>
              <w:rPr>
                <w:rFonts w:ascii="Arial" w:cs="Arial" w:eastAsia="Arial" w:hAnsi="Arial"/>
                <w:sz w:val="16"/>
                <w:szCs w:val="16"/>
                <w:color w:val="auto"/>
              </w:rPr>
              <w:t>Current Report on Form 8-K filed on July 7, 2020)</w:t>
            </w:r>
          </w:p>
        </w:tc>
      </w:tr>
      <w:tr>
        <w:trPr>
          <w:trHeight w:val="156"/>
        </w:trPr>
        <w:tc>
          <w:tcPr>
            <w:tcW w:w="1120" w:type="dxa"/>
            <w:vAlign w:val="bottom"/>
            <w:gridSpan w:val="5"/>
            <w:shd w:val="clear" w:color="auto" w:fill="CCEEFF"/>
          </w:tcPr>
          <w:p>
            <w:pPr>
              <w:spacing w:after="0" w:line="156" w:lineRule="exact"/>
              <w:rPr>
                <w:rFonts w:ascii="Arial" w:cs="Arial" w:eastAsia="Arial" w:hAnsi="Arial"/>
                <w:sz w:val="16"/>
                <w:szCs w:val="16"/>
                <w:color w:val="0000EE"/>
              </w:rPr>
            </w:pPr>
            <w:hyperlink r:id="rId208">
              <w:r>
                <w:rPr>
                  <w:rFonts w:ascii="Arial" w:cs="Arial" w:eastAsia="Arial" w:hAnsi="Arial"/>
                  <w:sz w:val="16"/>
                  <w:szCs w:val="16"/>
                  <w:color w:val="0000EE"/>
                </w:rPr>
                <w:t>10.</w:t>
              </w:r>
              <w:r>
                <w:rPr>
                  <w:rFonts w:ascii="Arial" w:cs="Arial" w:eastAsia="Arial" w:hAnsi="Arial"/>
                  <w:sz w:val="16"/>
                  <w:szCs w:val="16"/>
                  <w:u w:val="single" w:color="auto"/>
                  <w:color w:val="0000EE"/>
                </w:rPr>
                <w:t>37‡†</w:t>
              </w:r>
            </w:hyperlink>
          </w:p>
        </w:tc>
        <w:tc>
          <w:tcPr>
            <w:tcW w:w="10140" w:type="dxa"/>
            <w:vAlign w:val="bottom"/>
            <w:gridSpan w:val="4"/>
            <w:shd w:val="clear" w:color="auto" w:fill="CCEEFF"/>
          </w:tcPr>
          <w:p>
            <w:pPr>
              <w:spacing w:after="0" w:line="156" w:lineRule="exact"/>
              <w:rPr>
                <w:sz w:val="20"/>
                <w:szCs w:val="20"/>
                <w:color w:val="auto"/>
              </w:rPr>
            </w:pPr>
            <w:r>
              <w:rPr>
                <w:rFonts w:ascii="Arial" w:cs="Arial" w:eastAsia="Arial" w:hAnsi="Arial"/>
                <w:sz w:val="16"/>
                <w:szCs w:val="16"/>
                <w:color w:val="auto"/>
                <w:w w:val="90"/>
              </w:rPr>
              <w:t>Supplementary Agreement to Partnership Agreement of Qingdao Fortune-Tech Xinxing Capital Partnership (L.P.), dated June 15, 2020, among China Fortune</w:t>
            </w:r>
          </w:p>
        </w:tc>
      </w:tr>
      <w:tr>
        <w:trPr>
          <w:trHeight w:val="193"/>
        </w:trPr>
        <w:tc>
          <w:tcPr>
            <w:tcW w:w="3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1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91"/>
              </w:rPr>
              <w:t>Tech Capital Co., Ltd., as general partner, and the several limited partners named therein, including ACM Research (Shanghai), Inc. (incorporated herein by</w:t>
            </w:r>
          </w:p>
        </w:tc>
      </w:tr>
      <w:tr>
        <w:trPr>
          <w:trHeight w:val="203"/>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reference to Exhibit 10.02 to the Current Report on Form 8-K filed on July 7, 2020)</w:t>
            </w:r>
          </w:p>
        </w:tc>
      </w:tr>
      <w:tr>
        <w:trPr>
          <w:trHeight w:val="154"/>
        </w:trPr>
        <w:tc>
          <w:tcPr>
            <w:tcW w:w="1120" w:type="dxa"/>
            <w:vAlign w:val="bottom"/>
            <w:gridSpan w:val="5"/>
          </w:tcPr>
          <w:p>
            <w:pPr>
              <w:spacing w:after="0" w:line="155" w:lineRule="exact"/>
              <w:rPr>
                <w:rFonts w:ascii="Arial" w:cs="Arial" w:eastAsia="Arial" w:hAnsi="Arial"/>
                <w:sz w:val="16"/>
                <w:szCs w:val="16"/>
                <w:color w:val="0000EE"/>
              </w:rPr>
            </w:pPr>
            <w:hyperlink r:id="rId209">
              <w:r>
                <w:rPr>
                  <w:rFonts w:ascii="Arial" w:cs="Arial" w:eastAsia="Arial" w:hAnsi="Arial"/>
                  <w:sz w:val="16"/>
                  <w:szCs w:val="16"/>
                  <w:color w:val="0000EE"/>
                </w:rPr>
                <w:t>10.</w:t>
              </w:r>
              <w:r>
                <w:rPr>
                  <w:rFonts w:ascii="Arial" w:cs="Arial" w:eastAsia="Arial" w:hAnsi="Arial"/>
                  <w:sz w:val="16"/>
                  <w:szCs w:val="16"/>
                  <w:u w:val="single" w:color="auto"/>
                  <w:color w:val="0000EE"/>
                </w:rPr>
                <w:t>38†*</w:t>
              </w:r>
            </w:hyperlink>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w w:val="90"/>
              </w:rPr>
              <w:t>Form of Shanghai Public Rental Housing Overall Pre-Sale Contract (incorporated herein by reference to Exhibit 10.01 to the Current Report on Form 8-K filed</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40" w:type="dxa"/>
            <w:vAlign w:val="bottom"/>
            <w:gridSpan w:val="4"/>
          </w:tcPr>
          <w:p>
            <w:pPr>
              <w:spacing w:after="0"/>
              <w:rPr>
                <w:sz w:val="20"/>
                <w:szCs w:val="20"/>
                <w:color w:val="auto"/>
              </w:rPr>
            </w:pPr>
            <w:r>
              <w:rPr>
                <w:rFonts w:ascii="Arial" w:cs="Arial" w:eastAsia="Arial" w:hAnsi="Arial"/>
                <w:sz w:val="16"/>
                <w:szCs w:val="16"/>
                <w:color w:val="auto"/>
              </w:rPr>
              <w:t>on February 25, 2021)</w:t>
            </w:r>
          </w:p>
        </w:tc>
      </w:tr>
      <w:tr>
        <w:trPr>
          <w:trHeight w:val="156"/>
        </w:trPr>
        <w:tc>
          <w:tcPr>
            <w:tcW w:w="1120" w:type="dxa"/>
            <w:vAlign w:val="bottom"/>
            <w:gridSpan w:val="5"/>
            <w:shd w:val="clear" w:color="auto" w:fill="CCEEFF"/>
          </w:tcPr>
          <w:p>
            <w:pPr>
              <w:spacing w:after="0" w:line="156" w:lineRule="exact"/>
              <w:rPr>
                <w:rFonts w:ascii="Arial" w:cs="Arial" w:eastAsia="Arial" w:hAnsi="Arial"/>
                <w:sz w:val="16"/>
                <w:szCs w:val="16"/>
                <w:color w:val="0000EE"/>
              </w:rPr>
            </w:pPr>
            <w:hyperlink r:id="rId210">
              <w:r>
                <w:rPr>
                  <w:rFonts w:ascii="Arial" w:cs="Arial" w:eastAsia="Arial" w:hAnsi="Arial"/>
                  <w:sz w:val="16"/>
                  <w:szCs w:val="16"/>
                  <w:color w:val="0000EE"/>
                </w:rPr>
                <w:t>10.</w:t>
              </w:r>
              <w:r>
                <w:rPr>
                  <w:rFonts w:ascii="Arial" w:cs="Arial" w:eastAsia="Arial" w:hAnsi="Arial"/>
                  <w:sz w:val="16"/>
                  <w:szCs w:val="16"/>
                  <w:u w:val="single" w:color="auto"/>
                  <w:color w:val="0000EE"/>
                </w:rPr>
                <w:t>38(a)</w:t>
              </w:r>
            </w:hyperlink>
          </w:p>
        </w:tc>
        <w:tc>
          <w:tcPr>
            <w:tcW w:w="10140" w:type="dxa"/>
            <w:vAlign w:val="bottom"/>
            <w:gridSpan w:val="4"/>
            <w:shd w:val="clear" w:color="auto" w:fill="CCEEFF"/>
          </w:tcPr>
          <w:p>
            <w:pPr>
              <w:spacing w:after="0" w:line="156" w:lineRule="exact"/>
              <w:rPr>
                <w:sz w:val="20"/>
                <w:szCs w:val="20"/>
                <w:color w:val="auto"/>
              </w:rPr>
            </w:pPr>
            <w:r>
              <w:rPr>
                <w:rFonts w:ascii="Arial" w:cs="Arial" w:eastAsia="Arial" w:hAnsi="Arial"/>
                <w:sz w:val="16"/>
                <w:szCs w:val="16"/>
                <w:color w:val="auto"/>
                <w:w w:val="91"/>
              </w:rPr>
              <w:t>Schedule identifying agreements substantially identical to the form of Shanghai Public Rental Housing Overall Pre-Sale Contract filed as Exhibit 10.43 hereto</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(incorporated herein by reference to Exhibit 10.01(a) to the Current Report on Form 8-K filed on February 25, 2021)</w:t>
            </w:r>
          </w:p>
        </w:tc>
      </w:tr>
      <w:tr>
        <w:trPr>
          <w:trHeight w:val="154"/>
        </w:trPr>
        <w:tc>
          <w:tcPr>
            <w:tcW w:w="1120" w:type="dxa"/>
            <w:vAlign w:val="bottom"/>
            <w:gridSpan w:val="5"/>
          </w:tcPr>
          <w:p>
            <w:pPr>
              <w:spacing w:after="0" w:line="155" w:lineRule="exact"/>
              <w:rPr>
                <w:rFonts w:ascii="Arial" w:cs="Arial" w:eastAsia="Arial" w:hAnsi="Arial"/>
                <w:sz w:val="16"/>
                <w:szCs w:val="16"/>
                <w:color w:val="0000EE"/>
              </w:rPr>
            </w:pPr>
            <w:hyperlink r:id="rId211">
              <w:r>
                <w:rPr>
                  <w:rFonts w:ascii="Arial" w:cs="Arial" w:eastAsia="Arial" w:hAnsi="Arial"/>
                  <w:sz w:val="16"/>
                  <w:szCs w:val="16"/>
                  <w:color w:val="0000EE"/>
                </w:rPr>
                <w:t>10.</w:t>
              </w:r>
              <w:r>
                <w:rPr>
                  <w:rFonts w:ascii="Arial" w:cs="Arial" w:eastAsia="Arial" w:hAnsi="Arial"/>
                  <w:sz w:val="16"/>
                  <w:szCs w:val="16"/>
                  <w:u w:val="single" w:color="auto"/>
                  <w:color w:val="0000EE"/>
                </w:rPr>
                <w:t>39†</w:t>
              </w:r>
            </w:hyperlink>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w w:val="89"/>
              </w:rPr>
              <w:t>Loan and Mortgage Contract dated November 19, 2020 between China Merchants Bank Co., Ltd., Shanghai Pilot Free Trade Zone Lin-Gang Special Area Sub-</w:t>
            </w:r>
          </w:p>
        </w:tc>
      </w:tr>
      <w:tr>
        <w:trPr>
          <w:trHeight w:val="193"/>
        </w:trPr>
        <w:tc>
          <w:tcPr>
            <w:tcW w:w="3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140" w:type="dxa"/>
            <w:vAlign w:val="bottom"/>
            <w:gridSpan w:val="4"/>
          </w:tcPr>
          <w:p>
            <w:pPr>
              <w:spacing w:after="0"/>
              <w:rPr>
                <w:sz w:val="20"/>
                <w:szCs w:val="20"/>
                <w:color w:val="auto"/>
              </w:rPr>
            </w:pPr>
            <w:r>
              <w:rPr>
                <w:rFonts w:ascii="Arial" w:cs="Arial" w:eastAsia="Arial" w:hAnsi="Arial"/>
                <w:sz w:val="16"/>
                <w:szCs w:val="16"/>
                <w:color w:val="auto"/>
                <w:w w:val="91"/>
              </w:rPr>
              <w:t>branch and Shengwei Research (Shanghai), Inc. (incorporated herein by reference to Exhibit 10.02 to the Current Report on Form 8-K filed on February 25,</w:t>
            </w:r>
          </w:p>
        </w:tc>
      </w:tr>
      <w:tr>
        <w:trPr>
          <w:trHeight w:val="201"/>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2021)</w:t>
            </w:r>
          </w:p>
        </w:tc>
        <w:tc>
          <w:tcPr>
            <w:tcW w:w="22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56"/>
        </w:trPr>
        <w:tc>
          <w:tcPr>
            <w:tcW w:w="1120" w:type="dxa"/>
            <w:vAlign w:val="bottom"/>
            <w:gridSpan w:val="5"/>
            <w:shd w:val="clear" w:color="auto" w:fill="CCEEFF"/>
          </w:tcPr>
          <w:p>
            <w:pPr>
              <w:spacing w:after="0" w:line="156" w:lineRule="exact"/>
              <w:rPr>
                <w:rFonts w:ascii="Arial" w:cs="Arial" w:eastAsia="Arial" w:hAnsi="Arial"/>
                <w:sz w:val="16"/>
                <w:szCs w:val="16"/>
                <w:color w:val="0000EE"/>
              </w:rPr>
            </w:pPr>
            <w:hyperlink r:id="rId212">
              <w:r>
                <w:rPr>
                  <w:rFonts w:ascii="Arial" w:cs="Arial" w:eastAsia="Arial" w:hAnsi="Arial"/>
                  <w:sz w:val="16"/>
                  <w:szCs w:val="16"/>
                  <w:color w:val="0000EE"/>
                </w:rPr>
                <w:t>10.</w:t>
              </w:r>
              <w:r>
                <w:rPr>
                  <w:rFonts w:ascii="Arial" w:cs="Arial" w:eastAsia="Arial" w:hAnsi="Arial"/>
                  <w:sz w:val="16"/>
                  <w:szCs w:val="16"/>
                  <w:u w:val="single" w:color="auto"/>
                  <w:color w:val="0000EE"/>
                </w:rPr>
                <w:t>40†</w:t>
              </w:r>
            </w:hyperlink>
          </w:p>
        </w:tc>
        <w:tc>
          <w:tcPr>
            <w:tcW w:w="10140" w:type="dxa"/>
            <w:vAlign w:val="bottom"/>
            <w:gridSpan w:val="4"/>
            <w:shd w:val="clear" w:color="auto" w:fill="CCEEFF"/>
          </w:tcPr>
          <w:p>
            <w:pPr>
              <w:spacing w:after="0" w:line="156" w:lineRule="exact"/>
              <w:rPr>
                <w:sz w:val="20"/>
                <w:szCs w:val="20"/>
                <w:color w:val="auto"/>
              </w:rPr>
            </w:pPr>
            <w:r>
              <w:rPr>
                <w:rFonts w:ascii="Arial" w:cs="Arial" w:eastAsia="Arial" w:hAnsi="Arial"/>
                <w:sz w:val="16"/>
                <w:szCs w:val="16"/>
                <w:color w:val="auto"/>
                <w:w w:val="91"/>
              </w:rPr>
              <w:t>Irrevocable Letter of Guarantee dated November 19, 2020 between China Merchants Bank Co., Ltd., Shanghai Pilot Free Trade Zone Lin-Gang Special Area</w:t>
            </w:r>
          </w:p>
        </w:tc>
      </w:tr>
      <w:tr>
        <w:trPr>
          <w:trHeight w:val="193"/>
        </w:trPr>
        <w:tc>
          <w:tcPr>
            <w:tcW w:w="3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1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92"/>
              </w:rPr>
              <w:t>Sub-branch and ACM Research (Shanghai), Inc. (incorporated herein by reference to Exhibit 10.03 to the Current Report on Form 8-K filed on February 25,</w:t>
            </w:r>
          </w:p>
        </w:tc>
      </w:tr>
      <w:tr>
        <w:trPr>
          <w:trHeight w:val="203"/>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226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54"/>
        </w:trPr>
        <w:tc>
          <w:tcPr>
            <w:tcW w:w="1120" w:type="dxa"/>
            <w:vAlign w:val="bottom"/>
            <w:gridSpan w:val="5"/>
          </w:tcPr>
          <w:p>
            <w:pPr>
              <w:spacing w:after="0" w:line="155" w:lineRule="exact"/>
              <w:rPr>
                <w:rFonts w:ascii="Arial" w:cs="Arial" w:eastAsia="Arial" w:hAnsi="Arial"/>
                <w:sz w:val="16"/>
                <w:szCs w:val="16"/>
                <w:color w:val="0000EE"/>
              </w:rPr>
            </w:pPr>
            <w:hyperlink r:id="rId213">
              <w:r>
                <w:rPr>
                  <w:rFonts w:ascii="Arial" w:cs="Arial" w:eastAsia="Arial" w:hAnsi="Arial"/>
                  <w:sz w:val="16"/>
                  <w:szCs w:val="16"/>
                  <w:color w:val="0000EE"/>
                </w:rPr>
                <w:t>10.</w:t>
              </w:r>
              <w:r>
                <w:rPr>
                  <w:rFonts w:ascii="Arial" w:cs="Arial" w:eastAsia="Arial" w:hAnsi="Arial"/>
                  <w:sz w:val="16"/>
                  <w:szCs w:val="16"/>
                  <w:u w:val="single" w:color="auto"/>
                  <w:color w:val="0000EE"/>
                </w:rPr>
                <w:t>41‡†</w:t>
              </w:r>
            </w:hyperlink>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w w:val="97"/>
              </w:rPr>
              <w:t>Plant lease Contract dated as of February 1, 2021 between ACM Research (Shanghai), Inc. and Shanghai Shengyu Culture Development Co., Ltd.</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40" w:type="dxa"/>
            <w:vAlign w:val="bottom"/>
            <w:gridSpan w:val="4"/>
          </w:tcPr>
          <w:p>
            <w:pPr>
              <w:spacing w:after="0"/>
              <w:rPr>
                <w:sz w:val="20"/>
                <w:szCs w:val="20"/>
                <w:color w:val="auto"/>
              </w:rPr>
            </w:pPr>
            <w:r>
              <w:rPr>
                <w:rFonts w:ascii="Arial" w:cs="Arial" w:eastAsia="Arial" w:hAnsi="Arial"/>
                <w:sz w:val="16"/>
                <w:szCs w:val="16"/>
                <w:color w:val="auto"/>
              </w:rPr>
              <w:t>(incorporated herein by reference to Exhibit 10.01 to the Quarterly Report on Form 10-Q filed on May 7, 2021)</w:t>
            </w:r>
          </w:p>
        </w:tc>
      </w:tr>
      <w:tr>
        <w:trPr>
          <w:trHeight w:val="156"/>
        </w:trPr>
        <w:tc>
          <w:tcPr>
            <w:tcW w:w="440" w:type="dxa"/>
            <w:vAlign w:val="bottom"/>
            <w:gridSpan w:val="2"/>
            <w:shd w:val="clear" w:color="auto" w:fill="CCEEFF"/>
          </w:tcPr>
          <w:p>
            <w:pPr>
              <w:spacing w:after="0" w:line="156" w:lineRule="exact"/>
              <w:rPr>
                <w:rFonts w:ascii="Arial" w:cs="Arial" w:eastAsia="Arial" w:hAnsi="Arial"/>
                <w:sz w:val="16"/>
                <w:szCs w:val="16"/>
                <w:color w:val="0000EE"/>
              </w:rPr>
            </w:pPr>
            <w:hyperlink r:id="rId214">
              <w:r>
                <w:rPr>
                  <w:rFonts w:ascii="Arial" w:cs="Arial" w:eastAsia="Arial" w:hAnsi="Arial"/>
                  <w:sz w:val="16"/>
                  <w:szCs w:val="16"/>
                  <w:color w:val="0000EE"/>
                </w:rPr>
                <w:t>16.</w:t>
              </w:r>
              <w:r>
                <w:rPr>
                  <w:rFonts w:ascii="Arial" w:cs="Arial" w:eastAsia="Arial" w:hAnsi="Arial"/>
                  <w:sz w:val="16"/>
                  <w:szCs w:val="16"/>
                  <w:u w:val="single" w:color="auto"/>
                  <w:color w:val="0000EE"/>
                </w:rPr>
                <w:t>01</w:t>
              </w:r>
            </w:hyperlink>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40" w:type="dxa"/>
            <w:vAlign w:val="bottom"/>
            <w:gridSpan w:val="3"/>
            <w:shd w:val="clear" w:color="auto" w:fill="CCEEFF"/>
          </w:tcPr>
          <w:p>
            <w:pPr>
              <w:spacing w:after="0" w:line="156" w:lineRule="exact"/>
              <w:rPr>
                <w:sz w:val="20"/>
                <w:szCs w:val="20"/>
                <w:color w:val="auto"/>
              </w:rPr>
            </w:pPr>
            <w:r>
              <w:rPr>
                <w:rFonts w:ascii="Arial" w:cs="Arial" w:eastAsia="Arial" w:hAnsi="Arial"/>
                <w:sz w:val="16"/>
                <w:szCs w:val="16"/>
                <w:color w:val="auto"/>
                <w:w w:val="91"/>
                <w:shd w:val="clear" w:color="auto" w:fill="CCEEFF"/>
              </w:rPr>
              <w:t>Letter dated May 19, 2022 from BDO China Shu Lun Pan Certified Public Accountants LLP to the Securities and Exchange Commission</w:t>
            </w:r>
          </w:p>
        </w:tc>
        <w:tc>
          <w:tcPr>
            <w:tcW w:w="130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89"/>
              </w:rPr>
              <w:t>(incorporated herein</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by reference to Exhibit 16.1 to the Current Report on Form 8-K filed on May 19, 2022)</w:t>
            </w:r>
          </w:p>
        </w:tc>
        <w:tc>
          <w:tcPr>
            <w:tcW w:w="1300" w:type="dxa"/>
            <w:vAlign w:val="bottom"/>
            <w:tcBorders>
              <w:top w:val="single" w:sz="8" w:color="CCEEFF"/>
            </w:tcBorders>
            <w:shd w:val="clear" w:color="auto" w:fill="CCEEFF"/>
          </w:tcPr>
          <w:p>
            <w:pPr>
              <w:spacing w:after="0"/>
              <w:rPr>
                <w:sz w:val="17"/>
                <w:szCs w:val="17"/>
                <w:color w:val="auto"/>
              </w:rPr>
            </w:pPr>
          </w:p>
        </w:tc>
      </w:tr>
      <w:tr>
        <w:trPr>
          <w:trHeight w:val="154"/>
        </w:trPr>
        <w:tc>
          <w:tcPr>
            <w:tcW w:w="36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color w:val="0000EE"/>
                <w:w w:val="84"/>
              </w:rPr>
              <w:t>21.</w:t>
            </w:r>
            <w:r>
              <w:rPr>
                <w:rFonts w:ascii="Arial" w:cs="Arial" w:eastAsia="Arial" w:hAnsi="Arial"/>
                <w:sz w:val="16"/>
                <w:szCs w:val="16"/>
                <w:u w:val="single" w:color="auto"/>
                <w:color w:val="0000EE"/>
                <w:w w:val="84"/>
              </w:rPr>
              <w:t>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rPr>
              <w:t>List of Subsidiaries of ACM Research, Inc.</w:t>
            </w:r>
          </w:p>
        </w:tc>
      </w:tr>
      <w:tr>
        <w:trPr>
          <w:trHeight w:val="186"/>
        </w:trPr>
        <w:tc>
          <w:tcPr>
            <w:tcW w:w="360" w:type="dxa"/>
            <w:vAlign w:val="bottom"/>
            <w:tcBorders>
              <w:bottom w:val="single" w:sz="8" w:color="0000EE"/>
            </w:tcBorders>
            <w:shd w:val="clear" w:color="auto" w:fill="CCEEFF"/>
          </w:tcPr>
          <w:p>
            <w:pPr>
              <w:spacing w:after="0" w:line="170" w:lineRule="exact"/>
              <w:rPr>
                <w:sz w:val="20"/>
                <w:szCs w:val="20"/>
                <w:color w:val="auto"/>
              </w:rPr>
            </w:pPr>
            <w:r>
              <w:rPr>
                <w:rFonts w:ascii="Arial" w:cs="Arial" w:eastAsia="Arial" w:hAnsi="Arial"/>
                <w:sz w:val="16"/>
                <w:szCs w:val="16"/>
                <w:color w:val="0000EE"/>
                <w:w w:val="84"/>
              </w:rPr>
              <w:t>23.</w:t>
            </w:r>
            <w:r>
              <w:rPr>
                <w:rFonts w:ascii="Arial" w:cs="Arial" w:eastAsia="Arial" w:hAnsi="Arial"/>
                <w:sz w:val="16"/>
                <w:szCs w:val="16"/>
                <w:u w:val="single" w:color="auto"/>
                <w:color w:val="0000EE"/>
                <w:w w:val="84"/>
              </w:rPr>
              <w:t>01</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140" w:type="dxa"/>
            <w:vAlign w:val="bottom"/>
            <w:tcBorders>
              <w:bottom w:val="single" w:sz="8" w:color="CCEEFF"/>
            </w:tcBorders>
            <w:gridSpan w:val="4"/>
            <w:shd w:val="clear" w:color="auto" w:fill="CCEEFF"/>
          </w:tcPr>
          <w:p>
            <w:pPr>
              <w:spacing w:after="0" w:line="170" w:lineRule="exact"/>
              <w:rPr>
                <w:sz w:val="20"/>
                <w:szCs w:val="20"/>
                <w:color w:val="auto"/>
              </w:rPr>
            </w:pPr>
            <w:r>
              <w:rPr>
                <w:rFonts w:ascii="Arial" w:cs="Arial" w:eastAsia="Arial" w:hAnsi="Arial"/>
                <w:sz w:val="16"/>
                <w:szCs w:val="16"/>
                <w:color w:val="auto"/>
              </w:rPr>
              <w:t>Consent of Armanino LLP</w:t>
            </w:r>
          </w:p>
        </w:tc>
      </w:tr>
      <w:tr>
        <w:trPr>
          <w:trHeight w:val="154"/>
        </w:trPr>
        <w:tc>
          <w:tcPr>
            <w:tcW w:w="36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color w:val="0000EE"/>
                <w:w w:val="84"/>
              </w:rPr>
              <w:t>23.</w:t>
            </w:r>
            <w:r>
              <w:rPr>
                <w:rFonts w:ascii="Arial" w:cs="Arial" w:eastAsia="Arial" w:hAnsi="Arial"/>
                <w:sz w:val="16"/>
                <w:szCs w:val="16"/>
                <w:u w:val="single" w:color="auto"/>
                <w:color w:val="0000EE"/>
                <w:w w:val="84"/>
              </w:rPr>
              <w:t>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rPr>
              <w:t>Consent of BDO China Shu Lun Pan Certified Public Accountants LLP</w:t>
            </w:r>
          </w:p>
        </w:tc>
      </w:tr>
      <w:tr>
        <w:trPr>
          <w:trHeight w:val="170"/>
        </w:trPr>
        <w:tc>
          <w:tcPr>
            <w:tcW w:w="440" w:type="dxa"/>
            <w:vAlign w:val="bottom"/>
            <w:gridSpan w:val="2"/>
            <w:shd w:val="clear" w:color="auto" w:fill="CCEEFF"/>
          </w:tcPr>
          <w:p>
            <w:pPr>
              <w:spacing w:after="0" w:line="170" w:lineRule="exact"/>
              <w:rPr>
                <w:sz w:val="20"/>
                <w:szCs w:val="20"/>
                <w:color w:val="auto"/>
              </w:rPr>
            </w:pPr>
            <w:r>
              <w:rPr>
                <w:rFonts w:ascii="Arial" w:cs="Arial" w:eastAsia="Arial" w:hAnsi="Arial"/>
                <w:sz w:val="16"/>
                <w:szCs w:val="16"/>
                <w:color w:val="0000EE"/>
              </w:rPr>
              <w:t>31.</w:t>
            </w:r>
            <w:r>
              <w:rPr>
                <w:rFonts w:ascii="Arial" w:cs="Arial" w:eastAsia="Arial" w:hAnsi="Arial"/>
                <w:sz w:val="16"/>
                <w:szCs w:val="16"/>
                <w:u w:val="single" w:color="auto"/>
                <w:color w:val="0000EE"/>
              </w:rPr>
              <w:t>01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140" w:type="dxa"/>
            <w:vAlign w:val="bottom"/>
            <w:gridSpan w:val="4"/>
            <w:shd w:val="clear" w:color="auto" w:fill="CCEEFF"/>
          </w:tcPr>
          <w:p>
            <w:pPr>
              <w:spacing w:after="0" w:line="170" w:lineRule="exact"/>
              <w:rPr>
                <w:sz w:val="20"/>
                <w:szCs w:val="20"/>
                <w:color w:val="auto"/>
              </w:rPr>
            </w:pPr>
            <w:r>
              <w:rPr>
                <w:rFonts w:ascii="Arial" w:cs="Arial" w:eastAsia="Arial" w:hAnsi="Arial"/>
                <w:sz w:val="16"/>
                <w:szCs w:val="16"/>
                <w:color w:val="auto"/>
                <w:w w:val="93"/>
              </w:rPr>
              <w:t>Certification of Principal Executive Officer Pursuant to Rules 13a-14(a) and 15d-14(a) under the Securities Exchange Act of 1934, as Adopted Pursuant to</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Section 302 of the Sarbanes-Oxley Act of 2002</w:t>
            </w:r>
          </w:p>
        </w:tc>
      </w:tr>
      <w:tr>
        <w:trPr>
          <w:trHeight w:val="154"/>
        </w:trPr>
        <w:tc>
          <w:tcPr>
            <w:tcW w:w="440" w:type="dxa"/>
            <w:vAlign w:val="bottom"/>
            <w:gridSpan w:val="2"/>
          </w:tcPr>
          <w:p>
            <w:pPr>
              <w:spacing w:after="0" w:line="155" w:lineRule="exact"/>
              <w:rPr>
                <w:sz w:val="20"/>
                <w:szCs w:val="20"/>
                <w:color w:val="auto"/>
              </w:rPr>
            </w:pPr>
            <w:r>
              <w:rPr>
                <w:rFonts w:ascii="Arial" w:cs="Arial" w:eastAsia="Arial" w:hAnsi="Arial"/>
                <w:sz w:val="16"/>
                <w:szCs w:val="16"/>
                <w:color w:val="0000EE"/>
              </w:rPr>
              <w:t>31.</w:t>
            </w:r>
            <w:r>
              <w:rPr>
                <w:rFonts w:ascii="Arial" w:cs="Arial" w:eastAsia="Arial" w:hAnsi="Arial"/>
                <w:sz w:val="16"/>
                <w:szCs w:val="16"/>
                <w:u w:val="single" w:color="auto"/>
                <w:color w:val="0000EE"/>
              </w:rPr>
              <w:t>02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w w:val="93"/>
              </w:rPr>
              <w:t>Certification of Principal Financial Officer Pursuant to Rules 13a-14(a) and 15d-14(a) under the Securities Exchange Act of 1934, as Adopted Pursuant to</w:t>
            </w:r>
          </w:p>
        </w:tc>
      </w:tr>
      <w:tr>
        <w:trPr>
          <w:trHeight w:val="204"/>
        </w:trPr>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40" w:type="dxa"/>
            <w:vAlign w:val="bottom"/>
            <w:gridSpan w:val="4"/>
          </w:tcPr>
          <w:p>
            <w:pPr>
              <w:spacing w:after="0"/>
              <w:rPr>
                <w:sz w:val="20"/>
                <w:szCs w:val="20"/>
                <w:color w:val="auto"/>
              </w:rPr>
            </w:pPr>
            <w:r>
              <w:rPr>
                <w:rFonts w:ascii="Arial" w:cs="Arial" w:eastAsia="Arial" w:hAnsi="Arial"/>
                <w:sz w:val="16"/>
                <w:szCs w:val="16"/>
                <w:color w:val="auto"/>
              </w:rPr>
              <w:t>Section 302 of the Sarbanes-Oxley Act of 2002</w:t>
            </w:r>
          </w:p>
        </w:tc>
      </w:tr>
      <w:tr>
        <w:trPr>
          <w:trHeight w:val="156"/>
        </w:trPr>
        <w:tc>
          <w:tcPr>
            <w:tcW w:w="440" w:type="dxa"/>
            <w:vAlign w:val="bottom"/>
            <w:gridSpan w:val="2"/>
            <w:shd w:val="clear" w:color="auto" w:fill="CCEEFF"/>
          </w:tcPr>
          <w:p>
            <w:pPr>
              <w:spacing w:after="0" w:line="156" w:lineRule="exact"/>
              <w:rPr>
                <w:sz w:val="20"/>
                <w:szCs w:val="20"/>
                <w:color w:val="auto"/>
              </w:rPr>
            </w:pPr>
            <w:r>
              <w:rPr>
                <w:rFonts w:ascii="Arial" w:cs="Arial" w:eastAsia="Arial" w:hAnsi="Arial"/>
                <w:sz w:val="16"/>
                <w:szCs w:val="16"/>
                <w:color w:val="0000EE"/>
              </w:rPr>
              <w:t>32.</w:t>
            </w:r>
            <w:r>
              <w:rPr>
                <w:rFonts w:ascii="Arial" w:cs="Arial" w:eastAsia="Arial" w:hAnsi="Arial"/>
                <w:sz w:val="16"/>
                <w:szCs w:val="16"/>
                <w:u w:val="single" w:color="auto"/>
                <w:color w:val="0000EE"/>
              </w:rPr>
              <w:t>01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140" w:type="dxa"/>
            <w:vAlign w:val="bottom"/>
            <w:gridSpan w:val="4"/>
            <w:shd w:val="clear" w:color="auto" w:fill="CCEEFF"/>
          </w:tcPr>
          <w:p>
            <w:pPr>
              <w:spacing w:after="0" w:line="156" w:lineRule="exact"/>
              <w:rPr>
                <w:sz w:val="20"/>
                <w:szCs w:val="20"/>
                <w:color w:val="auto"/>
              </w:rPr>
            </w:pPr>
            <w:r>
              <w:rPr>
                <w:rFonts w:ascii="Arial" w:cs="Arial" w:eastAsia="Arial" w:hAnsi="Arial"/>
                <w:sz w:val="16"/>
                <w:szCs w:val="16"/>
                <w:color w:val="auto"/>
                <w:w w:val="93"/>
              </w:rPr>
              <w:t>Certification of Principal Executive Officer and Principal Financial Officer Pursuant to 18 U.S.C. Section 1350, as Adopted Pursuant to Section 906 of the</w:t>
            </w:r>
          </w:p>
        </w:tc>
      </w:tr>
      <w:tr>
        <w:trPr>
          <w:trHeight w:val="20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Sarbanes-Oxley Act of 2002</w:t>
            </w:r>
          </w:p>
        </w:tc>
      </w:tr>
      <w:tr>
        <w:trPr>
          <w:trHeight w:val="154"/>
        </w:trPr>
        <w:tc>
          <w:tcPr>
            <w:tcW w:w="36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color w:val="0000EE"/>
                <w:w w:val="84"/>
              </w:rPr>
              <w:t>99.</w:t>
            </w:r>
            <w:r>
              <w:rPr>
                <w:rFonts w:ascii="Arial" w:cs="Arial" w:eastAsia="Arial" w:hAnsi="Arial"/>
                <w:sz w:val="16"/>
                <w:szCs w:val="16"/>
                <w:u w:val="single" w:color="auto"/>
                <w:color w:val="0000EE"/>
                <w:w w:val="84"/>
              </w:rPr>
              <w:t>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40" w:type="dxa"/>
            <w:vAlign w:val="bottom"/>
            <w:gridSpan w:val="4"/>
          </w:tcPr>
          <w:p>
            <w:pPr>
              <w:spacing w:after="0" w:line="155" w:lineRule="exact"/>
              <w:rPr>
                <w:sz w:val="20"/>
                <w:szCs w:val="20"/>
                <w:color w:val="auto"/>
              </w:rPr>
            </w:pPr>
            <w:r>
              <w:rPr>
                <w:rFonts w:ascii="Arial" w:cs="Arial" w:eastAsia="Arial" w:hAnsi="Arial"/>
                <w:sz w:val="16"/>
                <w:szCs w:val="16"/>
                <w:color w:val="auto"/>
              </w:rPr>
              <w:t>Submission under Item 9C(a) of Form 10-K</w:t>
            </w:r>
          </w:p>
        </w:tc>
      </w:tr>
      <w:tr>
        <w:trPr>
          <w:trHeight w:val="193"/>
        </w:trPr>
        <w:tc>
          <w:tcPr>
            <w:tcW w:w="1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101.INS</w:t>
            </w:r>
          </w:p>
        </w:tc>
        <w:tc>
          <w:tcPr>
            <w:tcW w:w="101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2"/>
              </w:rPr>
              <w:t>Inline XBRL Instance Document (the instance document does not appear in the Interactive Data File because its XBRL tags are embedded within the Inline</w:t>
            </w:r>
          </w:p>
        </w:tc>
      </w:tr>
      <w:tr>
        <w:trPr>
          <w:trHeight w:val="203"/>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XBRL document)</w:t>
            </w:r>
          </w:p>
        </w:tc>
      </w:tr>
      <w:tr>
        <w:trPr>
          <w:trHeight w:val="190"/>
        </w:trPr>
        <w:tc>
          <w:tcPr>
            <w:tcW w:w="1120" w:type="dxa"/>
            <w:vAlign w:val="bottom"/>
            <w:gridSpan w:val="5"/>
          </w:tcPr>
          <w:p>
            <w:pPr>
              <w:spacing w:after="0"/>
              <w:rPr>
                <w:sz w:val="20"/>
                <w:szCs w:val="20"/>
                <w:color w:val="auto"/>
              </w:rPr>
            </w:pPr>
            <w:r>
              <w:rPr>
                <w:rFonts w:ascii="Arial" w:cs="Arial" w:eastAsia="Arial" w:hAnsi="Arial"/>
                <w:sz w:val="16"/>
                <w:szCs w:val="16"/>
                <w:color w:val="auto"/>
              </w:rPr>
              <w:t>101.SCH</w:t>
            </w:r>
          </w:p>
        </w:tc>
        <w:tc>
          <w:tcPr>
            <w:tcW w:w="1014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190"/>
        </w:trPr>
        <w:tc>
          <w:tcPr>
            <w:tcW w:w="1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101.CAL</w:t>
            </w:r>
          </w:p>
        </w:tc>
        <w:tc>
          <w:tcPr>
            <w:tcW w:w="10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190"/>
        </w:trPr>
        <w:tc>
          <w:tcPr>
            <w:tcW w:w="1120" w:type="dxa"/>
            <w:vAlign w:val="bottom"/>
            <w:gridSpan w:val="5"/>
          </w:tcPr>
          <w:p>
            <w:pPr>
              <w:spacing w:after="0"/>
              <w:rPr>
                <w:sz w:val="20"/>
                <w:szCs w:val="20"/>
                <w:color w:val="auto"/>
              </w:rPr>
            </w:pPr>
            <w:r>
              <w:rPr>
                <w:rFonts w:ascii="Arial" w:cs="Arial" w:eastAsia="Arial" w:hAnsi="Arial"/>
                <w:sz w:val="16"/>
                <w:szCs w:val="16"/>
                <w:color w:val="auto"/>
              </w:rPr>
              <w:t>101.DEF</w:t>
            </w:r>
          </w:p>
        </w:tc>
        <w:tc>
          <w:tcPr>
            <w:tcW w:w="1014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190"/>
        </w:trPr>
        <w:tc>
          <w:tcPr>
            <w:tcW w:w="1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101.LAB</w:t>
            </w:r>
          </w:p>
        </w:tc>
        <w:tc>
          <w:tcPr>
            <w:tcW w:w="10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190"/>
        </w:trPr>
        <w:tc>
          <w:tcPr>
            <w:tcW w:w="1120" w:type="dxa"/>
            <w:vAlign w:val="bottom"/>
            <w:gridSpan w:val="5"/>
          </w:tcPr>
          <w:p>
            <w:pPr>
              <w:spacing w:after="0"/>
              <w:rPr>
                <w:sz w:val="20"/>
                <w:szCs w:val="20"/>
                <w:color w:val="auto"/>
              </w:rPr>
            </w:pPr>
            <w:r>
              <w:rPr>
                <w:rFonts w:ascii="Arial" w:cs="Arial" w:eastAsia="Arial" w:hAnsi="Arial"/>
                <w:sz w:val="16"/>
                <w:szCs w:val="16"/>
                <w:color w:val="auto"/>
              </w:rPr>
              <w:t>101.PRE</w:t>
            </w:r>
          </w:p>
        </w:tc>
        <w:tc>
          <w:tcPr>
            <w:tcW w:w="1014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190"/>
        </w:trPr>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194"/>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177" w:lineRule="exact"/>
        <w:rPr>
          <w:sz w:val="20"/>
          <w:szCs w:val="20"/>
          <w:color w:val="auto"/>
        </w:rPr>
      </w:pPr>
    </w:p>
    <w:p>
      <w:pPr>
        <w:ind w:left="425" w:hanging="425"/>
        <w:spacing w:after="0"/>
        <w:tabs>
          <w:tab w:leader="none" w:pos="425"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7" w:lineRule="exact"/>
        <w:rPr>
          <w:sz w:val="20"/>
          <w:szCs w:val="20"/>
          <w:color w:val="auto"/>
        </w:rPr>
      </w:pPr>
    </w:p>
    <w:p>
      <w:pPr>
        <w:ind w:left="425" w:hanging="425"/>
        <w:spacing w:after="0"/>
        <w:tabs>
          <w:tab w:leader="none" w:pos="425" w:val="left"/>
        </w:tabs>
        <w:numPr>
          <w:ilvl w:val="0"/>
          <w:numId w:val="95"/>
        </w:numPr>
        <w:rPr>
          <w:rFonts w:ascii="Arial" w:cs="Arial" w:eastAsia="Arial" w:hAnsi="Arial"/>
          <w:sz w:val="16"/>
          <w:szCs w:val="16"/>
          <w:color w:val="auto"/>
        </w:rPr>
      </w:pPr>
      <w:r>
        <w:rPr>
          <w:rFonts w:ascii="Arial" w:cs="Arial" w:eastAsia="Arial" w:hAnsi="Arial"/>
          <w:sz w:val="16"/>
          <w:szCs w:val="16"/>
          <w:color w:val="auto"/>
        </w:rPr>
        <w:t>Certain information in this exhibit was omitted by means of redacting a portion of the text and replacing it with [***]</w:t>
      </w:r>
    </w:p>
    <w:p>
      <w:pPr>
        <w:spacing w:after="0" w:line="6"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Unofficial English translation of original document prepared in Mandarin Chinese.</w:t>
      </w:r>
    </w:p>
    <w:p>
      <w:pPr>
        <w:spacing w:after="0" w:line="6" w:lineRule="exact"/>
        <w:rPr>
          <w:rFonts w:ascii="Arial" w:cs="Arial" w:eastAsia="Arial" w:hAnsi="Arial"/>
          <w:sz w:val="16"/>
          <w:szCs w:val="16"/>
          <w:color w:val="auto"/>
        </w:rPr>
      </w:pPr>
    </w:p>
    <w:p>
      <w:pPr>
        <w:ind w:left="425" w:hanging="428"/>
        <w:spacing w:after="0" w:line="190" w:lineRule="exact"/>
        <w:rPr>
          <w:rFonts w:ascii="Arial" w:cs="Arial" w:eastAsia="Arial" w:hAnsi="Arial"/>
          <w:sz w:val="16"/>
          <w:szCs w:val="16"/>
          <w:color w:val="auto"/>
        </w:rPr>
      </w:pPr>
      <w:r>
        <w:rPr>
          <w:rFonts w:ascii="Arial" w:cs="Arial" w:eastAsia="Arial" w:hAnsi="Arial"/>
          <w:sz w:val="16"/>
          <w:szCs w:val="16"/>
          <w:color w:val="auto"/>
        </w:rPr>
        <w:t>*Certain appendices have been omitted pursuant to Item 601(a)(5) of Regulation S-K. We hereby undertake to furnish copies of the omitted appendices upon request by the Securities and Exchange Commission, provided that we may request confidential treatment pursuant to Rule 24b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for the appendices so furnished.</w:t>
      </w:r>
    </w:p>
    <w:p>
      <w:pPr>
        <w:spacing w:after="0" w:line="177" w:lineRule="exact"/>
        <w:rPr>
          <w:sz w:val="20"/>
          <w:szCs w:val="20"/>
          <w:color w:val="auto"/>
        </w:rPr>
      </w:pPr>
    </w:p>
    <w:p>
      <w:pPr>
        <w:ind w:left="5"/>
        <w:spacing w:after="0"/>
        <w:tabs>
          <w:tab w:leader="none" w:pos="845"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color w:val="auto"/>
        </w:rPr>
        <w:t>None.</w:t>
      </w:r>
    </w:p>
    <w:p>
      <w:pPr>
        <w:spacing w:after="0" w:line="35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883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4" w:right="31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firstLine="570"/>
        <w:spacing w:after="0" w:line="270" w:lineRule="auto"/>
        <w:rPr>
          <w:sz w:val="20"/>
          <w:szCs w:val="20"/>
          <w:color w:val="auto"/>
        </w:rPr>
      </w:pPr>
      <w:r>
        <w:rPr>
          <w:rFonts w:ascii="Arial" w:cs="Arial" w:eastAsia="Arial" w:hAnsi="Arial"/>
          <w:sz w:val="16"/>
          <w:szCs w:val="16"/>
          <w:color w:val="auto"/>
        </w:rPr>
        <w:t>Pursuant to the requirements of Section 13 or 15(d) of the Securities Act of 1934, the registrant has duly caused this report to be signed on its behalf by the undersigned, thereunto duly authorized, as of March 1, 2023.</w:t>
      </w:r>
    </w:p>
    <w:p>
      <w:pPr>
        <w:spacing w:after="0" w:line="152"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ACM RESEARCH, INC.</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12065</wp:posOffset>
            </wp:positionV>
            <wp:extent cx="335597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3355975" cy="15240"/>
                    </a:xfrm>
                    <a:prstGeom prst="rect">
                      <a:avLst/>
                    </a:prstGeom>
                    <a:noFill/>
                  </pic:spPr>
                </pic:pic>
              </a:graphicData>
            </a:graphic>
          </wp:anchor>
        </w:drawing>
      </w:r>
    </w:p>
    <w:p>
      <w:pPr>
        <w:spacing w:after="0" w:line="10"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David H. Wang</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Executive Officer and President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Pursuant to the requirements of the Securities Act of 1934, this report has been signed below by the following persons in the capacities indicated as of March 1, 2023:</w:t>
      </w:r>
    </w:p>
    <w:p>
      <w:pPr>
        <w:sectPr>
          <w:pgSz w:w="11900" w:h="16838" w:orient="portrait"/>
          <w:cols w:equalWidth="0" w:num="1">
            <w:col w:w="11260"/>
          </w:cols>
          <w:pgMar w:left="320" w:top="124" w:right="31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0647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350647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50647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3506470"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David H. Wang</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350647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3506470" cy="1524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A. McKechnie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/s/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50647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3506470"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Haiping Dun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 Chenming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50647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3506470"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Chenming Hu</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 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50647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3506470"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Tracy Liu</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 Xiao 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50647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3506470" cy="15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Xiao Xing</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49885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3498850"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President and Director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 Executive Vice President and Treasurer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313690</wp:posOffset>
            </wp:positionV>
            <wp:extent cx="714883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2">
            <w:col w:w="5020" w:space="720"/>
            <w:col w:w="5520"/>
          </w:cols>
          <w:pgMar w:left="320" w:top="124" w:right="31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4.05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ACM Research, Inc. Securities</w:t>
      </w:r>
    </w:p>
    <w:p>
      <w:pPr>
        <w:spacing w:after="0" w:line="22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following information constitutes the “Description of Securities” required by Item 202(a) of Regulation S-K. As of March 1, 2023, ACM Research, Inc. has one class of securities registered under Section 12 of the Securities Exchange Act of 1934, as amended, which is its Class A common stock, $0.0001 par value per share.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References herein to “we,” “our,” “us,” or “our company” refer to ACM Research, Inc., a Delaware corporation. The following information summarizes the material terms of our common and preferred stock and warrants, as well as relevant provisions of our charter, which includes certificates of designations relating to each series of our preferred stock, and bylaws, the Delaware General Corporation Law and the Warrant (as defined below). For a complete description of the terms of our common stock and other securities, please refer to our charter and bylaws and the Warrant.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 Stock</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Our authorized capital stock consists of (i) 150,000,000 shares of Class A common stock, $0.0001 par value per share, of which 60,000,000 are available only for issuance as dividends on outstanding Class A common stock, (ii) 5,307,816 shares of Class B common stock, $0.0001 par value per share, all of which are available only for issuance as dividends on outstanding Class B common stock, and (iii) 10,000,000 shares of preferred stock, $0.0001 par value per share. Class A common stock and Class B common stock are referred to collectively as common stock. Authorized but unissued shares of Class B Common Stock are not available for reissuance.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Except as otherwise required by Delaware law, at every annual or special meeting of stockholders, holders of Class B common stock are entitled to twenty votes per share and holders of Class A common stock are entitled to one vote per share. The holders of Class A common stock and Class B common stock vote together as a single class, unless otherwise required by law.</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w:t>
      </w: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shares of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4883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i w:val="1"/>
          <w:iCs w:val="1"/>
          <w:color w:val="auto"/>
        </w:rPr>
        <w:t>Other Rights and Preferences</w:t>
      </w: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22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90"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Delaware Law</w:t>
      </w:r>
    </w:p>
    <w:p>
      <w:pPr>
        <w:spacing w:after="0" w:line="224"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30" w:lineRule="exact"/>
        <w:rPr>
          <w:sz w:val="20"/>
          <w:szCs w:val="20"/>
          <w:color w:val="auto"/>
        </w:rPr>
      </w:pPr>
    </w:p>
    <w:p>
      <w:pPr>
        <w:ind w:left="560" w:hanging="280"/>
        <w:spacing w:after="0"/>
        <w:tabs>
          <w:tab w:leader="none" w:pos="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w:t>
      </w:r>
    </w:p>
    <w:p>
      <w:pPr>
        <w:spacing w:after="0" w:line="219" w:lineRule="exact"/>
        <w:rPr>
          <w:rFonts w:ascii="Arial" w:cs="Arial" w:eastAsia="Arial" w:hAnsi="Arial"/>
          <w:sz w:val="16"/>
          <w:szCs w:val="16"/>
          <w:color w:val="auto"/>
        </w:rPr>
      </w:pPr>
    </w:p>
    <w:p>
      <w:pPr>
        <w:ind w:left="560" w:right="20" w:hanging="280"/>
        <w:spacing w:after="0" w:line="342" w:lineRule="auto"/>
        <w:tabs>
          <w:tab w:leader="none" w:pos="5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134" w:lineRule="exact"/>
        <w:rPr>
          <w:rFonts w:ascii="Arial" w:cs="Arial" w:eastAsia="Arial" w:hAnsi="Arial"/>
          <w:sz w:val="14"/>
          <w:szCs w:val="14"/>
          <w:color w:val="auto"/>
        </w:rPr>
      </w:pPr>
    </w:p>
    <w:p>
      <w:pPr>
        <w:ind w:left="560" w:right="20" w:hanging="280"/>
        <w:spacing w:after="0" w:line="270" w:lineRule="auto"/>
        <w:tabs>
          <w:tab w:leader="none" w:pos="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8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714883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color w:val="auto"/>
        </w:rPr>
        <w:t>Charter and Bylaw Provisions</w:t>
      </w:r>
    </w:p>
    <w:p>
      <w:pPr>
        <w:spacing w:after="0" w:line="224"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111" w:lineRule="exact"/>
        <w:rPr>
          <w:sz w:val="20"/>
          <w:szCs w:val="20"/>
          <w:color w:val="auto"/>
        </w:rPr>
      </w:pPr>
    </w:p>
    <w:p>
      <w:pPr>
        <w:jc w:val="both"/>
        <w:ind w:left="560" w:hanging="280"/>
        <w:spacing w:after="0" w:line="255" w:lineRule="auto"/>
        <w:tabs>
          <w:tab w:leader="none" w:pos="56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Separate Class B Vote for Certain Transactions</w:t>
      </w:r>
      <w:r>
        <w:rPr>
          <w:rFonts w:ascii="Arial" w:cs="Arial" w:eastAsia="Arial" w:hAnsi="Arial"/>
          <w:sz w:val="16"/>
          <w:szCs w:val="16"/>
          <w:color w:val="auto"/>
        </w:rPr>
        <w:t>. Until the first date on which the outstanding shares of Class B common stock represent less than 35% of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191" w:lineRule="exact"/>
        <w:rPr>
          <w:rFonts w:ascii="Arial" w:cs="Arial" w:eastAsia="Arial" w:hAnsi="Arial"/>
          <w:sz w:val="16"/>
          <w:szCs w:val="16"/>
          <w:color w:val="auto"/>
        </w:rPr>
      </w:pPr>
    </w:p>
    <w:p>
      <w:pPr>
        <w:jc w:val="both"/>
        <w:ind w:left="560" w:right="20" w:hanging="280"/>
        <w:spacing w:after="0" w:line="255" w:lineRule="auto"/>
        <w:tabs>
          <w:tab w:leader="none" w:pos="56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Dual Class Stock</w:t>
      </w:r>
      <w:r>
        <w:rPr>
          <w:rFonts w:ascii="Arial" w:cs="Arial" w:eastAsia="Arial" w:hAnsi="Arial"/>
          <w:sz w:val="16"/>
          <w:szCs w:val="16"/>
          <w:color w:val="auto"/>
        </w:rPr>
        <w:t>. As described above in “-Common Stock-Voting Rights” above, our charter provides for a dual class common stock structure, which provides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191" w:lineRule="exact"/>
        <w:rPr>
          <w:rFonts w:ascii="Arial" w:cs="Arial" w:eastAsia="Arial" w:hAnsi="Arial"/>
          <w:sz w:val="16"/>
          <w:szCs w:val="16"/>
          <w:color w:val="auto"/>
        </w:rPr>
      </w:pPr>
    </w:p>
    <w:p>
      <w:pPr>
        <w:jc w:val="both"/>
        <w:ind w:left="560" w:right="20" w:hanging="280"/>
        <w:spacing w:after="0" w:line="313" w:lineRule="auto"/>
        <w:tabs>
          <w:tab w:leader="none" w:pos="56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Supermajority Approvals</w:t>
      </w:r>
      <w:r>
        <w:rPr>
          <w:rFonts w:ascii="Arial" w:cs="Arial" w:eastAsia="Arial" w:hAnsi="Arial"/>
          <w:sz w:val="14"/>
          <w:szCs w:val="14"/>
          <w:color w:val="auto"/>
        </w:rPr>
        <w:t>. Our charter and bylaws provide that when the outstanding shares of Class B common stock represent less than a majority of the combined</w:t>
      </w:r>
      <w:r>
        <w:rPr>
          <w:rFonts w:ascii="Arial" w:cs="Arial" w:eastAsia="Arial" w:hAnsi="Arial"/>
          <w:sz w:val="14"/>
          <w:szCs w:val="14"/>
          <w:i w:val="1"/>
          <w:iCs w:val="1"/>
          <w:color w:val="auto"/>
        </w:rPr>
        <w:t xml:space="preserve"> </w:t>
      </w:r>
      <w:r>
        <w:rPr>
          <w:rFonts w:ascii="Arial" w:cs="Arial" w:eastAsia="Arial" w:hAnsi="Arial"/>
          <w:sz w:val="14"/>
          <w:szCs w:val="14"/>
          <w:color w:val="auto"/>
        </w:rPr>
        <w:t>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153" w:lineRule="exact"/>
        <w:rPr>
          <w:rFonts w:ascii="Arial" w:cs="Arial" w:eastAsia="Arial" w:hAnsi="Arial"/>
          <w:sz w:val="14"/>
          <w:szCs w:val="14"/>
          <w:color w:val="auto"/>
        </w:rPr>
      </w:pPr>
    </w:p>
    <w:p>
      <w:pPr>
        <w:jc w:val="both"/>
        <w:ind w:left="560" w:right="20" w:hanging="280"/>
        <w:spacing w:after="0" w:line="272" w:lineRule="auto"/>
        <w:tabs>
          <w:tab w:leader="none" w:pos="560"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Board of Directors Vacancies</w:t>
      </w:r>
      <w:r>
        <w:rPr>
          <w:rFonts w:ascii="Arial" w:cs="Arial" w:eastAsia="Arial" w:hAnsi="Arial"/>
          <w:sz w:val="15"/>
          <w:szCs w:val="15"/>
          <w:color w:val="auto"/>
        </w:rPr>
        <w:t>. Our charter and bylaws provide that stockholders may fill vacant directorships. When the outstanding shares of Class B common stock</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spacing w:after="0" w:line="180" w:lineRule="exact"/>
        <w:rPr>
          <w:rFonts w:ascii="Arial" w:cs="Arial" w:eastAsia="Arial" w:hAnsi="Arial"/>
          <w:sz w:val="15"/>
          <w:szCs w:val="15"/>
          <w:color w:val="auto"/>
        </w:rPr>
      </w:pPr>
    </w:p>
    <w:p>
      <w:pPr>
        <w:jc w:val="both"/>
        <w:ind w:left="560" w:hanging="280"/>
        <w:spacing w:after="0" w:line="274" w:lineRule="auto"/>
        <w:tabs>
          <w:tab w:leader="none" w:pos="560"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Classified Board</w:t>
      </w:r>
      <w:r>
        <w:rPr>
          <w:rFonts w:ascii="Arial" w:cs="Arial" w:eastAsia="Arial" w:hAnsi="Arial"/>
          <w:sz w:val="15"/>
          <w:szCs w:val="15"/>
          <w:color w:val="auto"/>
        </w:rPr>
        <w:t>. The board of directors is not currently classified. Our charter and bylaws provide that when outstanding shares of Class B common stock represent</w:t>
      </w:r>
      <w:r>
        <w:rPr>
          <w:rFonts w:ascii="Arial" w:cs="Arial" w:eastAsia="Arial" w:hAnsi="Arial"/>
          <w:sz w:val="15"/>
          <w:szCs w:val="15"/>
          <w:i w:val="1"/>
          <w:iCs w:val="1"/>
          <w:color w:val="auto"/>
        </w:rPr>
        <w:t xml:space="preserve"> </w:t>
      </w:r>
      <w:r>
        <w:rPr>
          <w:rFonts w:ascii="Arial" w:cs="Arial" w:eastAsia="Arial" w:hAnsi="Arial"/>
          <w:sz w:val="15"/>
          <w:szCs w:val="15"/>
          <w:color w:val="auto"/>
        </w:rPr>
        <w:t>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p>
      <w:pPr>
        <w:spacing w:after="0" w:line="179" w:lineRule="exact"/>
        <w:rPr>
          <w:rFonts w:ascii="Arial" w:cs="Arial" w:eastAsia="Arial" w:hAnsi="Arial"/>
          <w:sz w:val="15"/>
          <w:szCs w:val="15"/>
          <w:color w:val="auto"/>
        </w:rPr>
      </w:pPr>
    </w:p>
    <w:p>
      <w:pPr>
        <w:jc w:val="both"/>
        <w:ind w:left="560" w:hanging="280"/>
        <w:spacing w:after="0" w:line="271" w:lineRule="auto"/>
        <w:tabs>
          <w:tab w:leader="none" w:pos="560"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Stockholder Action; Special Meeting of Stockholders</w:t>
      </w:r>
      <w:r>
        <w:rPr>
          <w:rFonts w:ascii="Arial" w:cs="Arial" w:eastAsia="Arial" w:hAnsi="Arial"/>
          <w:sz w:val="15"/>
          <w:szCs w:val="15"/>
          <w:color w:val="auto"/>
        </w:rPr>
        <w:t>. Our charter provides that stockholders will be able to take action by written consent. When the outstanding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14883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3" w:name="page154"/>
    <w:bookmarkEnd w:id="153"/>
    <w:p>
      <w:pPr>
        <w:jc w:val="both"/>
        <w:ind w:left="560" w:right="20" w:hanging="280"/>
        <w:spacing w:after="0" w:line="277" w:lineRule="auto"/>
        <w:tabs>
          <w:tab w:leader="none" w:pos="560" w:val="left"/>
        </w:tabs>
        <w:numPr>
          <w:ilvl w:val="0"/>
          <w:numId w:val="98"/>
        </w:numPr>
        <w:rPr>
          <w:rFonts w:ascii="Arial" w:cs="Arial" w:eastAsia="Arial" w:hAnsi="Arial"/>
          <w:sz w:val="15"/>
          <w:szCs w:val="15"/>
          <w:color w:val="auto"/>
        </w:rPr>
      </w:pPr>
      <w:r>
        <w:rPr>
          <w:rFonts w:ascii="Arial" w:cs="Arial" w:eastAsia="Arial" w:hAnsi="Arial"/>
          <w:sz w:val="15"/>
          <w:szCs w:val="15"/>
          <w:i w:val="1"/>
          <w:iCs w:val="1"/>
          <w:color w:val="auto"/>
        </w:rPr>
        <w:t>Advance Notice Requirements for Stockholder Proposals and Director Nominations</w:t>
      </w:r>
      <w:r>
        <w:rPr>
          <w:rFonts w:ascii="Arial" w:cs="Arial" w:eastAsia="Arial" w:hAnsi="Arial"/>
          <w:sz w:val="15"/>
          <w:szCs w:val="15"/>
          <w:color w:val="auto"/>
        </w:rPr>
        <w:t>. Our bylaws provide advance notice procedures for stockholders seeking to bring</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77" w:lineRule="exact"/>
        <w:rPr>
          <w:rFonts w:ascii="Arial" w:cs="Arial" w:eastAsia="Arial" w:hAnsi="Arial"/>
          <w:sz w:val="15"/>
          <w:szCs w:val="15"/>
          <w:color w:val="auto"/>
        </w:rPr>
      </w:pPr>
    </w:p>
    <w:p>
      <w:pPr>
        <w:jc w:val="both"/>
        <w:ind w:left="560" w:right="20" w:hanging="280"/>
        <w:spacing w:after="0" w:line="313" w:lineRule="auto"/>
        <w:tabs>
          <w:tab w:leader="none" w:pos="560" w:val="left"/>
        </w:tabs>
        <w:numPr>
          <w:ilvl w:val="0"/>
          <w:numId w:val="98"/>
        </w:numPr>
        <w:rPr>
          <w:rFonts w:ascii="Arial" w:cs="Arial" w:eastAsia="Arial" w:hAnsi="Arial"/>
          <w:sz w:val="14"/>
          <w:szCs w:val="14"/>
          <w:color w:val="auto"/>
        </w:rPr>
      </w:pPr>
      <w:r>
        <w:rPr>
          <w:rFonts w:ascii="Arial" w:cs="Arial" w:eastAsia="Arial" w:hAnsi="Arial"/>
          <w:sz w:val="14"/>
          <w:szCs w:val="14"/>
          <w:i w:val="1"/>
          <w:iCs w:val="1"/>
          <w:color w:val="auto"/>
        </w:rPr>
        <w:t>Issuance of Undesignated Preferred Stock</w:t>
      </w:r>
      <w:r>
        <w:rPr>
          <w:rFonts w:ascii="Arial" w:cs="Arial" w:eastAsia="Arial" w:hAnsi="Arial"/>
          <w:sz w:val="14"/>
          <w:szCs w:val="14"/>
          <w:color w:val="auto"/>
        </w:rPr>
        <w:t>. The board of directors has the authority, without further action by the stockholders, to issue shares of undesignated preferred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Choice of Forum</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The choice of forum provision summarized above is not intended to, and would not, apply to suits brought to enforce any liability or duty created by (i) the Securities Act of 1933 or the rules and regulations thereunder, jurisdiction over which is vested in concurrently vested in federal and state courts, or (ii) the Securities Exchange Act of 1934 or the rules and regulations thereunder, jurisdiction over which is exclusively vested by statute in the U.S. federal courts.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Global Select Market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Class A common stock is listed on the Nasdaq Global Select Market under the symbol “ACMR.”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714883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7148830" cy="30480"/>
                    </a:xfrm>
                    <a:prstGeom prst="rect">
                      <a:avLst/>
                    </a:prstGeom>
                    <a:noFill/>
                  </pic:spPr>
                </pic:pic>
              </a:graphicData>
            </a:graphic>
          </wp:anchor>
        </w:drawing>
        <w:t>Exhibit 21.01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7040" w:type="dxa"/>
            <w:vAlign w:val="bottom"/>
            <w:gridSpan w:val="3"/>
          </w:tcPr>
          <w:p>
            <w:pPr>
              <w:jc w:val="center"/>
              <w:ind w:right="4141"/>
              <w:spacing w:after="0"/>
              <w:rPr>
                <w:sz w:val="20"/>
                <w:szCs w:val="20"/>
                <w:color w:val="auto"/>
              </w:rPr>
            </w:pPr>
            <w:r>
              <w:rPr>
                <w:rFonts w:ascii="Arial" w:cs="Arial" w:eastAsia="Arial" w:hAnsi="Arial"/>
                <w:sz w:val="16"/>
                <w:szCs w:val="16"/>
                <w:b w:val="1"/>
                <w:bCs w:val="1"/>
                <w:color w:val="auto"/>
                <w:w w:val="99"/>
              </w:rPr>
              <w:t>ACM RESEARCH, INC.</w:t>
            </w:r>
          </w:p>
        </w:tc>
      </w:tr>
      <w:tr>
        <w:trPr>
          <w:trHeight w:val="205"/>
        </w:trPr>
        <w:tc>
          <w:tcPr>
            <w:tcW w:w="4220" w:type="dxa"/>
            <w:vAlign w:val="bottom"/>
          </w:tcPr>
          <w:p>
            <w:pPr>
              <w:spacing w:after="0"/>
              <w:rPr>
                <w:sz w:val="17"/>
                <w:szCs w:val="17"/>
                <w:color w:val="auto"/>
              </w:rPr>
            </w:pPr>
          </w:p>
        </w:tc>
        <w:tc>
          <w:tcPr>
            <w:tcW w:w="7040" w:type="dxa"/>
            <w:vAlign w:val="bottom"/>
            <w:gridSpan w:val="3"/>
          </w:tcPr>
          <w:p>
            <w:pPr>
              <w:jc w:val="center"/>
              <w:ind w:right="4141"/>
              <w:spacing w:after="0"/>
              <w:rPr>
                <w:sz w:val="20"/>
                <w:szCs w:val="20"/>
                <w:color w:val="auto"/>
              </w:rPr>
            </w:pPr>
            <w:r>
              <w:rPr>
                <w:rFonts w:ascii="Arial" w:cs="Arial" w:eastAsia="Arial" w:hAnsi="Arial"/>
                <w:sz w:val="16"/>
                <w:szCs w:val="16"/>
                <w:b w:val="1"/>
                <w:bCs w:val="1"/>
                <w:color w:val="auto"/>
                <w:w w:val="99"/>
              </w:rPr>
              <w:t>LIST OF SUBSIDIARIES</w:t>
            </w:r>
          </w:p>
        </w:tc>
      </w:tr>
      <w:tr>
        <w:trPr>
          <w:trHeight w:val="409"/>
        </w:trPr>
        <w:tc>
          <w:tcPr>
            <w:tcW w:w="4220" w:type="dxa"/>
            <w:vAlign w:val="bottom"/>
            <w:tcBorders>
              <w:bottom w:val="single" w:sz="8" w:color="auto"/>
            </w:tcBorders>
          </w:tcPr>
          <w:p>
            <w:pPr>
              <w:jc w:val="center"/>
              <w:ind w:left="641"/>
              <w:spacing w:after="0"/>
              <w:rPr>
                <w:sz w:val="20"/>
                <w:szCs w:val="20"/>
                <w:color w:val="auto"/>
              </w:rPr>
            </w:pPr>
            <w:r>
              <w:rPr>
                <w:rFonts w:ascii="Arial" w:cs="Arial" w:eastAsia="Arial" w:hAnsi="Arial"/>
                <w:sz w:val="16"/>
                <w:szCs w:val="16"/>
                <w:b w:val="1"/>
                <w:bCs w:val="1"/>
                <w:color w:val="auto"/>
                <w:w w:val="89"/>
              </w:rPr>
              <w:t>Name of Subsidiary</w:t>
            </w: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Jurisdiction of Incorporation or Organization</w:t>
            </w:r>
          </w:p>
        </w:tc>
      </w:tr>
      <w:tr>
        <w:trPr>
          <w:trHeight w:val="190"/>
        </w:trPr>
        <w:tc>
          <w:tcPr>
            <w:tcW w:w="422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0"/>
              </w:rPr>
              <w:t>ACM Research (Shanghai), Inc.</w:t>
            </w:r>
          </w:p>
        </w:tc>
        <w:tc>
          <w:tcPr>
            <w:tcW w:w="7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People’s Republic of China</w:t>
            </w:r>
          </w:p>
        </w:tc>
      </w:tr>
      <w:tr>
        <w:trPr>
          <w:trHeight w:val="190"/>
        </w:trPr>
        <w:tc>
          <w:tcPr>
            <w:tcW w:w="4220" w:type="dxa"/>
            <w:vAlign w:val="bottom"/>
          </w:tcPr>
          <w:p>
            <w:pPr>
              <w:jc w:val="center"/>
              <w:ind w:left="641"/>
              <w:spacing w:after="0"/>
              <w:rPr>
                <w:sz w:val="20"/>
                <w:szCs w:val="20"/>
                <w:color w:val="auto"/>
              </w:rPr>
            </w:pPr>
            <w:r>
              <w:rPr>
                <w:rFonts w:ascii="Arial" w:cs="Arial" w:eastAsia="Arial" w:hAnsi="Arial"/>
                <w:sz w:val="16"/>
                <w:szCs w:val="16"/>
                <w:color w:val="auto"/>
                <w:w w:val="91"/>
              </w:rPr>
              <w:t>CleanChip Technologies Limited</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960" w:type="dxa"/>
            <w:vAlign w:val="bottom"/>
          </w:tcPr>
          <w:p>
            <w:pPr>
              <w:jc w:val="center"/>
              <w:spacing w:after="0"/>
              <w:rPr>
                <w:sz w:val="20"/>
                <w:szCs w:val="20"/>
                <w:color w:val="auto"/>
              </w:rPr>
            </w:pPr>
            <w:r>
              <w:rPr>
                <w:rFonts w:ascii="Arial" w:cs="Arial" w:eastAsia="Arial" w:hAnsi="Arial"/>
                <w:sz w:val="16"/>
                <w:szCs w:val="16"/>
                <w:color w:val="auto"/>
                <w:w w:val="92"/>
              </w:rPr>
              <w:t>Hong Kong</w:t>
            </w:r>
          </w:p>
        </w:tc>
      </w:tr>
      <w:tr>
        <w:trPr>
          <w:trHeight w:val="190"/>
        </w:trPr>
        <w:tc>
          <w:tcPr>
            <w:tcW w:w="422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2"/>
              </w:rPr>
              <w:t>ACM Research (Wuxi), Inc.</w:t>
            </w:r>
          </w:p>
        </w:tc>
        <w:tc>
          <w:tcPr>
            <w:tcW w:w="7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People’s Republic of China</w:t>
            </w:r>
          </w:p>
        </w:tc>
      </w:tr>
      <w:tr>
        <w:trPr>
          <w:trHeight w:val="190"/>
        </w:trPr>
        <w:tc>
          <w:tcPr>
            <w:tcW w:w="4220" w:type="dxa"/>
            <w:vAlign w:val="bottom"/>
          </w:tcPr>
          <w:p>
            <w:pPr>
              <w:jc w:val="center"/>
              <w:ind w:left="661"/>
              <w:spacing w:after="0"/>
              <w:rPr>
                <w:sz w:val="20"/>
                <w:szCs w:val="20"/>
                <w:color w:val="auto"/>
              </w:rPr>
            </w:pPr>
            <w:r>
              <w:rPr>
                <w:rFonts w:ascii="Arial" w:cs="Arial" w:eastAsia="Arial" w:hAnsi="Arial"/>
                <w:sz w:val="16"/>
                <w:szCs w:val="16"/>
                <w:color w:val="auto"/>
                <w:w w:val="91"/>
              </w:rPr>
              <w:t>ACM Research Korea CO., LTD.</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960" w:type="dxa"/>
            <w:vAlign w:val="bottom"/>
          </w:tcPr>
          <w:p>
            <w:pPr>
              <w:jc w:val="center"/>
              <w:spacing w:after="0"/>
              <w:rPr>
                <w:sz w:val="20"/>
                <w:szCs w:val="20"/>
                <w:color w:val="auto"/>
              </w:rPr>
            </w:pPr>
            <w:r>
              <w:rPr>
                <w:rFonts w:ascii="Arial" w:cs="Arial" w:eastAsia="Arial" w:hAnsi="Arial"/>
                <w:sz w:val="16"/>
                <w:szCs w:val="16"/>
                <w:color w:val="auto"/>
                <w:w w:val="91"/>
              </w:rPr>
              <w:t>Republic of Korea</w:t>
            </w:r>
          </w:p>
        </w:tc>
      </w:tr>
      <w:tr>
        <w:trPr>
          <w:trHeight w:val="190"/>
        </w:trPr>
        <w:tc>
          <w:tcPr>
            <w:tcW w:w="4220" w:type="dxa"/>
            <w:vAlign w:val="bottom"/>
            <w:shd w:val="clear" w:color="auto" w:fill="CCEEFF"/>
          </w:tcPr>
          <w:p>
            <w:pPr>
              <w:jc w:val="center"/>
              <w:ind w:left="641"/>
              <w:spacing w:after="0"/>
              <w:rPr>
                <w:sz w:val="20"/>
                <w:szCs w:val="20"/>
                <w:color w:val="auto"/>
              </w:rPr>
            </w:pPr>
            <w:r>
              <w:rPr>
                <w:rFonts w:ascii="Arial" w:cs="Arial" w:eastAsia="Arial" w:hAnsi="Arial"/>
                <w:sz w:val="16"/>
                <w:szCs w:val="16"/>
                <w:color w:val="auto"/>
                <w:w w:val="88"/>
              </w:rPr>
              <w:t>Shengwei Research (Shanghai), Inc.</w:t>
            </w:r>
          </w:p>
        </w:tc>
        <w:tc>
          <w:tcPr>
            <w:tcW w:w="7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People’s Republic of China</w:t>
            </w:r>
          </w:p>
        </w:tc>
      </w:tr>
      <w:tr>
        <w:trPr>
          <w:trHeight w:val="190"/>
        </w:trPr>
        <w:tc>
          <w:tcPr>
            <w:tcW w:w="4220" w:type="dxa"/>
            <w:vAlign w:val="bottom"/>
          </w:tcPr>
          <w:p>
            <w:pPr>
              <w:jc w:val="center"/>
              <w:ind w:left="661"/>
              <w:spacing w:after="0"/>
              <w:rPr>
                <w:sz w:val="20"/>
                <w:szCs w:val="20"/>
                <w:color w:val="auto"/>
              </w:rPr>
            </w:pPr>
            <w:r>
              <w:rPr>
                <w:rFonts w:ascii="Arial" w:cs="Arial" w:eastAsia="Arial" w:hAnsi="Arial"/>
                <w:sz w:val="16"/>
                <w:szCs w:val="16"/>
                <w:color w:val="auto"/>
                <w:w w:val="91"/>
              </w:rPr>
              <w:t>ACM Research (Singapore) PTE, Ltd.</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960" w:type="dxa"/>
            <w:vAlign w:val="bottom"/>
          </w:tcPr>
          <w:p>
            <w:pPr>
              <w:jc w:val="center"/>
              <w:spacing w:after="0"/>
              <w:rPr>
                <w:sz w:val="20"/>
                <w:szCs w:val="20"/>
                <w:color w:val="auto"/>
              </w:rPr>
            </w:pPr>
            <w:r>
              <w:rPr>
                <w:rFonts w:ascii="Arial" w:cs="Arial" w:eastAsia="Arial" w:hAnsi="Arial"/>
                <w:sz w:val="16"/>
                <w:szCs w:val="16"/>
                <w:color w:val="auto"/>
                <w:w w:val="87"/>
              </w:rPr>
              <w:t>Singapore</w:t>
            </w:r>
          </w:p>
        </w:tc>
      </w:tr>
      <w:tr>
        <w:trPr>
          <w:trHeight w:val="190"/>
        </w:trPr>
        <w:tc>
          <w:tcPr>
            <w:tcW w:w="422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3"/>
              </w:rPr>
              <w:t>ACM Research (CA), Inc.</w:t>
            </w:r>
          </w:p>
        </w:tc>
        <w:tc>
          <w:tcPr>
            <w:tcW w:w="7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United States of America</w:t>
            </w:r>
          </w:p>
        </w:tc>
      </w:tr>
      <w:tr>
        <w:trPr>
          <w:trHeight w:val="190"/>
        </w:trPr>
        <w:tc>
          <w:tcPr>
            <w:tcW w:w="4220" w:type="dxa"/>
            <w:vAlign w:val="bottom"/>
          </w:tcPr>
          <w:p>
            <w:pPr>
              <w:jc w:val="center"/>
              <w:ind w:left="661"/>
              <w:spacing w:after="0"/>
              <w:rPr>
                <w:sz w:val="20"/>
                <w:szCs w:val="20"/>
                <w:color w:val="auto"/>
              </w:rPr>
            </w:pPr>
            <w:r>
              <w:rPr>
                <w:rFonts w:ascii="Arial" w:cs="Arial" w:eastAsia="Arial" w:hAnsi="Arial"/>
                <w:sz w:val="16"/>
                <w:szCs w:val="16"/>
                <w:color w:val="auto"/>
                <w:w w:val="89"/>
              </w:rPr>
              <w:t>ACM Research (Cayman), Inc.</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960" w:type="dxa"/>
            <w:vAlign w:val="bottom"/>
          </w:tcPr>
          <w:p>
            <w:pPr>
              <w:jc w:val="center"/>
              <w:spacing w:after="0"/>
              <w:rPr>
                <w:sz w:val="20"/>
                <w:szCs w:val="20"/>
                <w:color w:val="auto"/>
              </w:rPr>
            </w:pPr>
            <w:r>
              <w:rPr>
                <w:rFonts w:ascii="Arial" w:cs="Arial" w:eastAsia="Arial" w:hAnsi="Arial"/>
                <w:sz w:val="16"/>
                <w:szCs w:val="16"/>
                <w:color w:val="auto"/>
                <w:w w:val="88"/>
              </w:rPr>
              <w:t>Cayman Islands</w:t>
            </w:r>
          </w:p>
        </w:tc>
      </w:tr>
      <w:tr>
        <w:trPr>
          <w:trHeight w:val="190"/>
        </w:trPr>
        <w:tc>
          <w:tcPr>
            <w:tcW w:w="4220" w:type="dxa"/>
            <w:vAlign w:val="bottom"/>
            <w:shd w:val="clear" w:color="auto" w:fill="CCECFF"/>
          </w:tcPr>
          <w:p>
            <w:pPr>
              <w:jc w:val="center"/>
              <w:ind w:left="661"/>
              <w:spacing w:after="0"/>
              <w:rPr>
                <w:sz w:val="20"/>
                <w:szCs w:val="20"/>
                <w:color w:val="auto"/>
              </w:rPr>
            </w:pPr>
            <w:r>
              <w:rPr>
                <w:rFonts w:ascii="Arial" w:cs="Arial" w:eastAsia="Arial" w:hAnsi="Arial"/>
                <w:sz w:val="16"/>
                <w:szCs w:val="16"/>
                <w:color w:val="auto"/>
                <w:w w:val="93"/>
              </w:rPr>
              <w:t>ACM Research (Beijing), Inc.</w:t>
            </w:r>
          </w:p>
        </w:tc>
        <w:tc>
          <w:tcPr>
            <w:tcW w:w="740" w:type="dxa"/>
            <w:vAlign w:val="bottom"/>
            <w:shd w:val="clear" w:color="auto" w:fill="CCECFF"/>
          </w:tcPr>
          <w:p>
            <w:pPr>
              <w:spacing w:after="0"/>
              <w:rPr>
                <w:sz w:val="16"/>
                <w:szCs w:val="16"/>
                <w:color w:val="auto"/>
              </w:rPr>
            </w:pPr>
          </w:p>
        </w:tc>
        <w:tc>
          <w:tcPr>
            <w:tcW w:w="1340" w:type="dxa"/>
            <w:vAlign w:val="bottom"/>
            <w:shd w:val="clear" w:color="auto" w:fill="CCECFF"/>
          </w:tcPr>
          <w:p>
            <w:pPr>
              <w:spacing w:after="0"/>
              <w:rPr>
                <w:sz w:val="16"/>
                <w:szCs w:val="16"/>
                <w:color w:val="auto"/>
              </w:rPr>
            </w:pPr>
          </w:p>
        </w:tc>
        <w:tc>
          <w:tcPr>
            <w:tcW w:w="4960" w:type="dxa"/>
            <w:vAlign w:val="bottom"/>
            <w:shd w:val="clear" w:color="auto" w:fill="CCECFF"/>
          </w:tcPr>
          <w:p>
            <w:pPr>
              <w:jc w:val="center"/>
              <w:spacing w:after="0"/>
              <w:rPr>
                <w:sz w:val="20"/>
                <w:szCs w:val="20"/>
                <w:color w:val="auto"/>
              </w:rPr>
            </w:pPr>
            <w:r>
              <w:rPr>
                <w:rFonts w:ascii="Arial" w:cs="Arial" w:eastAsia="Arial" w:hAnsi="Arial"/>
                <w:sz w:val="16"/>
                <w:szCs w:val="16"/>
                <w:color w:val="auto"/>
                <w:w w:val="90"/>
              </w:rPr>
              <w:t>People’s Republic of China</w:t>
            </w:r>
          </w:p>
        </w:tc>
      </w:tr>
      <w:tr>
        <w:trPr>
          <w:trHeight w:val="201"/>
        </w:trPr>
        <w:tc>
          <w:tcPr>
            <w:tcW w:w="4220" w:type="dxa"/>
            <w:vAlign w:val="bottom"/>
          </w:tcPr>
          <w:p>
            <w:pPr>
              <w:jc w:val="center"/>
              <w:ind w:left="661"/>
              <w:spacing w:after="0"/>
              <w:rPr>
                <w:sz w:val="20"/>
                <w:szCs w:val="20"/>
                <w:color w:val="auto"/>
              </w:rPr>
            </w:pPr>
            <w:r>
              <w:rPr>
                <w:rFonts w:ascii="Arial" w:cs="Arial" w:eastAsia="Arial" w:hAnsi="Arial"/>
                <w:sz w:val="16"/>
                <w:szCs w:val="16"/>
                <w:color w:val="auto"/>
                <w:w w:val="93"/>
              </w:rPr>
              <w:t>Hanguk ACM CO., LTD</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960" w:type="dxa"/>
            <w:vAlign w:val="bottom"/>
          </w:tcPr>
          <w:p>
            <w:pPr>
              <w:jc w:val="center"/>
              <w:spacing w:after="0"/>
              <w:rPr>
                <w:sz w:val="20"/>
                <w:szCs w:val="20"/>
                <w:color w:val="auto"/>
              </w:rPr>
            </w:pPr>
            <w:r>
              <w:rPr>
                <w:rFonts w:ascii="Arial" w:cs="Arial" w:eastAsia="Arial" w:hAnsi="Arial"/>
                <w:sz w:val="16"/>
                <w:szCs w:val="16"/>
                <w:color w:val="auto"/>
                <w:w w:val="93"/>
              </w:rPr>
              <w:t>Korea</w:t>
            </w:r>
          </w:p>
        </w:tc>
      </w:tr>
      <w:tr>
        <w:trPr>
          <w:trHeight w:val="515"/>
        </w:trPr>
        <w:tc>
          <w:tcPr>
            <w:tcW w:w="4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66"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23.01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6007100</wp:posOffset>
            </wp:positionH>
            <wp:positionV relativeFrom="paragraph">
              <wp:posOffset>148590</wp:posOffset>
            </wp:positionV>
            <wp:extent cx="1138555" cy="3771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11385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CONSENT OF INDEPENDENT REGISTERED PUBLIC ACCOUNTING FIRM</w:t>
      </w:r>
    </w:p>
    <w:p>
      <w:pPr>
        <w:spacing w:after="0" w:line="224"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We hereby consent to the incorporation by reference in the Registration Statement Nos. 333-222702, 333-232780 and 333-254150 on Form S-8 of our reports dated March 1, 2023, relating to the consolidated financial statements, and the effectiveness of ACM Research, Inc. and subsidiaries’ (the “Company”) internal control over financial reporting, appearing in this Annual Report on Form 10-K of ACM Research, Inc. and subsidiaries for the year ended December 31, 2022. Our report on the effectiveness of internal control over financial reporting expresses an adverse opinion on the effectiveness of the Company’s internal control over financial reporting as of December 31, 2022.</w:t>
      </w:r>
    </w:p>
    <w:p>
      <w:pPr>
        <w:spacing w:after="0" w:line="6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Armanino</w:t>
      </w:r>
      <w:r>
        <w:rPr>
          <w:rFonts w:ascii="Arial" w:cs="Arial" w:eastAsia="Arial" w:hAnsi="Arial"/>
          <w:sz w:val="26"/>
          <w:szCs w:val="26"/>
          <w:color w:val="auto"/>
          <w:vertAlign w:val="superscript"/>
        </w:rPr>
        <w:t>LLP</w:t>
      </w:r>
    </w:p>
    <w:p>
      <w:pPr>
        <w:ind w:left="5620"/>
        <w:spacing w:after="0"/>
        <w:rPr>
          <w:sz w:val="20"/>
          <w:szCs w:val="20"/>
          <w:color w:val="auto"/>
        </w:rPr>
      </w:pPr>
      <w:r>
        <w:rPr>
          <w:rFonts w:ascii="Arial" w:cs="Arial" w:eastAsia="Arial" w:hAnsi="Arial"/>
          <w:sz w:val="16"/>
          <w:szCs w:val="16"/>
          <w:color w:val="auto"/>
        </w:rPr>
        <w:t>San Jose, California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343535</wp:posOffset>
            </wp:positionV>
            <wp:extent cx="714883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23.02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148590</wp:posOffset>
            </wp:positionV>
            <wp:extent cx="4479290" cy="459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4479290"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ACM Research, Inc.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42307 Osgood Road, Suite I</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Fremont, California 94539</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20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333-222702, 333-232780 and 333-254150) of ACM Research, Inc. of our report dated March 1, 2022 except for the effects of the common stock split discussed in Notes 1 and 2 to the consolidated financial statements, as to which the date is March 1, 2023, relating to the consolidated financial statements, which appear in this Form 10-K.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BDO China Shu Lun Pan Certified Public Accountants LLP</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299085</wp:posOffset>
            </wp:positionV>
            <wp:extent cx="714883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157" w:name="page158"/>
    <w:bookmarkEnd w:id="157"/>
    <w:p>
      <w:pPr>
        <w:ind w:left="5"/>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8">
                      <a:extLst>
                        <a:ext uri="{28A0092B-C50C-407E-A947-70E740481C1C}"/>
                      </a:extLst>
                    </a:blip>
                    <a:srcRect/>
                    <a:stretch>
                      <a:fillRect/>
                    </a:stretch>
                  </pic:blipFill>
                  <pic:spPr bwMode="auto">
                    <a:xfrm>
                      <a:off x="0" y="0"/>
                      <a:ext cx="7148830" cy="30480"/>
                    </a:xfrm>
                    <a:prstGeom prst="rect">
                      <a:avLst/>
                    </a:prstGeom>
                    <a:noFill/>
                  </pic:spPr>
                </pic:pic>
              </a:graphicData>
            </a:graphic>
          </wp:anchor>
        </w:drawing>
        <w:t>Exhibit 31.01</w:t>
      </w:r>
    </w:p>
    <w:p>
      <w:pPr>
        <w:spacing w:after="0" w:line="1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CERTIFICATION OF PRINCIPAL EXECUTIVE OFFICER</w:t>
      </w:r>
    </w:p>
    <w:p>
      <w:pPr>
        <w:ind w:left="5"/>
        <w:spacing w:after="0"/>
        <w:rPr>
          <w:sz w:val="20"/>
          <w:szCs w:val="20"/>
          <w:color w:val="auto"/>
        </w:rPr>
      </w:pPr>
      <w:r>
        <w:rPr>
          <w:rFonts w:ascii="Arial" w:cs="Arial" w:eastAsia="Arial" w:hAnsi="Arial"/>
          <w:sz w:val="19"/>
          <w:szCs w:val="19"/>
          <w:b w:val="1"/>
          <w:bCs w:val="1"/>
          <w:color w:val="auto"/>
        </w:rPr>
        <w:t>PURSUANT TO SECTION 302 OF THE SARBANES-OXLEY ACT OF 2002</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9"/>
          <w:szCs w:val="19"/>
          <w:color w:val="auto"/>
        </w:rPr>
        <w:t>I, David H. Wang, certify that:</w:t>
      </w:r>
    </w:p>
    <w:p>
      <w:pPr>
        <w:spacing w:after="0" w:line="209" w:lineRule="exact"/>
        <w:rPr>
          <w:sz w:val="20"/>
          <w:szCs w:val="20"/>
          <w:color w:val="auto"/>
        </w:rPr>
      </w:pPr>
    </w:p>
    <w:p>
      <w:pPr>
        <w:ind w:left="285" w:hanging="285"/>
        <w:spacing w:after="0"/>
        <w:tabs>
          <w:tab w:leader="none" w:pos="285" w:val="left"/>
        </w:tabs>
        <w:numPr>
          <w:ilvl w:val="0"/>
          <w:numId w:val="99"/>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ACM Research, Inc.</w:t>
      </w:r>
    </w:p>
    <w:p>
      <w:pPr>
        <w:spacing w:after="0" w:line="209" w:lineRule="exact"/>
        <w:rPr>
          <w:rFonts w:ascii="Arial" w:cs="Arial" w:eastAsia="Arial" w:hAnsi="Arial"/>
          <w:sz w:val="19"/>
          <w:szCs w:val="19"/>
          <w:color w:val="auto"/>
        </w:rPr>
      </w:pPr>
    </w:p>
    <w:p>
      <w:pPr>
        <w:jc w:val="both"/>
        <w:ind w:left="5" w:right="20" w:hanging="5"/>
        <w:spacing w:after="0" w:line="247" w:lineRule="auto"/>
        <w:tabs>
          <w:tab w:leader="none" w:pos="310" w:val="left"/>
        </w:tabs>
        <w:numPr>
          <w:ilvl w:val="0"/>
          <w:numId w:val="99"/>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0" w:lineRule="exact"/>
        <w:rPr>
          <w:rFonts w:ascii="Arial" w:cs="Arial" w:eastAsia="Arial" w:hAnsi="Arial"/>
          <w:sz w:val="19"/>
          <w:szCs w:val="19"/>
          <w:color w:val="auto"/>
        </w:rPr>
      </w:pPr>
    </w:p>
    <w:p>
      <w:pPr>
        <w:ind w:left="5" w:right="20" w:hanging="5"/>
        <w:spacing w:after="0" w:line="287" w:lineRule="auto"/>
        <w:tabs>
          <w:tab w:leader="none" w:pos="3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8"/>
          <w:szCs w:val="18"/>
          <w:color w:val="auto"/>
        </w:rPr>
      </w:pPr>
    </w:p>
    <w:p>
      <w:pPr>
        <w:jc w:val="both"/>
        <w:ind w:left="5" w:right="20" w:hanging="5"/>
        <w:spacing w:after="0" w:line="247" w:lineRule="auto"/>
        <w:tabs>
          <w:tab w:leader="none" w:pos="30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5" w:hanging="5"/>
        <w:spacing w:after="0" w:line="247" w:lineRule="auto"/>
        <w:tabs>
          <w:tab w:leader="none" w:pos="33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9"/>
          <w:szCs w:val="19"/>
          <w:color w:val="auto"/>
        </w:rPr>
      </w:pPr>
    </w:p>
    <w:p>
      <w:pPr>
        <w:jc w:val="both"/>
        <w:ind w:left="5" w:right="20" w:hanging="5"/>
        <w:spacing w:after="0" w:line="247" w:lineRule="auto"/>
        <w:tabs>
          <w:tab w:leader="none" w:pos="3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9"/>
          <w:szCs w:val="19"/>
          <w:color w:val="auto"/>
        </w:rPr>
      </w:pPr>
    </w:p>
    <w:p>
      <w:pPr>
        <w:ind w:left="5" w:right="20" w:hanging="5"/>
        <w:spacing w:after="0" w:line="287" w:lineRule="auto"/>
        <w:tabs>
          <w:tab w:leader="none" w:pos="3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8"/>
          <w:szCs w:val="18"/>
          <w:color w:val="auto"/>
        </w:rPr>
      </w:pPr>
    </w:p>
    <w:p>
      <w:pPr>
        <w:jc w:val="both"/>
        <w:ind w:left="5" w:right="20" w:hanging="5"/>
        <w:spacing w:after="0" w:line="247" w:lineRule="auto"/>
        <w:tabs>
          <w:tab w:leader="none" w:pos="33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80" w:lineRule="exact"/>
        <w:rPr>
          <w:sz w:val="20"/>
          <w:szCs w:val="20"/>
          <w:color w:val="auto"/>
        </w:rPr>
      </w:pPr>
    </w:p>
    <w:p>
      <w:pPr>
        <w:ind w:left="5" w:right="20" w:hanging="5"/>
        <w:spacing w:after="0" w:line="318" w:lineRule="auto"/>
        <w:tabs>
          <w:tab w:leader="none" w:pos="29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5" w:hanging="5"/>
        <w:spacing w:after="0" w:line="259" w:lineRule="auto"/>
        <w:tabs>
          <w:tab w:leader="none" w:pos="32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9"/>
          <w:szCs w:val="19"/>
          <w:color w:val="auto"/>
        </w:rPr>
      </w:pPr>
    </w:p>
    <w:p>
      <w:pPr>
        <w:ind w:left="5" w:right="20" w:hanging="5"/>
        <w:spacing w:after="0" w:line="259" w:lineRule="auto"/>
        <w:tabs>
          <w:tab w:leader="none" w:pos="32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5"/>
        <w:spacing w:after="0"/>
        <w:tabs>
          <w:tab w:leader="none" w:pos="5605"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4"/>
          <w:szCs w:val="14"/>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12065</wp:posOffset>
            </wp:positionV>
            <wp:extent cx="357441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3574415" cy="15240"/>
                    </a:xfrm>
                    <a:prstGeom prst="rect">
                      <a:avLst/>
                    </a:prstGeom>
                    <a:noFill/>
                  </pic:spPr>
                </pic:pic>
              </a:graphicData>
            </a:graphic>
          </wp:anchor>
        </w:drawing>
      </w:r>
    </w:p>
    <w:p>
      <w:pPr>
        <w:spacing w:after="0" w:line="10" w:lineRule="exact"/>
        <w:rPr>
          <w:sz w:val="20"/>
          <w:szCs w:val="20"/>
          <w:color w:val="auto"/>
        </w:rPr>
      </w:pPr>
    </w:p>
    <w:p>
      <w:pPr>
        <w:ind w:left="5625"/>
        <w:spacing w:after="0"/>
        <w:rPr>
          <w:sz w:val="20"/>
          <w:szCs w:val="20"/>
          <w:color w:val="auto"/>
        </w:rPr>
      </w:pPr>
      <w:r>
        <w:rPr>
          <w:rFonts w:ascii="Arial" w:cs="Arial" w:eastAsia="Arial" w:hAnsi="Arial"/>
          <w:sz w:val="16"/>
          <w:szCs w:val="16"/>
          <w:color w:val="auto"/>
        </w:rPr>
        <w:t>David H. Wang</w:t>
      </w:r>
    </w:p>
    <w:p>
      <w:pPr>
        <w:spacing w:after="0" w:line="17" w:lineRule="exact"/>
        <w:rPr>
          <w:sz w:val="20"/>
          <w:szCs w:val="20"/>
          <w:color w:val="auto"/>
        </w:rPr>
      </w:pPr>
    </w:p>
    <w:p>
      <w:pPr>
        <w:ind w:left="5625"/>
        <w:spacing w:after="0"/>
        <w:rPr>
          <w:sz w:val="20"/>
          <w:szCs w:val="20"/>
          <w:color w:val="auto"/>
        </w:rPr>
      </w:pPr>
      <w:r>
        <w:rPr>
          <w:rFonts w:ascii="Arial" w:cs="Arial" w:eastAsia="Arial" w:hAnsi="Arial"/>
          <w:sz w:val="16"/>
          <w:szCs w:val="16"/>
          <w:color w:val="auto"/>
        </w:rPr>
        <w:t>Chief Executive Officer and President</w:t>
      </w:r>
    </w:p>
    <w:p>
      <w:pPr>
        <w:spacing w:after="0" w:line="6" w:lineRule="exact"/>
        <w:rPr>
          <w:sz w:val="20"/>
          <w:szCs w:val="20"/>
          <w:color w:val="auto"/>
        </w:rPr>
      </w:pPr>
    </w:p>
    <w:p>
      <w:pPr>
        <w:ind w:left="5625"/>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14883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257" w:right="319" w:bottom="1440" w:gutter="0" w:footer="0" w:header="0"/>
        </w:sectPr>
      </w:pPr>
    </w:p>
    <w:bookmarkStart w:id="158" w:name="page159"/>
    <w:bookmarkEnd w:id="158"/>
    <w:p>
      <w:pPr>
        <w:ind w:left="5"/>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1">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31.02</w:t>
      </w:r>
    </w:p>
    <w:p>
      <w:pPr>
        <w:spacing w:after="0" w:line="1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CERTIFICATION OF PRINCIPAL FINANCIAL OFFICER</w:t>
      </w:r>
    </w:p>
    <w:p>
      <w:pPr>
        <w:ind w:left="5"/>
        <w:spacing w:after="0"/>
        <w:rPr>
          <w:sz w:val="20"/>
          <w:szCs w:val="20"/>
          <w:color w:val="auto"/>
        </w:rPr>
      </w:pPr>
      <w:r>
        <w:rPr>
          <w:rFonts w:ascii="Arial" w:cs="Arial" w:eastAsia="Arial" w:hAnsi="Arial"/>
          <w:sz w:val="19"/>
          <w:szCs w:val="19"/>
          <w:b w:val="1"/>
          <w:bCs w:val="1"/>
          <w:color w:val="auto"/>
        </w:rPr>
        <w:t>PURSUANT TO SECTION 302 OF THE SARBANES-OXLEY ACT OF 2002</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9"/>
          <w:szCs w:val="19"/>
          <w:color w:val="auto"/>
        </w:rPr>
        <w:t>I, Mark A. McKechnie, certify that:</w:t>
      </w:r>
    </w:p>
    <w:p>
      <w:pPr>
        <w:spacing w:after="0" w:line="209" w:lineRule="exact"/>
        <w:rPr>
          <w:sz w:val="20"/>
          <w:szCs w:val="20"/>
          <w:color w:val="auto"/>
        </w:rPr>
      </w:pPr>
    </w:p>
    <w:p>
      <w:pPr>
        <w:ind w:left="285" w:hanging="285"/>
        <w:spacing w:after="0"/>
        <w:tabs>
          <w:tab w:leader="none" w:pos="28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ACM Research, Inc.</w:t>
      </w:r>
    </w:p>
    <w:p>
      <w:pPr>
        <w:spacing w:after="0" w:line="209" w:lineRule="exact"/>
        <w:rPr>
          <w:rFonts w:ascii="Arial" w:cs="Arial" w:eastAsia="Arial" w:hAnsi="Arial"/>
          <w:sz w:val="19"/>
          <w:szCs w:val="19"/>
          <w:color w:val="auto"/>
        </w:rPr>
      </w:pPr>
    </w:p>
    <w:p>
      <w:pPr>
        <w:jc w:val="both"/>
        <w:ind w:left="5" w:right="20" w:hanging="5"/>
        <w:spacing w:after="0" w:line="247" w:lineRule="auto"/>
        <w:tabs>
          <w:tab w:leader="none" w:pos="31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0" w:lineRule="exact"/>
        <w:rPr>
          <w:rFonts w:ascii="Arial" w:cs="Arial" w:eastAsia="Arial" w:hAnsi="Arial"/>
          <w:sz w:val="19"/>
          <w:szCs w:val="19"/>
          <w:color w:val="auto"/>
        </w:rPr>
      </w:pPr>
    </w:p>
    <w:p>
      <w:pPr>
        <w:ind w:left="5" w:right="20" w:hanging="5"/>
        <w:spacing w:after="0" w:line="287" w:lineRule="auto"/>
        <w:tabs>
          <w:tab w:leader="none" w:pos="3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8"/>
          <w:szCs w:val="18"/>
          <w:color w:val="auto"/>
        </w:rPr>
      </w:pPr>
    </w:p>
    <w:p>
      <w:pPr>
        <w:jc w:val="both"/>
        <w:ind w:left="5" w:right="20" w:hanging="5"/>
        <w:spacing w:after="0" w:line="247" w:lineRule="auto"/>
        <w:tabs>
          <w:tab w:leader="none" w:pos="30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5" w:hanging="5"/>
        <w:spacing w:after="0" w:line="247" w:lineRule="auto"/>
        <w:tabs>
          <w:tab w:leader="none" w:pos="33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9"/>
          <w:szCs w:val="19"/>
          <w:color w:val="auto"/>
        </w:rPr>
      </w:pPr>
    </w:p>
    <w:p>
      <w:pPr>
        <w:jc w:val="both"/>
        <w:ind w:left="5" w:right="20" w:hanging="5"/>
        <w:spacing w:after="0" w:line="247" w:lineRule="auto"/>
        <w:tabs>
          <w:tab w:leader="none" w:pos="3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9"/>
          <w:szCs w:val="19"/>
          <w:color w:val="auto"/>
        </w:rPr>
      </w:pPr>
    </w:p>
    <w:p>
      <w:pPr>
        <w:ind w:left="5" w:right="20" w:hanging="5"/>
        <w:spacing w:after="0" w:line="287" w:lineRule="auto"/>
        <w:tabs>
          <w:tab w:leader="none" w:pos="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8"/>
          <w:szCs w:val="18"/>
          <w:color w:val="auto"/>
        </w:rPr>
      </w:pPr>
    </w:p>
    <w:p>
      <w:pPr>
        <w:jc w:val="both"/>
        <w:ind w:left="5" w:right="20" w:hanging="5"/>
        <w:spacing w:after="0" w:line="247" w:lineRule="auto"/>
        <w:tabs>
          <w:tab w:leader="none" w:pos="33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80" w:lineRule="exact"/>
        <w:rPr>
          <w:sz w:val="20"/>
          <w:szCs w:val="20"/>
          <w:color w:val="auto"/>
        </w:rPr>
      </w:pPr>
    </w:p>
    <w:p>
      <w:pPr>
        <w:ind w:left="5" w:right="20" w:hanging="5"/>
        <w:spacing w:after="0" w:line="318" w:lineRule="auto"/>
        <w:tabs>
          <w:tab w:leader="none" w:pos="29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sz w:val="20"/>
          <w:szCs w:val="20"/>
          <w:color w:val="auto"/>
        </w:rPr>
      </w:pPr>
    </w:p>
    <w:p>
      <w:pPr>
        <w:ind w:left="5" w:hanging="5"/>
        <w:spacing w:after="0" w:line="259" w:lineRule="auto"/>
        <w:tabs>
          <w:tab w:leader="none" w:pos="32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9"/>
          <w:szCs w:val="19"/>
          <w:color w:val="auto"/>
        </w:rPr>
      </w:pPr>
    </w:p>
    <w:p>
      <w:pPr>
        <w:ind w:left="5" w:right="20" w:hanging="5"/>
        <w:spacing w:after="0" w:line="259" w:lineRule="auto"/>
        <w:tabs>
          <w:tab w:leader="none" w:pos="32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5"/>
        <w:spacing w:after="0"/>
        <w:tabs>
          <w:tab w:leader="none" w:pos="5605"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4"/>
          <w:szCs w:val="14"/>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12065</wp:posOffset>
            </wp:positionV>
            <wp:extent cx="357441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2">
                      <a:extLst>
                        <a:ext uri="{28A0092B-C50C-407E-A947-70E740481C1C}"/>
                      </a:extLst>
                    </a:blip>
                    <a:srcRect/>
                    <a:stretch>
                      <a:fillRect/>
                    </a:stretch>
                  </pic:blipFill>
                  <pic:spPr bwMode="auto">
                    <a:xfrm>
                      <a:off x="0" y="0"/>
                      <a:ext cx="3574415" cy="15240"/>
                    </a:xfrm>
                    <a:prstGeom prst="rect">
                      <a:avLst/>
                    </a:prstGeom>
                    <a:noFill/>
                  </pic:spPr>
                </pic:pic>
              </a:graphicData>
            </a:graphic>
          </wp:anchor>
        </w:drawing>
      </w:r>
    </w:p>
    <w:p>
      <w:pPr>
        <w:spacing w:after="0" w:line="10" w:lineRule="exact"/>
        <w:rPr>
          <w:sz w:val="20"/>
          <w:szCs w:val="20"/>
          <w:color w:val="auto"/>
        </w:rPr>
      </w:pPr>
    </w:p>
    <w:p>
      <w:pPr>
        <w:ind w:left="5625"/>
        <w:spacing w:after="0"/>
        <w:rPr>
          <w:sz w:val="20"/>
          <w:szCs w:val="20"/>
          <w:color w:val="auto"/>
        </w:rPr>
      </w:pPr>
      <w:r>
        <w:rPr>
          <w:rFonts w:ascii="Arial" w:cs="Arial" w:eastAsia="Arial" w:hAnsi="Arial"/>
          <w:sz w:val="16"/>
          <w:szCs w:val="16"/>
          <w:color w:val="auto"/>
        </w:rPr>
        <w:t>Mark A. McKechnie</w:t>
      </w:r>
    </w:p>
    <w:p>
      <w:pPr>
        <w:spacing w:after="0" w:line="17" w:lineRule="exact"/>
        <w:rPr>
          <w:sz w:val="20"/>
          <w:szCs w:val="20"/>
          <w:color w:val="auto"/>
        </w:rPr>
      </w:pPr>
    </w:p>
    <w:p>
      <w:pPr>
        <w:ind w:left="5625"/>
        <w:spacing w:after="0"/>
        <w:rPr>
          <w:sz w:val="20"/>
          <w:szCs w:val="20"/>
          <w:color w:val="auto"/>
        </w:rPr>
      </w:pPr>
      <w:r>
        <w:rPr>
          <w:rFonts w:ascii="Arial" w:cs="Arial" w:eastAsia="Arial" w:hAnsi="Arial"/>
          <w:sz w:val="16"/>
          <w:szCs w:val="16"/>
          <w:color w:val="auto"/>
        </w:rPr>
        <w:t>Chief Financial Officer, Executive Vice President and Treasurer</w:t>
      </w:r>
    </w:p>
    <w:p>
      <w:pPr>
        <w:spacing w:after="0" w:line="6" w:lineRule="exact"/>
        <w:rPr>
          <w:sz w:val="20"/>
          <w:szCs w:val="20"/>
          <w:color w:val="auto"/>
        </w:rPr>
      </w:pPr>
    </w:p>
    <w:p>
      <w:pPr>
        <w:ind w:left="5625"/>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14883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257" w:right="319" w:bottom="1440" w:gutter="0" w:footer="0" w:header="0"/>
        </w:sectPr>
      </w:pPr>
    </w:p>
    <w:bookmarkStart w:id="159" w:name="page160"/>
    <w:bookmarkEnd w:id="159"/>
    <w:p>
      <w:pPr>
        <w:ind w:left="5"/>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4">
                      <a:extLst>
                        <a:ext uri="{28A0092B-C50C-407E-A947-70E740481C1C}"/>
                      </a:extLst>
                    </a:blip>
                    <a:srcRect/>
                    <a:stretch>
                      <a:fillRect/>
                    </a:stretch>
                  </pic:blipFill>
                  <pic:spPr bwMode="auto">
                    <a:xfrm>
                      <a:off x="0" y="0"/>
                      <a:ext cx="7148830" cy="30480"/>
                    </a:xfrm>
                    <a:prstGeom prst="rect">
                      <a:avLst/>
                    </a:prstGeom>
                    <a:noFill/>
                  </pic:spPr>
                </pic:pic>
              </a:graphicData>
            </a:graphic>
          </wp:anchor>
        </w:drawing>
        <w:t>Exhibit 32.01</w:t>
      </w:r>
    </w:p>
    <w:p>
      <w:pPr>
        <w:spacing w:after="0" w:line="1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CERTIFICATION PURSUANT TO 18 U.S.C. 1350,</w:t>
      </w:r>
    </w:p>
    <w:p>
      <w:pPr>
        <w:ind w:left="5"/>
        <w:spacing w:after="0"/>
        <w:rPr>
          <w:sz w:val="20"/>
          <w:szCs w:val="20"/>
          <w:color w:val="auto"/>
        </w:rPr>
      </w:pPr>
      <w:r>
        <w:rPr>
          <w:rFonts w:ascii="Arial" w:cs="Arial" w:eastAsia="Arial" w:hAnsi="Arial"/>
          <w:sz w:val="19"/>
          <w:szCs w:val="19"/>
          <w:b w:val="1"/>
          <w:bCs w:val="1"/>
          <w:color w:val="auto"/>
        </w:rPr>
        <w:t>AS ADOPTED PURSUANT TO SECTION 906 OF THE SARBANES-OXLEY ACT OF 2002</w:t>
      </w:r>
    </w:p>
    <w:p>
      <w:pPr>
        <w:spacing w:after="0" w:line="193" w:lineRule="exact"/>
        <w:rPr>
          <w:sz w:val="20"/>
          <w:szCs w:val="20"/>
          <w:color w:val="auto"/>
        </w:rPr>
      </w:pPr>
    </w:p>
    <w:p>
      <w:pPr>
        <w:jc w:val="both"/>
        <w:ind w:left="5" w:right="20"/>
        <w:spacing w:after="0" w:line="267" w:lineRule="auto"/>
        <w:rPr>
          <w:sz w:val="20"/>
          <w:szCs w:val="20"/>
          <w:color w:val="auto"/>
        </w:rPr>
      </w:pPr>
      <w:r>
        <w:rPr>
          <w:rFonts w:ascii="Arial" w:cs="Arial" w:eastAsia="Arial" w:hAnsi="Arial"/>
          <w:sz w:val="18"/>
          <w:szCs w:val="18"/>
          <w:color w:val="auto"/>
        </w:rPr>
        <w:t>In connection with the Annual Report on Form 10-K of ACM Research, Inc. for the year ended December 31, 2022,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64" w:lineRule="exact"/>
        <w:rPr>
          <w:sz w:val="20"/>
          <w:szCs w:val="20"/>
          <w:color w:val="auto"/>
        </w:rPr>
      </w:pPr>
    </w:p>
    <w:p>
      <w:pPr>
        <w:ind w:left="285" w:hanging="285"/>
        <w:spacing w:after="0"/>
        <w:tabs>
          <w:tab w:leader="none" w:pos="28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09" w:lineRule="exact"/>
        <w:rPr>
          <w:rFonts w:ascii="Arial" w:cs="Arial" w:eastAsia="Arial" w:hAnsi="Arial"/>
          <w:sz w:val="19"/>
          <w:szCs w:val="19"/>
          <w:color w:val="auto"/>
        </w:rPr>
      </w:pPr>
    </w:p>
    <w:p>
      <w:pPr>
        <w:ind w:left="5" w:hanging="5"/>
        <w:spacing w:after="0" w:line="259" w:lineRule="auto"/>
        <w:tabs>
          <w:tab w:leader="none" w:pos="37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ACM Research, Inc. for the period presented therein.</w:t>
      </w:r>
    </w:p>
    <w:p>
      <w:pPr>
        <w:spacing w:after="0" w:line="176" w:lineRule="exact"/>
        <w:rPr>
          <w:sz w:val="20"/>
          <w:szCs w:val="20"/>
          <w:color w:val="auto"/>
        </w:rPr>
      </w:pPr>
    </w:p>
    <w:p>
      <w:pPr>
        <w:ind w:left="5"/>
        <w:spacing w:after="0"/>
        <w:tabs>
          <w:tab w:leader="none" w:pos="5605"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4"/>
          <w:szCs w:val="14"/>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12065</wp:posOffset>
            </wp:positionV>
            <wp:extent cx="357441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5">
                      <a:extLst>
                        <a:ext uri="{28A0092B-C50C-407E-A947-70E740481C1C}"/>
                      </a:extLst>
                    </a:blip>
                    <a:srcRect/>
                    <a:stretch>
                      <a:fillRect/>
                    </a:stretch>
                  </pic:blipFill>
                  <pic:spPr bwMode="auto">
                    <a:xfrm>
                      <a:off x="0" y="0"/>
                      <a:ext cx="3574415" cy="15240"/>
                    </a:xfrm>
                    <a:prstGeom prst="rect">
                      <a:avLst/>
                    </a:prstGeom>
                    <a:noFill/>
                  </pic:spPr>
                </pic:pic>
              </a:graphicData>
            </a:graphic>
          </wp:anchor>
        </w:drawing>
      </w:r>
    </w:p>
    <w:p>
      <w:pPr>
        <w:spacing w:after="0" w:line="10" w:lineRule="exact"/>
        <w:rPr>
          <w:sz w:val="20"/>
          <w:szCs w:val="20"/>
          <w:color w:val="auto"/>
        </w:rPr>
      </w:pPr>
    </w:p>
    <w:p>
      <w:pPr>
        <w:ind w:left="5625"/>
        <w:spacing w:after="0"/>
        <w:rPr>
          <w:sz w:val="20"/>
          <w:szCs w:val="20"/>
          <w:color w:val="auto"/>
        </w:rPr>
      </w:pPr>
      <w:r>
        <w:rPr>
          <w:rFonts w:ascii="Arial" w:cs="Arial" w:eastAsia="Arial" w:hAnsi="Arial"/>
          <w:sz w:val="16"/>
          <w:szCs w:val="16"/>
          <w:color w:val="auto"/>
        </w:rPr>
        <w:t>David H. Wang</w:t>
      </w:r>
    </w:p>
    <w:p>
      <w:pPr>
        <w:spacing w:after="0" w:line="17" w:lineRule="exact"/>
        <w:rPr>
          <w:sz w:val="20"/>
          <w:szCs w:val="20"/>
          <w:color w:val="auto"/>
        </w:rPr>
      </w:pPr>
    </w:p>
    <w:p>
      <w:pPr>
        <w:ind w:left="5625"/>
        <w:spacing w:after="0"/>
        <w:rPr>
          <w:sz w:val="20"/>
          <w:szCs w:val="20"/>
          <w:color w:val="auto"/>
        </w:rPr>
      </w:pPr>
      <w:r>
        <w:rPr>
          <w:rFonts w:ascii="Arial" w:cs="Arial" w:eastAsia="Arial" w:hAnsi="Arial"/>
          <w:sz w:val="16"/>
          <w:szCs w:val="16"/>
          <w:color w:val="auto"/>
        </w:rPr>
        <w:t>Chief Executive Officer and President</w:t>
      </w:r>
    </w:p>
    <w:p>
      <w:pPr>
        <w:spacing w:after="0" w:line="6" w:lineRule="exact"/>
        <w:rPr>
          <w:sz w:val="20"/>
          <w:szCs w:val="20"/>
          <w:color w:val="auto"/>
        </w:rPr>
      </w:pPr>
    </w:p>
    <w:p>
      <w:pPr>
        <w:ind w:left="5625"/>
        <w:spacing w:after="0"/>
        <w:rPr>
          <w:sz w:val="20"/>
          <w:szCs w:val="20"/>
          <w:color w:val="auto"/>
        </w:rPr>
      </w:pPr>
      <w:r>
        <w:rPr>
          <w:rFonts w:ascii="Arial" w:cs="Arial" w:eastAsia="Arial" w:hAnsi="Arial"/>
          <w:sz w:val="16"/>
          <w:szCs w:val="16"/>
          <w:i w:val="1"/>
          <w:iCs w:val="1"/>
          <w:color w:val="auto"/>
        </w:rPr>
        <w:t>(Principal Executive Officer)</w:t>
      </w:r>
    </w:p>
    <w:p>
      <w:pPr>
        <w:spacing w:after="0" w:line="209" w:lineRule="exact"/>
        <w:rPr>
          <w:sz w:val="20"/>
          <w:szCs w:val="20"/>
          <w:color w:val="auto"/>
        </w:rPr>
      </w:pPr>
    </w:p>
    <w:p>
      <w:pPr>
        <w:ind w:left="5"/>
        <w:spacing w:after="0"/>
        <w:tabs>
          <w:tab w:leader="none" w:pos="5605"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4"/>
          <w:szCs w:val="14"/>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12065</wp:posOffset>
            </wp:positionV>
            <wp:extent cx="357441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6">
                      <a:extLst>
                        <a:ext uri="{28A0092B-C50C-407E-A947-70E740481C1C}"/>
                      </a:extLst>
                    </a:blip>
                    <a:srcRect/>
                    <a:stretch>
                      <a:fillRect/>
                    </a:stretch>
                  </pic:blipFill>
                  <pic:spPr bwMode="auto">
                    <a:xfrm>
                      <a:off x="0" y="0"/>
                      <a:ext cx="3574415" cy="15240"/>
                    </a:xfrm>
                    <a:prstGeom prst="rect">
                      <a:avLst/>
                    </a:prstGeom>
                    <a:noFill/>
                  </pic:spPr>
                </pic:pic>
              </a:graphicData>
            </a:graphic>
          </wp:anchor>
        </w:drawing>
      </w:r>
    </w:p>
    <w:p>
      <w:pPr>
        <w:spacing w:after="0" w:line="10" w:lineRule="exact"/>
        <w:rPr>
          <w:sz w:val="20"/>
          <w:szCs w:val="20"/>
          <w:color w:val="auto"/>
        </w:rPr>
      </w:pPr>
    </w:p>
    <w:p>
      <w:pPr>
        <w:ind w:left="5625"/>
        <w:spacing w:after="0"/>
        <w:rPr>
          <w:sz w:val="20"/>
          <w:szCs w:val="20"/>
          <w:color w:val="auto"/>
        </w:rPr>
      </w:pPr>
      <w:r>
        <w:rPr>
          <w:rFonts w:ascii="Arial" w:cs="Arial" w:eastAsia="Arial" w:hAnsi="Arial"/>
          <w:sz w:val="16"/>
          <w:szCs w:val="16"/>
          <w:color w:val="auto"/>
        </w:rPr>
        <w:t>Mark A. McKechnie</w:t>
      </w:r>
    </w:p>
    <w:p>
      <w:pPr>
        <w:spacing w:after="0" w:line="17" w:lineRule="exact"/>
        <w:rPr>
          <w:sz w:val="20"/>
          <w:szCs w:val="20"/>
          <w:color w:val="auto"/>
        </w:rPr>
      </w:pPr>
    </w:p>
    <w:p>
      <w:pPr>
        <w:ind w:left="5625"/>
        <w:spacing w:after="0"/>
        <w:rPr>
          <w:sz w:val="20"/>
          <w:szCs w:val="20"/>
          <w:color w:val="auto"/>
        </w:rPr>
      </w:pPr>
      <w:r>
        <w:rPr>
          <w:rFonts w:ascii="Arial" w:cs="Arial" w:eastAsia="Arial" w:hAnsi="Arial"/>
          <w:sz w:val="16"/>
          <w:szCs w:val="16"/>
          <w:color w:val="auto"/>
        </w:rPr>
        <w:t>Chief Financial Officer, Executive Vice President and Treasurer</w:t>
      </w:r>
    </w:p>
    <w:p>
      <w:pPr>
        <w:spacing w:after="0" w:line="6" w:lineRule="exact"/>
        <w:rPr>
          <w:sz w:val="20"/>
          <w:szCs w:val="20"/>
          <w:color w:val="auto"/>
        </w:rPr>
      </w:pPr>
    </w:p>
    <w:p>
      <w:pPr>
        <w:ind w:left="5625"/>
        <w:spacing w:after="0"/>
        <w:rPr>
          <w:sz w:val="20"/>
          <w:szCs w:val="20"/>
          <w:color w:val="auto"/>
        </w:rPr>
      </w:pPr>
      <w:r>
        <w:rPr>
          <w:rFonts w:ascii="Arial" w:cs="Arial" w:eastAsia="Arial" w:hAnsi="Arial"/>
          <w:sz w:val="16"/>
          <w:szCs w:val="16"/>
          <w:i w:val="1"/>
          <w:iCs w:val="1"/>
          <w:color w:val="auto"/>
        </w:rPr>
        <w:t>(Principal Financial Officer)</w:t>
      </w:r>
    </w:p>
    <w:p>
      <w:pPr>
        <w:spacing w:after="0" w:line="202" w:lineRule="exact"/>
        <w:rPr>
          <w:sz w:val="20"/>
          <w:szCs w:val="20"/>
          <w:color w:val="auto"/>
        </w:rPr>
      </w:pPr>
    </w:p>
    <w:p>
      <w:pPr>
        <w:ind w:left="5"/>
        <w:spacing w:after="0" w:line="259" w:lineRule="auto"/>
        <w:rPr>
          <w:sz w:val="20"/>
          <w:szCs w:val="20"/>
          <w:color w:val="auto"/>
        </w:rPr>
      </w:pPr>
      <w:r>
        <w:rPr>
          <w:rFonts w:ascii="Arial" w:cs="Arial" w:eastAsia="Arial" w:hAnsi="Arial"/>
          <w:sz w:val="19"/>
          <w:szCs w:val="19"/>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316230</wp:posOffset>
            </wp:positionV>
            <wp:extent cx="714883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257"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8">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99.01</w:t>
      </w: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ACM Research, Inc.</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42307 Osgood Road, Suite I</w:t>
      </w:r>
    </w:p>
    <w:p>
      <w:pPr>
        <w:spacing w:after="0" w:line="6"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Fremont, California 94539</w:t>
      </w:r>
    </w:p>
    <w:p>
      <w:pPr>
        <w:spacing w:after="0" w:line="209"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March 1, 2023</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By EDGAR</w:t>
      </w:r>
    </w:p>
    <w:p>
      <w:pPr>
        <w:spacing w:after="0" w:line="224" w:lineRule="exact"/>
        <w:rPr>
          <w:sz w:val="20"/>
          <w:szCs w:val="20"/>
          <w:color w:val="auto"/>
        </w:rPr>
      </w:pPr>
    </w:p>
    <w:p>
      <w:pPr>
        <w:ind w:left="65"/>
        <w:spacing w:after="0"/>
        <w:rPr>
          <w:sz w:val="20"/>
          <w:szCs w:val="20"/>
          <w:color w:val="auto"/>
        </w:rPr>
      </w:pPr>
      <w:r>
        <w:rPr>
          <w:rFonts w:ascii="Arial" w:cs="Arial" w:eastAsia="Arial" w:hAnsi="Arial"/>
          <w:sz w:val="16"/>
          <w:szCs w:val="16"/>
          <w:color w:val="auto"/>
        </w:rPr>
        <w:t>Securities and Exchange Commission</w:t>
      </w:r>
    </w:p>
    <w:p>
      <w:pPr>
        <w:spacing w:after="0" w:line="17" w:lineRule="exact"/>
        <w:rPr>
          <w:sz w:val="20"/>
          <w:szCs w:val="20"/>
          <w:color w:val="auto"/>
        </w:rPr>
      </w:pPr>
    </w:p>
    <w:p>
      <w:pPr>
        <w:ind w:left="65"/>
        <w:spacing w:after="0"/>
        <w:rPr>
          <w:sz w:val="20"/>
          <w:szCs w:val="20"/>
          <w:color w:val="auto"/>
        </w:rPr>
      </w:pPr>
      <w:r>
        <w:rPr>
          <w:rFonts w:ascii="Arial" w:cs="Arial" w:eastAsia="Arial" w:hAnsi="Arial"/>
          <w:sz w:val="16"/>
          <w:szCs w:val="16"/>
          <w:color w:val="auto"/>
        </w:rPr>
        <w:t>Division of Corporate Finance</w:t>
      </w:r>
    </w:p>
    <w:p>
      <w:pPr>
        <w:spacing w:after="0" w:line="6" w:lineRule="exact"/>
        <w:rPr>
          <w:sz w:val="20"/>
          <w:szCs w:val="20"/>
          <w:color w:val="auto"/>
        </w:rPr>
      </w:pPr>
    </w:p>
    <w:p>
      <w:pPr>
        <w:ind w:left="65"/>
        <w:spacing w:after="0"/>
        <w:rPr>
          <w:sz w:val="20"/>
          <w:szCs w:val="20"/>
          <w:color w:val="auto"/>
        </w:rPr>
      </w:pPr>
      <w:r>
        <w:rPr>
          <w:rFonts w:ascii="Arial" w:cs="Arial" w:eastAsia="Arial" w:hAnsi="Arial"/>
          <w:sz w:val="16"/>
          <w:szCs w:val="16"/>
          <w:color w:val="auto"/>
        </w:rPr>
        <w:t>100 F. Street, N.E.</w:t>
      </w:r>
    </w:p>
    <w:p>
      <w:pPr>
        <w:spacing w:after="0" w:line="6" w:lineRule="exact"/>
        <w:rPr>
          <w:sz w:val="20"/>
          <w:szCs w:val="20"/>
          <w:color w:val="auto"/>
        </w:rPr>
      </w:pPr>
    </w:p>
    <w:p>
      <w:pPr>
        <w:ind w:left="65"/>
        <w:spacing w:after="0"/>
        <w:rPr>
          <w:sz w:val="20"/>
          <w:szCs w:val="20"/>
          <w:color w:val="auto"/>
        </w:rPr>
      </w:pPr>
      <w:r>
        <w:rPr>
          <w:rFonts w:ascii="Arial" w:cs="Arial" w:eastAsia="Arial" w:hAnsi="Arial"/>
          <w:sz w:val="16"/>
          <w:szCs w:val="16"/>
          <w:color w:val="auto"/>
        </w:rPr>
        <w:t>Washington, DC 20549</w:t>
      </w:r>
    </w:p>
    <w:p>
      <w:pPr>
        <w:sectPr>
          <w:pgSz w:w="11900" w:h="16838" w:orient="portrait"/>
          <w:cols w:equalWidth="0" w:num="1">
            <w:col w:w="11265"/>
          </w:cols>
          <w:pgMar w:left="315" w:top="257" w:right="319" w:bottom="1440" w:gutter="0" w:footer="0" w:header="0"/>
        </w:sectPr>
      </w:pPr>
    </w:p>
    <w:p>
      <w:pPr>
        <w:spacing w:after="0" w:line="205"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Re: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ACM Research, Inc.</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Submission under Item 9C(a) of Form 10-K</w:t>
      </w:r>
    </w:p>
    <w:p>
      <w:pPr>
        <w:spacing w:after="0" w:line="200" w:lineRule="exact"/>
        <w:rPr>
          <w:sz w:val="20"/>
          <w:szCs w:val="20"/>
          <w:color w:val="auto"/>
        </w:rPr>
      </w:pPr>
    </w:p>
    <w:p>
      <w:pPr>
        <w:sectPr>
          <w:pgSz w:w="11900" w:h="16838" w:orient="portrait"/>
          <w:cols w:equalWidth="0" w:num="2">
            <w:col w:w="245" w:space="320"/>
            <w:col w:w="10700"/>
          </w:cols>
          <w:pgMar w:left="315" w:top="257" w:right="319" w:bottom="1440" w:gutter="0" w:footer="0" w:header="0"/>
          <w:type w:val="continuous"/>
        </w:sectPr>
      </w:pPr>
    </w:p>
    <w:p>
      <w:pPr>
        <w:spacing w:after="0" w:line="32" w:lineRule="exact"/>
        <w:rPr>
          <w:sz w:val="20"/>
          <w:szCs w:val="20"/>
          <w:color w:val="auto"/>
        </w:rPr>
      </w:pPr>
    </w:p>
    <w:p>
      <w:pPr>
        <w:ind w:left="5"/>
        <w:spacing w:after="0"/>
        <w:rPr>
          <w:sz w:val="20"/>
          <w:szCs w:val="20"/>
          <w:color w:val="auto"/>
        </w:rPr>
      </w:pPr>
      <w:r>
        <w:rPr>
          <w:rFonts w:ascii="Arial" w:cs="Arial" w:eastAsia="Arial" w:hAnsi="Arial"/>
          <w:sz w:val="16"/>
          <w:szCs w:val="16"/>
          <w:color w:val="auto"/>
        </w:rPr>
        <w:t>Ladies and Gentlemen:</w:t>
      </w:r>
    </w:p>
    <w:p>
      <w:pPr>
        <w:spacing w:after="0" w:line="220" w:lineRule="exact"/>
        <w:rPr>
          <w:sz w:val="20"/>
          <w:szCs w:val="20"/>
          <w:color w:val="auto"/>
        </w:rPr>
      </w:pPr>
    </w:p>
    <w:p>
      <w:pPr>
        <w:ind w:left="285"/>
        <w:spacing w:after="0"/>
        <w:rPr>
          <w:sz w:val="20"/>
          <w:szCs w:val="20"/>
          <w:color w:val="auto"/>
        </w:rPr>
      </w:pPr>
      <w:r>
        <w:rPr>
          <w:rFonts w:ascii="Arial" w:cs="Arial" w:eastAsia="Arial" w:hAnsi="Arial"/>
          <w:sz w:val="16"/>
          <w:szCs w:val="16"/>
          <w:color w:val="auto"/>
        </w:rPr>
        <w:t>ACM Research, Inc. (the “</w:t>
      </w:r>
      <w:r>
        <w:rPr>
          <w:rFonts w:ascii="Arial" w:cs="Arial" w:eastAsia="Arial" w:hAnsi="Arial"/>
          <w:sz w:val="16"/>
          <w:szCs w:val="16"/>
          <w:i w:val="1"/>
          <w:iCs w:val="1"/>
          <w:color w:val="auto"/>
        </w:rPr>
        <w:t>Company</w:t>
      </w:r>
      <w:r>
        <w:rPr>
          <w:rFonts w:ascii="Arial" w:cs="Arial" w:eastAsia="Arial" w:hAnsi="Arial"/>
          <w:sz w:val="16"/>
          <w:szCs w:val="16"/>
          <w:color w:val="auto"/>
        </w:rPr>
        <w:t>”) is submitting the following information pursuant to Item 9C(a) of Form 10-K.</w:t>
      </w:r>
    </w:p>
    <w:p>
      <w:pPr>
        <w:spacing w:after="0" w:line="220" w:lineRule="exact"/>
        <w:rPr>
          <w:sz w:val="20"/>
          <w:szCs w:val="20"/>
          <w:color w:val="auto"/>
        </w:rPr>
      </w:pPr>
    </w:p>
    <w:p>
      <w:pPr>
        <w:jc w:val="both"/>
        <w:ind w:left="5" w:firstLine="285"/>
        <w:spacing w:after="0" w:line="253" w:lineRule="auto"/>
        <w:rPr>
          <w:sz w:val="20"/>
          <w:szCs w:val="20"/>
          <w:color w:val="auto"/>
        </w:rPr>
      </w:pPr>
      <w:r>
        <w:rPr>
          <w:rFonts w:ascii="Arial" w:cs="Arial" w:eastAsia="Arial" w:hAnsi="Arial"/>
          <w:sz w:val="16"/>
          <w:szCs w:val="16"/>
          <w:color w:val="auto"/>
        </w:rPr>
        <w:t>The Company was identified by the Securities and Exchange Commission pursuant to Section 104(i)(2)(A) of the Sarbanes-Oxley Act of 2002 (15 U.S.C. 7214(i)(2)(A)) as having retained, for the preparation of the audit report on its financial statements included in its Annual Report on Form 10-K for the year ended December 31, 2021, a registered public accounting firm that has a branch or office that is located in a foreign jurisdiction and that the Public Company Accounting Oversight Board (the “</w:t>
      </w:r>
      <w:r>
        <w:rPr>
          <w:rFonts w:ascii="Arial" w:cs="Arial" w:eastAsia="Arial" w:hAnsi="Arial"/>
          <w:sz w:val="16"/>
          <w:szCs w:val="16"/>
          <w:i w:val="1"/>
          <w:iCs w:val="1"/>
          <w:color w:val="auto"/>
        </w:rPr>
        <w:t>PCAOB</w:t>
      </w:r>
      <w:r>
        <w:rPr>
          <w:rFonts w:ascii="Arial" w:cs="Arial" w:eastAsia="Arial" w:hAnsi="Arial"/>
          <w:sz w:val="16"/>
          <w:szCs w:val="16"/>
          <w:color w:val="auto"/>
        </w:rPr>
        <w:t>”) had then determined it was unable to inspect or investigate completely because of a position taken by an authority in the foreign jurisdiction, which determination was vacated by the PCAOB on December 15, 2022.</w:t>
      </w:r>
    </w:p>
    <w:p>
      <w:pPr>
        <w:spacing w:after="0" w:line="194" w:lineRule="exact"/>
        <w:rPr>
          <w:sz w:val="20"/>
          <w:szCs w:val="20"/>
          <w:color w:val="auto"/>
        </w:rPr>
      </w:pPr>
    </w:p>
    <w:p>
      <w:pPr>
        <w:jc w:val="both"/>
        <w:ind w:left="5" w:right="20" w:firstLine="285"/>
        <w:spacing w:after="0" w:line="277" w:lineRule="auto"/>
        <w:rPr>
          <w:sz w:val="20"/>
          <w:szCs w:val="20"/>
          <w:color w:val="auto"/>
        </w:rPr>
      </w:pPr>
      <w:r>
        <w:rPr>
          <w:rFonts w:ascii="Arial" w:cs="Arial" w:eastAsia="Arial" w:hAnsi="Arial"/>
          <w:sz w:val="15"/>
          <w:szCs w:val="15"/>
          <w:color w:val="auto"/>
        </w:rPr>
        <w:t>To the Company’s best knowledge, and based on examination of the Company’s stockholder register and public filings made by its stockholders, particularly the Schedule 13Gs and Schedule 13G/As filed in February 2023, the Company herein confirms that it is not owned or controlled by any governmental entity in such foreign jurisdiction as of the date of this submission. In addition, the Company is not aware of any governmental entity that is in possession, directly or indirectly, of the power to direct or cause the direction of the management and policies of the Company, whether through the ownership of voting securities, by contract, or otherwise.</w:t>
      </w:r>
    </w:p>
    <w:p>
      <w:pPr>
        <w:spacing w:after="0" w:line="177" w:lineRule="exact"/>
        <w:rPr>
          <w:sz w:val="20"/>
          <w:szCs w:val="20"/>
          <w:color w:val="auto"/>
        </w:rPr>
      </w:pPr>
    </w:p>
    <w:p>
      <w:pPr>
        <w:jc w:val="both"/>
        <w:ind w:left="5" w:right="20" w:firstLine="456"/>
        <w:spacing w:after="0" w:line="270" w:lineRule="auto"/>
        <w:rPr>
          <w:sz w:val="20"/>
          <w:szCs w:val="20"/>
          <w:color w:val="auto"/>
        </w:rPr>
      </w:pPr>
      <w:r>
        <w:rPr>
          <w:rFonts w:ascii="Arial" w:cs="Arial" w:eastAsia="Arial" w:hAnsi="Arial"/>
          <w:sz w:val="16"/>
          <w:szCs w:val="16"/>
          <w:color w:val="auto"/>
        </w:rPr>
        <w:t>Please do not hesitate to contact the Company’s legal counsel, Michael A. Hedge of K&amp;L Gates LLP, at (949) 623-3519 if you have any questions or would like additional information regarding this matter.</w:t>
      </w:r>
    </w:p>
    <w:p>
      <w:pPr>
        <w:spacing w:after="0" w:line="180" w:lineRule="exact"/>
        <w:rPr>
          <w:sz w:val="20"/>
          <w:szCs w:val="20"/>
          <w:color w:val="auto"/>
        </w:rPr>
      </w:pPr>
    </w:p>
    <w:p>
      <w:pPr>
        <w:ind w:left="5085"/>
        <w:spacing w:after="0"/>
        <w:tabs>
          <w:tab w:leader="none" w:pos="5565" w:val="left"/>
          <w:tab w:leader="none" w:pos="6085"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20" w:lineRule="exact"/>
        <w:rPr>
          <w:sz w:val="20"/>
          <w:szCs w:val="20"/>
          <w:color w:val="auto"/>
        </w:rPr>
      </w:pPr>
    </w:p>
    <w:p>
      <w:pPr>
        <w:ind w:left="5"/>
        <w:spacing w:after="0"/>
        <w:rPr>
          <w:sz w:val="20"/>
          <w:szCs w:val="20"/>
          <w:color w:val="auto"/>
        </w:rPr>
      </w:pPr>
      <w:r>
        <w:rPr>
          <w:rFonts w:ascii="Arial" w:cs="Arial" w:eastAsia="Arial" w:hAnsi="Arial"/>
          <w:sz w:val="16"/>
          <w:szCs w:val="16"/>
          <w:color w:val="auto"/>
        </w:rPr>
        <w:t>Very truly yours,</w:t>
      </w:r>
    </w:p>
    <w:p>
      <w:pPr>
        <w:spacing w:after="0" w:line="220" w:lineRule="exact"/>
        <w:rPr>
          <w:sz w:val="20"/>
          <w:szCs w:val="20"/>
          <w:color w:val="auto"/>
        </w:rPr>
      </w:pPr>
    </w:p>
    <w:p>
      <w:pPr>
        <w:ind w:left="5"/>
        <w:spacing w:after="0"/>
        <w:rPr>
          <w:sz w:val="20"/>
          <w:szCs w:val="20"/>
          <w:color w:val="auto"/>
        </w:rPr>
      </w:pPr>
      <w:r>
        <w:rPr>
          <w:rFonts w:ascii="Arial" w:cs="Arial" w:eastAsia="Arial" w:hAnsi="Arial"/>
          <w:sz w:val="16"/>
          <w:szCs w:val="16"/>
          <w:color w:val="auto"/>
        </w:rPr>
        <w:t>/s/ Mark McKechnie</w:t>
      </w:r>
    </w:p>
    <w:p>
      <w:pPr>
        <w:spacing w:after="0" w:line="220"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Mark McKechnie</w:t>
      </w:r>
    </w:p>
    <w:p>
      <w:pPr>
        <w:spacing w:after="0" w:line="220" w:lineRule="exact"/>
        <w:rPr>
          <w:sz w:val="20"/>
          <w:szCs w:val="20"/>
          <w:color w:val="auto"/>
        </w:rPr>
      </w:pPr>
    </w:p>
    <w:p>
      <w:pPr>
        <w:ind w:left="605" w:right="8280" w:hanging="605"/>
        <w:spacing w:after="0" w:line="313" w:lineRule="auto"/>
        <w:tabs>
          <w:tab w:leader="none" w:pos="56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David H. Wang, ACM Research, Inc. Michael A. Hedge, K&amp;L Gates LLP Jason C. Dreibelbis, K&amp;L Gates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714883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sectPr>
      <w:pgSz w:w="11900" w:h="16838" w:orient="portrait"/>
      <w:cols w:equalWidth="0" w:num="1">
        <w:col w:w="11265"/>
      </w:cols>
      <w:pgMar w:left="315" w:top="257"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lvl w:ilvl="1">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1)"/>
      <w:numFmt w:val="lowerRoman"/>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o"/>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o"/>
      <w:numFmt w:val="bullet"/>
      <w:start w:val="1"/>
    </w:lvl>
  </w:abstractNum>
  <w:abstractNum w:abstractNumId="70">
    <w:nsid w:val="74DE0EE3"/>
    <w:multiLevelType w:val="hybridMultilevel"/>
    <w:lvl w:ilvl="0">
      <w:lvlJc w:val="left"/>
      <w:lvlText w:val="(%1)"/>
      <w:numFmt w:val="lowerLetter"/>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1)"/>
      <w:numFmt w:val="decimal"/>
      <w:start w:val="1"/>
    </w:lvl>
  </w:abstractNum>
  <w:abstractNum w:abstractNumId="84">
    <w:nsid w:val="5FB8370B"/>
    <w:multiLevelType w:val="hybridMultilevel"/>
    <w:lvl w:ilvl="0">
      <w:lvlJc w:val="left"/>
      <w:lvlText w:val="(%1)"/>
      <w:numFmt w:val="decimal"/>
      <w:start w:val="1"/>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1"/>
      <w:numFmt w:val="lowerLetter"/>
      <w:start w:val="1"/>
    </w:lvl>
    <w:lvl w:ilvl="1">
      <w:lvlJc w:val="left"/>
      <w:lvlText w:val="(%2)"/>
      <w:numFmt w:val="lowerLetter"/>
      <w:start w:val="1"/>
    </w:lvl>
  </w:abstractNum>
  <w:abstractNum w:abstractNumId="91">
    <w:nsid w:val="6A5F7029"/>
    <w:multiLevelType w:val="hybridMultilevel"/>
    <w:lvl w:ilvl="0">
      <w:lvlJc w:val="left"/>
      <w:lvlText w:val="(%1)"/>
      <w:numFmt w:val="lowerLetter"/>
      <w:start w:val="2"/>
    </w:lvl>
    <w:lvl w:ilvl="1">
      <w:lvlJc w:val="left"/>
      <w:lvlText w:val="%2"/>
      <w:numFmt w:val="lowerLetter"/>
      <w:start w:val="1"/>
    </w:lvl>
  </w:abstractNum>
  <w:abstractNum w:abstractNumId="92">
    <w:nsid w:val="7D5E18F8"/>
    <w:multiLevelType w:val="hybridMultilevel"/>
    <w:lvl w:ilvl="0">
      <w:lvlJc w:val="left"/>
      <w:lvlText w:val="(%1)"/>
      <w:numFmt w:val="lowerLetter"/>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decimal"/>
      <w:start w:val="5"/>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lowerLetter"/>
      <w:start w:val="1"/>
    </w:lvl>
  </w:abstractNum>
  <w:abstractNum w:abstractNumId="104">
    <w:nsid w:val="5092CA79"/>
    <w:multiLevelType w:val="hybridMultilevel"/>
    <w:lvl w:ilvl="0">
      <w:lvlJc w:val="left"/>
      <w:lvlText w:val="%1."/>
      <w:numFmt w:val="decimal"/>
      <w:start w:val="5"/>
    </w:lvl>
  </w:abstractNum>
  <w:abstractNum w:abstractNumId="105">
    <w:nsid w:val="1D545C4D"/>
    <w:multiLevelType w:val="hybridMultilevel"/>
    <w:lvl w:ilvl="0">
      <w:lvlJc w:val="left"/>
      <w:lvlText w:val="(%1)"/>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jpeg"/><Relationship Id="rId234"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jpeg"/><Relationship Id="rId237" Type="http://schemas.openxmlformats.org/officeDocument/2006/relationships/image" Target="media/image169.png"/><Relationship Id="rId238" Type="http://schemas.openxmlformats.org/officeDocument/2006/relationships/image" Target="media/image170.png"/><Relationship Id="rId239" Type="http://schemas.openxmlformats.org/officeDocument/2006/relationships/image" Target="media/image171.png"/><Relationship Id="rId240" Type="http://schemas.openxmlformats.org/officeDocument/2006/relationships/image" Target="media/image172.png"/><Relationship Id="rId241" Type="http://schemas.openxmlformats.org/officeDocument/2006/relationships/image" Target="media/image173.png"/><Relationship Id="rId242" Type="http://schemas.openxmlformats.org/officeDocument/2006/relationships/image" Target="media/image174.png"/><Relationship Id="rId243" Type="http://schemas.openxmlformats.org/officeDocument/2006/relationships/image" Target="media/image175.png"/><Relationship Id="rId244" Type="http://schemas.openxmlformats.org/officeDocument/2006/relationships/image" Target="media/image176.png"/><Relationship Id="rId245" Type="http://schemas.openxmlformats.org/officeDocument/2006/relationships/image" Target="media/image177.png"/><Relationship Id="rId246" Type="http://schemas.openxmlformats.org/officeDocument/2006/relationships/image" Target="media/image178.png"/><Relationship Id="rId247" Type="http://schemas.openxmlformats.org/officeDocument/2006/relationships/image" Target="media/image179.png"/><Relationship Id="rId248" Type="http://schemas.openxmlformats.org/officeDocument/2006/relationships/image" Target="media/image180.png"/><Relationship Id="rId249" Type="http://schemas.openxmlformats.org/officeDocument/2006/relationships/image" Target="media/image181.png"/><Relationship Id="rId154" Type="http://schemas.openxmlformats.org/officeDocument/2006/relationships/hyperlink" Target="https://www.sec.gov/Archives/edgar/data/1680062/000119312517342650/d407541dex301.htm" TargetMode="External"/><Relationship Id="rId155" Type="http://schemas.openxmlformats.org/officeDocument/2006/relationships/hyperlink" Target="https://www.sec.gov/Archives/edgar/data/0001680062/000114036121024240/brhc10026736_ex3-01.htm" TargetMode="External"/><Relationship Id="rId156" Type="http://schemas.openxmlformats.org/officeDocument/2006/relationships/hyperlink" Target="https://www.sec.gov/Archives/edgar/data/1680062/000119312517342650/d407541dex302.htm" TargetMode="External"/><Relationship Id="rId157" Type="http://schemas.openxmlformats.org/officeDocument/2006/relationships/hyperlink" Target="https://www.sec.gov/Archives/edgar/data/1680062/000165495418005164/acm_ex10-03.htm" TargetMode="External"/><Relationship Id="rId158" Type="http://schemas.openxmlformats.org/officeDocument/2006/relationships/hyperlink" Target="https://www.sec.gov/Archives/edgar/data/1680062/000165495418005164/acm_ex10-04.htm" TargetMode="External"/><Relationship Id="rId159" Type="http://schemas.openxmlformats.org/officeDocument/2006/relationships/hyperlink" Target="https://www.sec.gov/Archives/edgar/data/1680062/000165495418005164/acm_ex10-02.htm" TargetMode="External"/><Relationship Id="rId160" Type="http://schemas.openxmlformats.org/officeDocument/2006/relationships/hyperlink" Target="https://www.sec.gov/Archives/edgar/data/1680062/000114036120017994/brhc10014158_ex4-01.htm" TargetMode="External"/><Relationship Id="rId161" Type="http://schemas.openxmlformats.org/officeDocument/2006/relationships/hyperlink" Target="https://www.sec.gov/Archives/edgar/data/1680062/000119312517283955/d311227dex1001.htm" TargetMode="External"/><Relationship Id="rId162" Type="http://schemas.openxmlformats.org/officeDocument/2006/relationships/hyperlink" Target="https://www.sec.gov/Archives/edgar/data/1680062/000165495418011153/acmr_ex1006.htm" TargetMode="External"/><Relationship Id="rId163" Type="http://schemas.openxmlformats.org/officeDocument/2006/relationships/hyperlink" Target="https://www.sec.gov/Archives/edgar/data/1680062/000165495419001232/acm_ex10-1.htm" TargetMode="External"/><Relationship Id="rId164" Type="http://schemas.openxmlformats.org/officeDocument/2006/relationships/hyperlink" Target="https://www.sec.gov/Archives/edgar/data/1680062/000114036122007348/brhc10034322_ex10-01d.htm" TargetMode="External"/><Relationship Id="rId165" Type="http://schemas.openxmlformats.org/officeDocument/2006/relationships/hyperlink" Target="https://www.sec.gov/Archives/edgar/data/1680062/000165495418011154/acmr_ex1001.htm" TargetMode="External"/><Relationship Id="rId166" Type="http://schemas.openxmlformats.org/officeDocument/2006/relationships/hyperlink" Target="https://www.sec.gov/Archives/edgar/data/1680062/000165495418011153/acmr_ex1005.htm" TargetMode="External"/><Relationship Id="rId167" Type="http://schemas.openxmlformats.org/officeDocument/2006/relationships/hyperlink" Target="https://www.sec.gov/Archives/edgar/data/1680062/000119312517283955/d311227dex1003.htm" TargetMode="External"/><Relationship Id="rId168" Type="http://schemas.openxmlformats.org/officeDocument/2006/relationships/hyperlink" Target="https://www.sec.gov/Archives/edgar/data/1680062/000119312517312780/d311227dex1004.htm" TargetMode="External"/><Relationship Id="rId169" Type="http://schemas.openxmlformats.org/officeDocument/2006/relationships/hyperlink" Target="https://www.sec.gov/Archives/edgar/data/1680062/000119312517312780/d311227dex1007.htm" TargetMode="External"/><Relationship Id="rId170" Type="http://schemas.openxmlformats.org/officeDocument/2006/relationships/hyperlink" Target="https://www.sec.gov/Archives/edgar/data/1680062/000119312517312780/d311227dex1010.htm" TargetMode="External"/><Relationship Id="rId171" Type="http://schemas.openxmlformats.org/officeDocument/2006/relationships/hyperlink" Target="https://www.sec.gov/Archives/edgar/data/1680062/000165495419009210/acm_ex10-01.htm" TargetMode="External"/><Relationship Id="rId172" Type="http://schemas.openxmlformats.org/officeDocument/2006/relationships/hyperlink" Target="https://www.sec.gov/Archives/edgar/data/1680062/000165495419009210/acm_ex10-01a.htm" TargetMode="External"/><Relationship Id="rId173" Type="http://schemas.openxmlformats.org/officeDocument/2006/relationships/hyperlink" Target="https://www.sec.gov/Archives/edgar/data/1680062/000165495419009210/acm_ex10-02.htm" TargetMode="External"/><Relationship Id="rId174" Type="http://schemas.openxmlformats.org/officeDocument/2006/relationships/hyperlink" Target="https://www.sec.gov/Archives/edgar/data/1680062/000165495419009210/acm_ex10-02a.htm" TargetMode="External"/><Relationship Id="rId175" Type="http://schemas.openxmlformats.org/officeDocument/2006/relationships/hyperlink" Target="https://www.sec.gov/Archives/edgar/data/1680062/000114036119020461/ex10_03.htm" TargetMode="External"/><Relationship Id="rId176" Type="http://schemas.openxmlformats.org/officeDocument/2006/relationships/hyperlink" Target="https://www.sec.gov/Archives/edgar/data/1680062/000119312517364926/d481028dex1001.htm" TargetMode="External"/><Relationship Id="rId177" Type="http://schemas.openxmlformats.org/officeDocument/2006/relationships/hyperlink" Target="https://www.sec.gov/Archives/edgar/data/1680062/000119312517283955/d311227dex1010a.htm" TargetMode="External"/><Relationship Id="rId178" Type="http://schemas.openxmlformats.org/officeDocument/2006/relationships/hyperlink" Target="https://www.sec.gov/Archives/edgar/data/1680062/000119312517283955/d311227dex1010b.htm" TargetMode="External"/><Relationship Id="rId179" Type="http://schemas.openxmlformats.org/officeDocument/2006/relationships/hyperlink" Target="https://www.sec.gov/Archives/edgar/data/1680062/000119312517283955/d311227dex1010c.htm" TargetMode="External"/><Relationship Id="rId180" Type="http://schemas.openxmlformats.org/officeDocument/2006/relationships/hyperlink" Target="https://www.sec.gov/Archives/edgar/data/1680062/000119312517283955/d311227dex1011.htm" TargetMode="External"/><Relationship Id="rId181" Type="http://schemas.openxmlformats.org/officeDocument/2006/relationships/hyperlink" Target="https://www.sec.gov/Archives/edgar/data/1680062/000119312517283955/d311227dex1012.htm" TargetMode="External"/><Relationship Id="rId182" Type="http://schemas.openxmlformats.org/officeDocument/2006/relationships/hyperlink" Target="https://www.sec.gov/Archives/edgar/data/1680062/000119312517283955/d311227dex1012a.htm" TargetMode="External"/><Relationship Id="rId183" Type="http://schemas.openxmlformats.org/officeDocument/2006/relationships/hyperlink" Target="https://www.sec.gov/Archives/edgar/data/1680062/000119312517283955/d311227dex1012b.htm" TargetMode="External"/><Relationship Id="rId184" Type="http://schemas.openxmlformats.org/officeDocument/2006/relationships/hyperlink" Target="https://www.sec.gov/Archives/edgar/data/1680062/000119312517283955/d311227dex1013.htm" TargetMode="External"/><Relationship Id="rId185" Type="http://schemas.openxmlformats.org/officeDocument/2006/relationships/hyperlink" Target="https://www.sec.gov/Archives/edgar/data/1680062/000114036119014943/nc10003786x1_ex10-02.htm" TargetMode="External"/><Relationship Id="rId186" Type="http://schemas.openxmlformats.org/officeDocument/2006/relationships/hyperlink" Target="https://www.sec.gov/Archives/edgar/data/1680062/000114036122007348/brhc10034322_ex10-20.htm" TargetMode="External"/><Relationship Id="rId187" Type="http://schemas.openxmlformats.org/officeDocument/2006/relationships/hyperlink" Target="https://www.sec.gov/Archives/edgar/data/1680062/000114036120011117/ex10_02.htm" TargetMode="External"/><Relationship Id="rId188" Type="http://schemas.openxmlformats.org/officeDocument/2006/relationships/hyperlink" Target="https://www.sec.gov/Archives/edgar/data/1680062/000114036120011117/ex10_03.htm" TargetMode="External"/><Relationship Id="rId189" Type="http://schemas.openxmlformats.org/officeDocument/2006/relationships/hyperlink" Target="https://www.sec.gov/Archives/edgar/data/1680062/000114036120025035/brhc10016473_ex10-01.htm" TargetMode="External"/><Relationship Id="rId190" Type="http://schemas.openxmlformats.org/officeDocument/2006/relationships/hyperlink" Target="https://www.sec.gov/Archives/edgar/data/1680062/000114036120011506/ex10_01.htm" TargetMode="External"/><Relationship Id="rId191" Type="http://schemas.openxmlformats.org/officeDocument/2006/relationships/hyperlink" Target="https://www.sec.gov/Archives/edgar/data/1680062/000114036120012790/ex10_01.htm" TargetMode="External"/><Relationship Id="rId192" Type="http://schemas.openxmlformats.org/officeDocument/2006/relationships/hyperlink" Target="https://www.sec.gov/Archives/edgar/data/1680062/000114036120012790/ex10_02.htm" TargetMode="External"/><Relationship Id="rId193" Type="http://schemas.openxmlformats.org/officeDocument/2006/relationships/hyperlink" Target="https://www.sec.gov/Archives/edgar/data/1680062/000114036120012790/ex10_03.htm" TargetMode="External"/><Relationship Id="rId194" Type="http://schemas.openxmlformats.org/officeDocument/2006/relationships/hyperlink" Target="https://www.sec.gov/Archives/edgar/data/1680062/000114036120012790/ex10_04.htm" TargetMode="External"/><Relationship Id="rId195" Type="http://schemas.openxmlformats.org/officeDocument/2006/relationships/hyperlink" Target="https://www.sec.gov/Archives/edgar/data/1680062/000114036120012790/ex10_05.htm" TargetMode="External"/><Relationship Id="rId196" Type="http://schemas.openxmlformats.org/officeDocument/2006/relationships/hyperlink" Target="https://www.sec.gov/Archives/edgar/data/1680062/000114036120012790/ex10_06.htm" TargetMode="External"/><Relationship Id="rId197" Type="http://schemas.openxmlformats.org/officeDocument/2006/relationships/hyperlink" Target="https://www.sec.gov/Archives/edgar/data/1680062/000114036120012790/ex10_07.htm" TargetMode="External"/><Relationship Id="rId198" Type="http://schemas.openxmlformats.org/officeDocument/2006/relationships/hyperlink" Target="https://www.sec.gov/Archives/edgar/data/1680062/000114036120012790/ex10_08.htm" TargetMode="External"/><Relationship Id="rId199" Type="http://schemas.openxmlformats.org/officeDocument/2006/relationships/hyperlink" Target="https://www.sec.gov/Archives/edgar/data/1680062/000114036120012790/ex10_09.htm" TargetMode="External"/><Relationship Id="rId200" Type="http://schemas.openxmlformats.org/officeDocument/2006/relationships/hyperlink" Target="https://www.sec.gov/Archives/edgar/data/1680062/000114036120012790/ex10_10.htm" TargetMode="External"/><Relationship Id="rId201" Type="http://schemas.openxmlformats.org/officeDocument/2006/relationships/hyperlink" Target="https://www.sec.gov/Archives/edgar/data/1680062/000114036120012790/ex10_11.htm" TargetMode="External"/><Relationship Id="rId202" Type="http://schemas.openxmlformats.org/officeDocument/2006/relationships/hyperlink" Target="https://www.sec.gov/Archives/edgar/data/1680062/000114036120012790/ex10_12.htm" TargetMode="External"/><Relationship Id="rId203" Type="http://schemas.openxmlformats.org/officeDocument/2006/relationships/hyperlink" Target="https://www.sec.gov/Archives/edgar/data/1680062/000114036120012790/ex10_13.htm" TargetMode="External"/><Relationship Id="rId204" Type="http://schemas.openxmlformats.org/officeDocument/2006/relationships/hyperlink" Target="https://www.sec.gov/Archives/edgar/data/1680062/000114036120012790/ex10_14.htm" TargetMode="External"/><Relationship Id="rId205" Type="http://schemas.openxmlformats.org/officeDocument/2006/relationships/hyperlink" Target="https://www.sec.gov/Archives/edgar/data/1680062/000114036120012790/ex10_15.htm" TargetMode="External"/><Relationship Id="rId206" Type="http://schemas.openxmlformats.org/officeDocument/2006/relationships/hyperlink" Target="https://www.sec.gov/Archives/edgar/data/1680062/000114036120012790/ex10_16.htm" TargetMode="External"/><Relationship Id="rId207" Type="http://schemas.openxmlformats.org/officeDocument/2006/relationships/hyperlink" Target="https://www.sec.gov/Archives/edgar/data/1680062/000114036120015474/ex10_01.htm" TargetMode="External"/><Relationship Id="rId208" Type="http://schemas.openxmlformats.org/officeDocument/2006/relationships/hyperlink" Target="https://www.sec.gov/Archives/edgar/data/1680062/000114036120015474/ex10_02.htm" TargetMode="External"/><Relationship Id="rId209" Type="http://schemas.openxmlformats.org/officeDocument/2006/relationships/hyperlink" Target="https://www.sec.gov/Archives/edgar/data/1680062/000114036121006213/brhc10020536_ex10-01.htm" TargetMode="External"/><Relationship Id="rId210" Type="http://schemas.openxmlformats.org/officeDocument/2006/relationships/hyperlink" Target="https://www.sec.gov/Archives/edgar/data/1680062/000114036121006213/brhc10020536_ex10-01a.htm" TargetMode="External"/><Relationship Id="rId211" Type="http://schemas.openxmlformats.org/officeDocument/2006/relationships/hyperlink" Target="https://www.sec.gov/Archives/edgar/data/1680062/000114036121006213/brhc10020536_ex10-02.htm" TargetMode="External"/><Relationship Id="rId212" Type="http://schemas.openxmlformats.org/officeDocument/2006/relationships/hyperlink" Target="https://www.sec.gov/Archives/edgar/data/1680062/000114036121006213/brhc10020536_ex10-03.htm" TargetMode="External"/><Relationship Id="rId213" Type="http://schemas.openxmlformats.org/officeDocument/2006/relationships/hyperlink" Target="https://www.sec.gov/Archives/edgar/data/0001680062/000114036121016476/brhc10023839_ex10-01.htm" TargetMode="External"/><Relationship Id="rId214" Type="http://schemas.openxmlformats.org/officeDocument/2006/relationships/hyperlink" Target="https://www.sec.gov/Archives/edgar/data/1680062/000114036122019963/brhc10037864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2023-03-02T07:03:50Z</dcterms:created>
  <dcterms:modified xsi:type="dcterms:W3CDTF">2023-03-02T07:03:50Z</dcterms:modified>
</cp:coreProperties>
</file>