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September 30, 2025</w:t>
      </w:r>
      <w:r>
        <w:rPr>
          <w:color w:val="000000"/>
          <w:shd w:fill="FFFFFF" w:val="clear"/>
        </w:rPr>
        <w:t xml:space="preserve">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001-38273</w:t>
      </w:r>
    </w:p>
    <w:p>
      <w:pPr>
        <w:pStyle w:val="TextBody"/>
        <w:bidi w:val="0"/>
        <w:spacing w:before="120" w:after="283"/>
        <w:jc w:val="center"/>
        <w:rPr/>
      </w:pPr>
      <w:r>
        <w:rP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120" w:after="283"/>
        <w:jc w:val="center"/>
        <w:rPr/>
      </w:pPr>
      <w:r>
        <w:rPr>
          <w:rFonts w:ascii="Times New Roman;serif" w:hAnsi="Times New Roman;serif"/>
          <w:b w:val="false"/>
          <w:i/>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(510) 445-3700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the number of shares outstanding of each of the registrant’s classes of common stock, as of the latest practicable date.</w:t>
      </w:r>
    </w:p>
    <w:tbl>
      <w:tblPr>
        <w:tblW w:w="8532"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347"/>
        <w:gridCol w:w="1347"/>
        <w:gridCol w:w="1911"/>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 Outstanding</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59,854,640 shares outstanding as of November 3, 2025</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5,021,811 shares outstanding as of November 3, 2025</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37"/>
        <w:gridCol w:w="120"/>
        <w:gridCol w:w="120"/>
        <w:gridCol w:w="239"/>
        <w:gridCol w:w="239"/>
        <w:gridCol w:w="241"/>
        <w:gridCol w:w="2909"/>
        <w:gridCol w:w="2909"/>
        <w:gridCol w:w="2915"/>
        <w:gridCol w:w="109"/>
        <w:gridCol w:w="109"/>
        <w:gridCol w:w="158"/>
      </w:tblGrid>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9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3">
              <w:r>
                <w:rPr>
                  <w:rStyle w:val="InternetLink"/>
                  <w:rFonts w:ascii="Times New Roman;serif" w:hAnsi="Times New Roman;serif"/>
                  <w:b w:val="false"/>
                  <w:strike w:val="false"/>
                  <w:dstrike w:val="false"/>
                  <w:color w:val="000000"/>
                  <w:sz w:val="20"/>
                  <w:u w:val="none"/>
                  <w:effect w:val="none"/>
                </w:rPr>
                <w:t>PART I.</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3">
              <w:r>
                <w:rPr>
                  <w:rStyle w:val="InternetLink"/>
                  <w:rFonts w:ascii="Times New Roman;serif" w:hAnsi="Times New Roman;serif"/>
                  <w:b w:val="false"/>
                  <w:color w:val="0000FF"/>
                  <w:sz w:val="20"/>
                  <w:u w:val="single"/>
                </w:rPr>
                <w:t>FINANCIAL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3">
              <w:r>
                <w:rPr>
                  <w:rStyle w:val="InternetLink"/>
                  <w:rFonts w:ascii="Times New Roman;serif" w:hAnsi="Times New Roman;serif"/>
                  <w:b w:val="false"/>
                  <w:strike w:val="false"/>
                  <w:dstrike w:val="false"/>
                  <w:color w:val="3051F2"/>
                  <w:sz w:val="20"/>
                  <w:u w:val="none"/>
                  <w:effect w:val="none"/>
                </w:rPr>
                <w:t>4</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6">
              <w:r>
                <w:rPr>
                  <w:rStyle w:val="InternetLink"/>
                  <w:rFonts w:ascii="Times New Roman;serif" w:hAnsi="Times New Roman;serif"/>
                  <w:b w:val="false"/>
                  <w:strike w:val="false"/>
                  <w:dstrike w:val="false"/>
                  <w:color w:val="000000"/>
                  <w:sz w:val="20"/>
                  <w:u w:val="none"/>
                  <w:effect w:val="none"/>
                </w:rPr>
                <w:t>Item 1.</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6">
              <w:r>
                <w:rPr>
                  <w:rStyle w:val="InternetLink"/>
                  <w:rFonts w:ascii="Times New Roman;serif" w:hAnsi="Times New Roman;serif"/>
                  <w:b w:val="false"/>
                  <w:color w:val="0000FF"/>
                  <w:sz w:val="20"/>
                  <w:u w:val="single"/>
                </w:rPr>
                <w:t>Financial Statements (unaudited)</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6">
              <w:r>
                <w:rPr>
                  <w:rStyle w:val="InternetLink"/>
                  <w:rFonts w:ascii="Times New Roman;serif" w:hAnsi="Times New Roman;serif"/>
                  <w:b w:val="false"/>
                  <w:strike w:val="false"/>
                  <w:dstrike w:val="false"/>
                  <w:color w:val="3051F2"/>
                  <w:sz w:val="20"/>
                  <w:u w:val="none"/>
                  <w:effect w:val="none"/>
                </w:rPr>
                <w:t>4</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9">
              <w:r>
                <w:rPr>
                  <w:rStyle w:val="InternetLink"/>
                  <w:rFonts w:ascii="Times New Roman;serif" w:hAnsi="Times New Roman;serif"/>
                  <w:b w:val="false"/>
                  <w:color w:val="000080"/>
                  <w:sz w:val="20"/>
                  <w:u w:val="single"/>
                </w:rPr>
                <w:t xml:space="preserve">Condensed Consolidated Balance Sheets as of </w:t>
              </w:r>
            </w:hyperlink>
            <w:hyperlink w:anchor="i9746fa7245204a1e99e02350bd02a662_19">
              <w:r>
                <w:rPr>
                  <w:rStyle w:val="InternetLink"/>
                  <w:rFonts w:ascii="Times New Roman;serif" w:hAnsi="Times New Roman;serif"/>
                  <w:b w:val="false"/>
                  <w:color w:val="000080"/>
                  <w:sz w:val="20"/>
                  <w:u w:val="single"/>
                </w:rPr>
                <w:t>September 30</w:t>
              </w:r>
            </w:hyperlink>
            <w:hyperlink w:anchor="i9746fa7245204a1e99e02350bd02a662_19">
              <w:r>
                <w:rPr>
                  <w:rStyle w:val="InternetLink"/>
                  <w:rFonts w:ascii="Times New Roman;serif" w:hAnsi="Times New Roman;serif"/>
                  <w:b w:val="false"/>
                  <w:color w:val="000080"/>
                  <w:sz w:val="20"/>
                  <w:u w:val="single"/>
                </w:rPr>
                <w:t>, 2025 and December 31, 2024</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9">
              <w:r>
                <w:rPr>
                  <w:rStyle w:val="InternetLink"/>
                  <w:rFonts w:ascii="Times New Roman;serif" w:hAnsi="Times New Roman;serif"/>
                  <w:b w:val="false"/>
                  <w:strike w:val="false"/>
                  <w:dstrike w:val="false"/>
                  <w:color w:val="3051F2"/>
                  <w:sz w:val="20"/>
                  <w:u w:val="none"/>
                  <w:effect w:val="none"/>
                </w:rPr>
                <w:t>4</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22">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9746fa7245204a1e99e02350bd02a662_22">
              <w:r>
                <w:rPr>
                  <w:rStyle w:val="InternetLink"/>
                  <w:rFonts w:ascii="Times New Roman;serif" w:hAnsi="Times New Roman;serif"/>
                  <w:b w:val="false"/>
                  <w:color w:val="000080"/>
                  <w:sz w:val="20"/>
                  <w:u w:val="single"/>
                </w:rPr>
                <w:t>Nine</w:t>
              </w:r>
            </w:hyperlink>
            <w:hyperlink w:anchor="i9746fa7245204a1e99e02350bd02a662_22">
              <w:r>
                <w:rPr>
                  <w:rStyle w:val="InternetLink"/>
                  <w:rFonts w:ascii="Times New Roman;serif" w:hAnsi="Times New Roman;serif"/>
                  <w:b w:val="false"/>
                  <w:color w:val="000080"/>
                  <w:sz w:val="20"/>
                  <w:u w:val="single"/>
                </w:rPr>
                <w:t xml:space="preserve"> Months Ended </w:t>
              </w:r>
            </w:hyperlink>
            <w:hyperlink w:anchor="i9746fa7245204a1e99e02350bd02a662_22">
              <w:r>
                <w:rPr>
                  <w:rStyle w:val="InternetLink"/>
                  <w:rFonts w:ascii="Times New Roman;serif" w:hAnsi="Times New Roman;serif"/>
                  <w:b w:val="false"/>
                  <w:color w:val="000080"/>
                  <w:sz w:val="20"/>
                  <w:u w:val="single"/>
                </w:rPr>
                <w:t>September 30</w:t>
              </w:r>
            </w:hyperlink>
            <w:hyperlink w:anchor="i9746fa7245204a1e99e02350bd02a662_22">
              <w:r>
                <w:rPr>
                  <w:rStyle w:val="InternetLink"/>
                  <w:rFonts w:ascii="Times New Roman;serif" w:hAnsi="Times New Roman;serif"/>
                  <w:b w:val="false"/>
                  <w:color w:val="000080"/>
                  <w:sz w:val="20"/>
                  <w:u w:val="single"/>
                </w:rPr>
                <w:t>, 2025 and 2024</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22">
              <w:r>
                <w:rPr>
                  <w:rStyle w:val="InternetLink"/>
                  <w:rFonts w:ascii="Times New Roman;serif" w:hAnsi="Times New Roman;serif"/>
                  <w:b w:val="false"/>
                  <w:strike w:val="false"/>
                  <w:dstrike w:val="false"/>
                  <w:color w:val="3051F2"/>
                  <w:sz w:val="20"/>
                  <w:u w:val="none"/>
                  <w:effect w:val="none"/>
                </w:rPr>
                <w:t>5</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25">
              <w:r>
                <w:rPr>
                  <w:rStyle w:val="InternetLink"/>
                  <w:rFonts w:ascii="Times New Roman;serif" w:hAnsi="Times New Roman;serif"/>
                  <w:b w:val="false"/>
                  <w:color w:val="000080"/>
                  <w:sz w:val="20"/>
                  <w:u w:val="single"/>
                </w:rPr>
                <w:t xml:space="preserve">Condensed Consolidated Statements of Changes in Equity for the Three and </w:t>
              </w:r>
            </w:hyperlink>
            <w:hyperlink w:anchor="i9746fa7245204a1e99e02350bd02a662_25">
              <w:r>
                <w:rPr>
                  <w:rStyle w:val="InternetLink"/>
                  <w:rFonts w:ascii="Times New Roman;serif" w:hAnsi="Times New Roman;serif"/>
                  <w:b w:val="false"/>
                  <w:color w:val="000080"/>
                  <w:sz w:val="20"/>
                  <w:u w:val="single"/>
                </w:rPr>
                <w:t>Nine</w:t>
              </w:r>
            </w:hyperlink>
            <w:hyperlink w:anchor="i9746fa7245204a1e99e02350bd02a662_25">
              <w:r>
                <w:rPr>
                  <w:rStyle w:val="InternetLink"/>
                  <w:rFonts w:ascii="Times New Roman;serif" w:hAnsi="Times New Roman;serif"/>
                  <w:b w:val="false"/>
                  <w:color w:val="000080"/>
                  <w:sz w:val="20"/>
                  <w:u w:val="single"/>
                </w:rPr>
                <w:t xml:space="preserve"> Months Ended </w:t>
              </w:r>
            </w:hyperlink>
            <w:hyperlink w:anchor="i9746fa7245204a1e99e02350bd02a662_25">
              <w:r>
                <w:rPr>
                  <w:rStyle w:val="InternetLink"/>
                  <w:rFonts w:ascii="Times New Roman;serif" w:hAnsi="Times New Roman;serif"/>
                  <w:b w:val="false"/>
                  <w:color w:val="000080"/>
                  <w:sz w:val="20"/>
                  <w:u w:val="single"/>
                </w:rPr>
                <w:t>September 30</w:t>
              </w:r>
            </w:hyperlink>
            <w:hyperlink w:anchor="i9746fa7245204a1e99e02350bd02a662_25">
              <w:r>
                <w:rPr>
                  <w:rStyle w:val="InternetLink"/>
                  <w:rFonts w:ascii="Times New Roman;serif" w:hAnsi="Times New Roman;serif"/>
                  <w:b w:val="false"/>
                  <w:color w:val="000080"/>
                  <w:sz w:val="20"/>
                  <w:u w:val="single"/>
                </w:rPr>
                <w:t>, 2025 and 2024</w:t>
              </w:r>
            </w:hyperlink>
            <w:r>
              <w:rPr>
                <w:color w:val="000000"/>
              </w:rPr>
              <w:t xml:space="preserve"> </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25">
              <w:r>
                <w:rPr>
                  <w:rStyle w:val="InternetLink"/>
                  <w:rFonts w:ascii="Times New Roman;serif" w:hAnsi="Times New Roman;serif"/>
                  <w:b w:val="false"/>
                  <w:strike w:val="false"/>
                  <w:dstrike w:val="false"/>
                  <w:color w:val="3051F2"/>
                  <w:sz w:val="20"/>
                  <w:u w:val="none"/>
                  <w:effect w:val="none"/>
                </w:rPr>
                <w:t>6</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28">
              <w:r>
                <w:rPr>
                  <w:rStyle w:val="InternetLink"/>
                  <w:rFonts w:ascii="Times New Roman;serif" w:hAnsi="Times New Roman;serif"/>
                  <w:b w:val="false"/>
                  <w:color w:val="000080"/>
                  <w:sz w:val="20"/>
                  <w:u w:val="single"/>
                </w:rPr>
                <w:t xml:space="preserve">Condensed Consolidated Statements of Cash Flows for the </w:t>
              </w:r>
            </w:hyperlink>
            <w:hyperlink w:anchor="i9746fa7245204a1e99e02350bd02a662_28">
              <w:r>
                <w:rPr>
                  <w:rStyle w:val="InternetLink"/>
                  <w:rFonts w:ascii="Times New Roman;serif" w:hAnsi="Times New Roman;serif"/>
                  <w:b w:val="false"/>
                  <w:color w:val="000080"/>
                  <w:sz w:val="20"/>
                  <w:u w:val="single"/>
                </w:rPr>
                <w:t>Nine</w:t>
              </w:r>
            </w:hyperlink>
            <w:hyperlink w:anchor="i9746fa7245204a1e99e02350bd02a662_28">
              <w:r>
                <w:rPr>
                  <w:rStyle w:val="InternetLink"/>
                  <w:rFonts w:ascii="Times New Roman;serif" w:hAnsi="Times New Roman;serif"/>
                  <w:b w:val="false"/>
                  <w:color w:val="000080"/>
                  <w:sz w:val="20"/>
                  <w:u w:val="single"/>
                </w:rPr>
                <w:t xml:space="preserve"> Months Ended </w:t>
              </w:r>
            </w:hyperlink>
            <w:hyperlink w:anchor="i9746fa7245204a1e99e02350bd02a662_28">
              <w:r>
                <w:rPr>
                  <w:rStyle w:val="InternetLink"/>
                  <w:rFonts w:ascii="Times New Roman;serif" w:hAnsi="Times New Roman;serif"/>
                  <w:b w:val="false"/>
                  <w:color w:val="000080"/>
                  <w:sz w:val="20"/>
                  <w:u w:val="single"/>
                </w:rPr>
                <w:t>September 30</w:t>
              </w:r>
            </w:hyperlink>
            <w:hyperlink w:anchor="i9746fa7245204a1e99e02350bd02a662_28">
              <w:r>
                <w:rPr>
                  <w:rStyle w:val="InternetLink"/>
                  <w:rFonts w:ascii="Times New Roman;serif" w:hAnsi="Times New Roman;serif"/>
                  <w:b w:val="false"/>
                  <w:color w:val="000080"/>
                  <w:sz w:val="20"/>
                  <w:u w:val="single"/>
                </w:rPr>
                <w:t>, 2025 and 2024</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28">
              <w:r>
                <w:rPr>
                  <w:rStyle w:val="InternetLink"/>
                  <w:rFonts w:ascii="Times New Roman;serif" w:hAnsi="Times New Roman;serif"/>
                  <w:b w:val="false"/>
                  <w:strike w:val="false"/>
                  <w:dstrike w:val="false"/>
                  <w:color w:val="3051F2"/>
                  <w:sz w:val="20"/>
                  <w:u w:val="none"/>
                  <w:effect w:val="none"/>
                </w:rPr>
                <w:t>9</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31">
              <w:r>
                <w:rPr>
                  <w:rStyle w:val="InternetLink"/>
                  <w:rFonts w:ascii="Times New Roman;serif" w:hAnsi="Times New Roman;serif"/>
                  <w:b w:val="false"/>
                  <w:color w:val="0000FF"/>
                  <w:sz w:val="20"/>
                  <w:u w:val="single"/>
                </w:rPr>
                <w:t>Notes to the Condensed Consolidated Financial Statements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31">
              <w:r>
                <w:rPr>
                  <w:rStyle w:val="InternetLink"/>
                  <w:rFonts w:ascii="Times New Roman;serif" w:hAnsi="Times New Roman;serif"/>
                  <w:b w:val="false"/>
                  <w:strike w:val="false"/>
                  <w:dstrike w:val="false"/>
                  <w:color w:val="3051F2"/>
                  <w:sz w:val="20"/>
                  <w:u w:val="none"/>
                  <w:effect w:val="none"/>
                </w:rPr>
                <w:t>10</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94">
              <w:r>
                <w:rPr>
                  <w:rStyle w:val="InternetLink"/>
                  <w:rFonts w:ascii="Times New Roman;serif" w:hAnsi="Times New Roman;serif"/>
                  <w:b w:val="false"/>
                  <w:strike w:val="false"/>
                  <w:dstrike w:val="false"/>
                  <w:color w:val="000000"/>
                  <w:sz w:val="20"/>
                  <w:u w:val="none"/>
                  <w:effect w:val="none"/>
                </w:rPr>
                <w:t>Item 2.</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94">
              <w:r>
                <w:rPr>
                  <w:rStyle w:val="InternetLink"/>
                  <w:rFonts w:ascii="Times New Roman;serif" w:hAnsi="Times New Roman;serif"/>
                  <w:b w:val="false"/>
                  <w:strike w:val="false"/>
                  <w:dstrike w:val="false"/>
                  <w:color w:val="3051F2"/>
                  <w:sz w:val="20"/>
                  <w:u w:val="none"/>
                  <w:effect w:val="none"/>
                </w:rPr>
                <w:t>31</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30">
              <w:r>
                <w:rPr>
                  <w:rStyle w:val="InternetLink"/>
                  <w:rFonts w:ascii="Times New Roman;serif" w:hAnsi="Times New Roman;serif"/>
                  <w:b w:val="false"/>
                  <w:strike w:val="false"/>
                  <w:dstrike w:val="false"/>
                  <w:color w:val="000000"/>
                  <w:sz w:val="20"/>
                  <w:u w:val="none"/>
                  <w:effect w:val="none"/>
                </w:rPr>
                <w:t>Item 3.</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30">
              <w:r>
                <w:rPr>
                  <w:rStyle w:val="InternetLink"/>
                  <w:rFonts w:ascii="Times New Roman;serif" w:hAnsi="Times New Roman;serif"/>
                  <w:b w:val="false"/>
                  <w:color w:val="0000FF"/>
                  <w:sz w:val="20"/>
                  <w:u w:val="single"/>
                </w:rPr>
                <w:t>Quantitative and Qualitative Disclosures about Market Risks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30">
              <w:r>
                <w:rPr>
                  <w:rStyle w:val="InternetLink"/>
                  <w:rFonts w:ascii="Times New Roman;serif" w:hAnsi="Times New Roman;serif"/>
                  <w:b w:val="false"/>
                  <w:strike w:val="false"/>
                  <w:dstrike w:val="false"/>
                  <w:color w:val="3051F2"/>
                  <w:sz w:val="20"/>
                  <w:u w:val="none"/>
                  <w:effect w:val="none"/>
                </w:rPr>
                <w:t>52</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33">
              <w:r>
                <w:rPr>
                  <w:rStyle w:val="InternetLink"/>
                  <w:rFonts w:ascii="Times New Roman;serif" w:hAnsi="Times New Roman;serif"/>
                  <w:b w:val="false"/>
                  <w:strike w:val="false"/>
                  <w:dstrike w:val="false"/>
                  <w:color w:val="000000"/>
                  <w:sz w:val="20"/>
                  <w:u w:val="none"/>
                  <w:effect w:val="none"/>
                </w:rPr>
                <w:t>Item 4.</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33">
              <w:r>
                <w:rPr>
                  <w:rStyle w:val="InternetLink"/>
                  <w:rFonts w:ascii="Times New Roman;serif" w:hAnsi="Times New Roman;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33">
              <w:r>
                <w:rPr>
                  <w:rStyle w:val="InternetLink"/>
                  <w:rFonts w:ascii="Times New Roman;serif" w:hAnsi="Times New Roman;serif"/>
                  <w:b w:val="false"/>
                  <w:strike w:val="false"/>
                  <w:dstrike w:val="false"/>
                  <w:color w:val="3051F2"/>
                  <w:sz w:val="20"/>
                  <w:u w:val="none"/>
                  <w:effect w:val="none"/>
                </w:rPr>
                <w:t>52</w:t>
              </w:r>
            </w:hyperlink>
          </w:p>
        </w:tc>
      </w:tr>
      <w:tr>
        <w:trPr/>
        <w:tc>
          <w:tcPr>
            <w:tcW w:w="109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36">
              <w:r>
                <w:rPr>
                  <w:rStyle w:val="InternetLink"/>
                  <w:rFonts w:ascii="Times New Roman;serif" w:hAnsi="Times New Roman;serif"/>
                  <w:b w:val="false"/>
                  <w:strike w:val="false"/>
                  <w:dstrike w:val="false"/>
                  <w:color w:val="000000"/>
                  <w:sz w:val="20"/>
                  <w:u w:val="none"/>
                  <w:effect w:val="none"/>
                </w:rPr>
                <w:t>PART II.</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36">
              <w:r>
                <w:rPr>
                  <w:rStyle w:val="InternetLink"/>
                  <w:rFonts w:ascii="Times New Roman;serif" w:hAnsi="Times New Roman;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36">
              <w:r>
                <w:rPr>
                  <w:rStyle w:val="InternetLink"/>
                  <w:rFonts w:ascii="Times New Roman;serif" w:hAnsi="Times New Roman;serif"/>
                  <w:b w:val="false"/>
                  <w:strike w:val="false"/>
                  <w:dstrike w:val="false"/>
                  <w:color w:val="3051F2"/>
                  <w:sz w:val="20"/>
                  <w:u w:val="none"/>
                  <w:effect w:val="none"/>
                </w:rPr>
                <w:t>53</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39">
              <w:r>
                <w:rPr>
                  <w:rStyle w:val="InternetLink"/>
                  <w:rFonts w:ascii="Times New Roman;serif" w:hAnsi="Times New Roman;serif"/>
                  <w:b w:val="false"/>
                  <w:strike w:val="false"/>
                  <w:dstrike w:val="false"/>
                  <w:color w:val="000000"/>
                  <w:sz w:val="20"/>
                  <w:u w:val="none"/>
                  <w:effect w:val="none"/>
                </w:rPr>
                <w:t>Item 1.</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39">
              <w:r>
                <w:rPr>
                  <w:rStyle w:val="InternetLink"/>
                  <w:rFonts w:ascii="Times New Roman;serif" w:hAnsi="Times New Roman;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39">
              <w:r>
                <w:rPr>
                  <w:rStyle w:val="InternetLink"/>
                  <w:rFonts w:ascii="Times New Roman;serif" w:hAnsi="Times New Roman;serif"/>
                  <w:b w:val="false"/>
                  <w:strike w:val="false"/>
                  <w:dstrike w:val="false"/>
                  <w:color w:val="3051F2"/>
                  <w:sz w:val="20"/>
                  <w:u w:val="none"/>
                  <w:effect w:val="none"/>
                </w:rPr>
                <w:t>53</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42">
              <w:r>
                <w:rPr>
                  <w:rStyle w:val="InternetLink"/>
                  <w:rFonts w:ascii="Times New Roman;serif" w:hAnsi="Times New Roman;serif"/>
                  <w:b w:val="false"/>
                  <w:strike w:val="false"/>
                  <w:dstrike w:val="false"/>
                  <w:color w:val="000000"/>
                  <w:sz w:val="20"/>
                  <w:u w:val="none"/>
                  <w:effect w:val="none"/>
                </w:rPr>
                <w:t>Item 1A.</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42">
              <w:r>
                <w:rPr>
                  <w:rStyle w:val="InternetLink"/>
                  <w:rFonts w:ascii="Times New Roman;serif" w:hAnsi="Times New Roman;serif"/>
                  <w:b w:val="false"/>
                  <w:color w:val="0000FF"/>
                  <w:sz w:val="20"/>
                  <w:u w:val="single"/>
                </w:rPr>
                <w:t>Risk Factors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42">
              <w:r>
                <w:rPr>
                  <w:rStyle w:val="InternetLink"/>
                  <w:rFonts w:ascii="Times New Roman;serif" w:hAnsi="Times New Roman;serif"/>
                  <w:b w:val="false"/>
                  <w:strike w:val="false"/>
                  <w:dstrike w:val="false"/>
                  <w:color w:val="3051F2"/>
                  <w:sz w:val="20"/>
                  <w:u w:val="none"/>
                  <w:effect w:val="none"/>
                </w:rPr>
                <w:t>53</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45">
              <w:r>
                <w:rPr>
                  <w:rStyle w:val="InternetLink"/>
                  <w:rFonts w:ascii="Times New Roman;serif" w:hAnsi="Times New Roman;serif"/>
                  <w:b w:val="false"/>
                  <w:strike w:val="false"/>
                  <w:dstrike w:val="false"/>
                  <w:color w:val="000000"/>
                  <w:sz w:val="20"/>
                  <w:u w:val="none"/>
                  <w:effect w:val="none"/>
                </w:rPr>
                <w:t>Item 2.</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45">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45">
              <w:r>
                <w:rPr>
                  <w:rStyle w:val="InternetLink"/>
                  <w:rFonts w:ascii="Times New Roman;serif" w:hAnsi="Times New Roman;serif"/>
                  <w:b w:val="false"/>
                  <w:strike w:val="false"/>
                  <w:dstrike w:val="false"/>
                  <w:color w:val="3051F2"/>
                  <w:sz w:val="20"/>
                  <w:u w:val="none"/>
                  <w:effect w:val="none"/>
                </w:rPr>
                <w:t>53</w:t>
              </w:r>
            </w:hyperlink>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48">
              <w:r>
                <w:rPr>
                  <w:rStyle w:val="InternetLink"/>
                  <w:rFonts w:ascii="Times New Roman;serif" w:hAnsi="Times New Roman;serif"/>
                  <w:b w:val="false"/>
                  <w:color w:val="0000FF"/>
                  <w:sz w:val="20"/>
                  <w:u w:val="single"/>
                </w:rPr>
                <w:t>Defaults Upon Senior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51">
              <w:r>
                <w:rPr>
                  <w:rStyle w:val="InternetLink"/>
                  <w:rFonts w:ascii="Times New Roman;serif" w:hAnsi="Times New Roman;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rP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54">
              <w:r>
                <w:rPr>
                  <w:rStyle w:val="InternetLink"/>
                  <w:rFonts w:ascii="Times New Roman;serif" w:hAnsi="Times New Roman;serif"/>
                  <w:b w:val="false"/>
                  <w:color w:val="661DE8"/>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54">
              <w:r>
                <w:rPr>
                  <w:rStyle w:val="InternetLink"/>
                  <w:rFonts w:ascii="Times New Roman;serif" w:hAnsi="Times New Roman;serif"/>
                  <w:b w:val="false"/>
                  <w:strike w:val="false"/>
                  <w:dstrike w:val="false"/>
                  <w:color w:val="3051F2"/>
                  <w:sz w:val="20"/>
                  <w:u w:val="none"/>
                  <w:effect w:val="none"/>
                </w:rPr>
                <w:t>54</w:t>
              </w:r>
            </w:hyperlink>
          </w:p>
        </w:tc>
      </w:tr>
      <w:tr>
        <w:trP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60">
              <w:r>
                <w:rPr>
                  <w:rStyle w:val="InternetLink"/>
                  <w:rFonts w:ascii="Times New Roman;serif" w:hAnsi="Times New Roman;serif"/>
                  <w:b w:val="false"/>
                  <w:strike w:val="false"/>
                  <w:dstrike w:val="false"/>
                  <w:color w:val="000000"/>
                  <w:sz w:val="20"/>
                  <w:u w:val="none"/>
                  <w:effect w:val="none"/>
                </w:rPr>
                <w:t>Item 6.</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9746fa7245204a1e99e02350bd02a662_160">
              <w:r>
                <w:rPr>
                  <w:rStyle w:val="InternetLink"/>
                  <w:rFonts w:ascii="Times New Roman;serif" w:hAnsi="Times New Roman;serif"/>
                  <w:b w:val="false"/>
                  <w:color w:val="0000FF"/>
                  <w:sz w:val="20"/>
                  <w:u w:val="single"/>
                </w:rPr>
                <w:t>Exhibits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60">
              <w:r>
                <w:rPr>
                  <w:rStyle w:val="InternetLink"/>
                  <w:rFonts w:ascii="Times New Roman;serif" w:hAnsi="Times New Roman;serif"/>
                  <w:b w:val="false"/>
                  <w:strike w:val="false"/>
                  <w:dstrike w:val="false"/>
                  <w:color w:val="3051F2"/>
                  <w:sz w:val="20"/>
                  <w:u w:val="none"/>
                  <w:effect w:val="none"/>
                </w:rPr>
                <w:t>55</w:t>
              </w:r>
            </w:hyperlink>
          </w:p>
        </w:tc>
      </w:tr>
      <w:tr>
        <w:trPr/>
        <w:tc>
          <w:tcPr>
            <w:tcW w:w="9829"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746fa7245204a1e99e02350bd02a662_163">
              <w:r>
                <w:rPr>
                  <w:rStyle w:val="InternetLink"/>
                  <w:rFonts w:ascii="Times New Roman;serif" w:hAnsi="Times New Roman;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9746fa7245204a1e99e02350bd02a662_163">
              <w:r>
                <w:rPr>
                  <w:rStyle w:val="InternetLink"/>
                  <w:rFonts w:ascii="Times New Roman;serif" w:hAnsi="Times New Roman;serif"/>
                  <w:b w:val="false"/>
                  <w:strike w:val="false"/>
                  <w:dstrike w:val="false"/>
                  <w:color w:val="3051F2"/>
                  <w:sz w:val="20"/>
                  <w:u w:val="none"/>
                  <w:effect w:val="none"/>
                </w:rPr>
                <w:t>56</w:t>
              </w:r>
            </w:hyperlink>
          </w:p>
        </w:tc>
      </w:tr>
    </w:tbl>
    <w:p>
      <w:pPr>
        <w:pStyle w:val="TextBody"/>
        <w:bidi w:val="0"/>
        <w:spacing w:lineRule="auto" w:line="288" w:before="240" w:after="283"/>
        <w:jc w:val="both"/>
        <w:rPr/>
      </w:pPr>
      <w:r>
        <w:rPr>
          <w:rFonts w:ascii="Times New Roman;serif" w:hAnsi="Times New Roman;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w:t>
      </w:r>
      <w:r>
        <w:rPr>
          <w:rFonts w:ascii="Times New Roman;serif" w:hAnsi="Times New Roman;serif"/>
          <w:b w:val="false"/>
          <w:color w:val="000000"/>
          <w:sz w:val="20"/>
        </w:rPr>
        <w:t>a, or mainland China, in 2005, and its shares currently trade under the symbol SSEC: 688082.SS on the Shanghai STAR Market. Unless the context requires otherwise, references in this report to “our company,” “our,” “us,” “we” and similar terms refer to AC</w:t>
      </w:r>
      <w:r>
        <w:rPr>
          <w:rFonts w:ascii="Times New Roman;serif" w:hAnsi="Times New Roman;serif"/>
          <w:b w:val="false"/>
          <w:color w:val="000000"/>
          <w:sz w:val="20"/>
          <w:shd w:fill="FFFFFF" w:val="clear"/>
        </w:rPr>
        <w:t>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erif" w:hAnsi="Times New Roman;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w:t>
      </w:r>
      <w:r>
        <w:rPr>
          <w:color w:val="000000"/>
        </w:rPr>
        <w:t xml:space="preserve"> </w:t>
      </w:r>
      <w:r>
        <w:rPr>
          <w:rFonts w:ascii="Times New Roman;serif" w:hAnsi="Times New Roman;serif"/>
          <w:b w:val="false"/>
          <w:color w:val="000000"/>
          <w:sz w:val="20"/>
          <w:shd w:fill="FFFFFF" w:val="clear"/>
        </w:rPr>
        <w:t>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erif" w:hAnsi="Times New Roman;serif"/>
          <w:b w:val="false"/>
          <w:color w:val="000000"/>
          <w:sz w:val="20"/>
        </w:rPr>
        <w:t>ed December 31, 2024</w:t>
      </w:r>
      <w:r>
        <w:rPr>
          <w:rFonts w:ascii="Times New Roman;serif" w:hAnsi="Times New Roman;serif"/>
          <w:b w:val="false"/>
          <w:color w:val="000000"/>
          <w:sz w:val="20"/>
          <w:shd w:fill="FFFFFF" w:val="clear"/>
        </w:rPr>
        <w:t>, and the Risk Factors included t</w:t>
      </w:r>
      <w:r>
        <w:rPr>
          <w:rFonts w:ascii="Times New Roman;serif" w:hAnsi="Times New Roman;serif"/>
          <w:b w:val="false"/>
          <w:color w:val="000000"/>
          <w:sz w:val="20"/>
        </w:rPr>
        <w:t xml:space="preserve">herein, as referenced or updated by the disclosure included in “Part II. Item 1A—Risk Factors” in this report.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 AND STATISTICAL DATA</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II of this report, that may cause our actual results, performance or achievements to be materially different from any future results, performance or achievements expressed or implied by these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included under the heading “Item 2. Management’s Discussion and Analysis of Financial Condition and Results of Operations – Overview,” of Part I of this report contains statistical data and estimates, including forecasts, that are based on information provided by Gartner, Inc. ("Gartner") in "Forecast: Semiconductor Capital Spending, Wafer Fab Equipment and Capacity, Worldwide, 2Q25 Update, Bob Johnson et al., July 8, 2025." GARTNER is a registered trademark and service mark of Gartner, Inc. and/or its affiliates in the U.S. and internationally and is used herein with permission. All rights reserved. The Gartner content described herein (the “Gartner Content”) represents research opinion or viewpoints published, as part of a syndicated subscription service, by Gartner, Inc. ("Gartner"), and is not a representation of fact. Gartner Content speaks as of its original publication date (and not as of the date of this report), and the opinions expressed in the Gartner Content are subject to change without notice. While we are not aware of any misstatements in the Gartner Content,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pPr>
      <w:r>
        <w:rPr>
          <w:rFonts w:ascii="Times New Roman;serif" w:hAnsi="Times New Roman;serif"/>
          <w:b w:val="false"/>
          <w:i/>
          <w:color w:val="000000"/>
          <w:sz w:val="20"/>
          <w:shd w:fill="FFFFFF" w:val="clear"/>
        </w:rPr>
        <w:t>(In thousa</w:t>
      </w:r>
      <w:r>
        <w:rPr>
          <w:rFonts w:ascii="Times New Roman;serif" w:hAnsi="Times New Roman;serif"/>
          <w:b w:val="false"/>
          <w:i/>
          <w:color w:val="000000"/>
          <w:sz w:val="20"/>
        </w:rPr>
        <w:t>nds, except per share data</w:t>
      </w:r>
      <w:r>
        <w:rPr>
          <w:rFonts w:ascii="Times New Roman;serif" w:hAnsi="Times New Roman;serif"/>
          <w:b w:val="false"/>
          <w:i/>
          <w:color w:val="000000"/>
          <w:sz w:val="20"/>
          <w:shd w:fill="FFFFFF" w:val="clear"/>
        </w:rPr>
        <w:t>)</w:t>
      </w:r>
    </w:p>
    <w:p>
      <w:pPr>
        <w:pStyle w:val="TextBody"/>
        <w:bidi w:val="0"/>
        <w:spacing w:before="0" w:after="0"/>
        <w:jc w:val="center"/>
        <w:rPr/>
      </w:pPr>
      <w:r>
        <w:rPr/>
      </w:r>
    </w:p>
    <w:tbl>
      <w:tblPr>
        <w:tblW w:w="7193" w:type="dxa"/>
        <w:jc w:val="left"/>
        <w:tblInd w:w="0" w:type="dxa"/>
        <w:tblLayout w:type="fixed"/>
        <w:tblCellMar>
          <w:top w:w="28" w:type="dxa"/>
          <w:left w:w="28" w:type="dxa"/>
          <w:bottom w:w="28" w:type="dxa"/>
          <w:right w:w="28" w:type="dxa"/>
        </w:tblCellMar>
      </w:tblPr>
      <w:tblGrid>
        <w:gridCol w:w="1524"/>
        <w:gridCol w:w="1345"/>
        <w:gridCol w:w="1360"/>
        <w:gridCol w:w="211"/>
        <w:gridCol w:w="976"/>
        <w:gridCol w:w="109"/>
        <w:gridCol w:w="109"/>
        <w:gridCol w:w="109"/>
        <w:gridCol w:w="109"/>
        <w:gridCol w:w="211"/>
        <w:gridCol w:w="97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(note 2)</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time deposits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(note 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(note 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 (note 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to related parties (note 13)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2,358,162 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1,483,379 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(note 6)</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time deposits (note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 (note 11)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(note 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(note 8)</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borrowings (note 10)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 accounts payable (note 13)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(note 16)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FIN-48 payable (note 16)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payables and accrued expenses (note 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(note 10)</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 (note 17)</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Stockholders’ equity: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(note 14)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 (note 14)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677,476 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surplus reserve (note 19)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ACM Research, Inc.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1,432,680 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1,885,214 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2,770,643 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3133"/>
        <w:gridCol w:w="623"/>
        <w:gridCol w:w="625"/>
        <w:gridCol w:w="251"/>
        <w:gridCol w:w="838"/>
        <w:gridCol w:w="110"/>
        <w:gridCol w:w="110"/>
        <w:gridCol w:w="110"/>
        <w:gridCol w:w="110"/>
        <w:gridCol w:w="251"/>
        <w:gridCol w:w="838"/>
        <w:gridCol w:w="110"/>
        <w:gridCol w:w="109"/>
        <w:gridCol w:w="109"/>
        <w:gridCol w:w="109"/>
        <w:gridCol w:w="239"/>
        <w:gridCol w:w="848"/>
        <w:gridCol w:w="109"/>
        <w:gridCol w:w="109"/>
        <w:gridCol w:w="109"/>
        <w:gridCol w:w="109"/>
        <w:gridCol w:w="239"/>
        <w:gridCol w:w="847"/>
        <w:gridCol w:w="160"/>
      </w:tblGrid>
      <w:tr>
        <w:trPr/>
        <w:tc>
          <w:tcPr>
            <w:tcW w:w="313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(note 3)</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203,976 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558,647 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 including cost of revenue from related parties of $19,293 and $45,209 for the three and nine months ended Sept</w:t>
            </w:r>
            <w:r>
              <w:rPr>
                <w:rFonts w:ascii="Times New Roman;serif" w:hAnsi="Times New Roman;serif"/>
                <w:b w:val="false"/>
                <w:color w:val="000000"/>
                <w:sz w:val="20"/>
                <w:shd w:fill="FFFFFF" w:val="clear"/>
              </w:rPr>
              <w:t>ember 30, 2025, respectively, an</w:t>
            </w:r>
            <w:r>
              <w:rPr>
                <w:rFonts w:ascii="Times New Roman;serif" w:hAnsi="Times New Roman;serif"/>
                <w:b w:val="false"/>
                <w:color w:val="000000"/>
                <w:sz w:val="20"/>
              </w:rPr>
              <w:t>d $11,607 and $28,474 for the three and nine months ended September 30, 2024, respectively (note 13)</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277,908 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77,723 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84,226 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173,730 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107,009 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 (note 12)</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 (note 12)</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42,679 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109,875 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(note 16)</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92,163 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 of nil</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available-for-sale investments, net of tax</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102,539 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income attributable to ACM Research, Inc.</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45,671</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44,919</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100,402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81,081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Net income attributable to ACM Research, Inc. per share of common stock (note 2):</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Diluted</w:t>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0.52 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0.45 </w:t>
            </w:r>
          </w:p>
        </w:tc>
        <w:tc>
          <w:tcPr>
            <w:tcW w:w="11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4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1.07 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in computing per share amounts (note 2):</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64,381,296 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62,500,903 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62,017,257 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68,414,313 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66,671,526 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67,551,302 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66,512,143</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pPr>
      <w:r>
        <w:rPr>
          <w:rFonts w:ascii="Times New Roman;serif" w:hAnsi="Times New Roman;serif"/>
          <w:b w:val="false"/>
          <w:i/>
          <w:color w:val="000000"/>
          <w:sz w:val="20"/>
        </w:rPr>
        <w:t>The accompanying notes are an integral</w:t>
      </w:r>
      <w:r>
        <w:rPr>
          <w:color w:val="000000"/>
          <w:shd w:fill="FFFFFF" w:val="clear"/>
        </w:rPr>
        <w:t xml:space="preserve"> </w:t>
      </w:r>
      <w:r>
        <w:rPr>
          <w:rFonts w:ascii="Times New Roman;serif" w:hAnsi="Times New Roman;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Months Ended September 30, 2025 and 2024</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p>
      <w:pPr>
        <w:pStyle w:val="TextBody"/>
        <w:bidi w:val="0"/>
        <w:spacing w:before="0" w:after="0"/>
        <w:jc w:val="center"/>
        <w:rPr/>
      </w:pPr>
      <w:r>
        <w:rPr/>
      </w:r>
    </w:p>
    <w:tbl>
      <w:tblPr>
        <w:tblW w:w="14400" w:type="dxa"/>
        <w:jc w:val="center"/>
        <w:tblInd w:w="0" w:type="dxa"/>
        <w:tblLayout w:type="fixed"/>
        <w:tblCellMar>
          <w:top w:w="28" w:type="dxa"/>
          <w:left w:w="28" w:type="dxa"/>
          <w:bottom w:w="28" w:type="dxa"/>
          <w:right w:w="28" w:type="dxa"/>
        </w:tblCellMar>
      </w:tblPr>
      <w:tblGrid>
        <w:gridCol w:w="876"/>
        <w:gridCol w:w="229"/>
        <w:gridCol w:w="231"/>
        <w:gridCol w:w="368"/>
        <w:gridCol w:w="368"/>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59,096,971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704,570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310,140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(58,781)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205,239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1,191,689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shares by ACM Shanghai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translation adjustment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Exercise of stock options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757,669 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investments,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104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59,854,640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1,105,129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346,029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(48,999)</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452,534</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1,885,214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4224" w:type="dxa"/>
        <w:jc w:val="left"/>
        <w:tblInd w:w="0" w:type="dxa"/>
        <w:tblLayout w:type="fixed"/>
        <w:tblCellMar>
          <w:top w:w="28" w:type="dxa"/>
          <w:left w:w="28" w:type="dxa"/>
          <w:bottom w:w="28" w:type="dxa"/>
          <w:right w:w="28" w:type="dxa"/>
        </w:tblCellMar>
      </w:tblPr>
      <w:tblGrid>
        <w:gridCol w:w="636"/>
        <w:gridCol w:w="229"/>
        <w:gridCol w:w="231"/>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09"/>
        <w:gridCol w:w="109"/>
        <w:gridCol w:w="109"/>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Non-controlling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Interests</w:t>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57,402,253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659,462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198,470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(54,830)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168,219</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1,001,388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translation adjustment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14,015 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57,524,519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669,540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229,374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30,060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(40,815)</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180,917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1,069,083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Nine Months Ended September 30, 2025 and 2024</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p>
      <w:pPr>
        <w:pStyle w:val="TextBody"/>
        <w:bidi w:val="0"/>
        <w:spacing w:before="0" w:after="0"/>
        <w:jc w:val="center"/>
        <w:rPr/>
      </w:pPr>
      <w:r>
        <w:rPr/>
      </w:r>
    </w:p>
    <w:tbl>
      <w:tblPr>
        <w:tblW w:w="14535" w:type="dxa"/>
        <w:jc w:val="center"/>
        <w:tblInd w:w="0" w:type="dxa"/>
        <w:tblLayout w:type="fixed"/>
        <w:tblCellMar>
          <w:top w:w="28" w:type="dxa"/>
          <w:left w:w="28" w:type="dxa"/>
          <w:bottom w:w="28" w:type="dxa"/>
          <w:right w:w="28" w:type="dxa"/>
        </w:tblCellMar>
      </w:tblPr>
      <w:tblGrid>
        <w:gridCol w:w="771"/>
        <w:gridCol w:w="282"/>
        <w:gridCol w:w="283"/>
        <w:gridCol w:w="435"/>
        <w:gridCol w:w="436"/>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57,938,885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677,476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(63,372)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191,281</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1,095,906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held by ACM Shanghai</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shares by ACM Shanghai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622,964 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translation adjustment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Exercise of stock options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1,915,755 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27,893 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contribution by non-controlling shareholder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ACM Shanghai dividend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investments, net of tax</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11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59,854,640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1,105,129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346,029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(48,999)</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452,534</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1,885,214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tbl>
      <w:tblPr>
        <w:tblW w:w="13897" w:type="dxa"/>
        <w:jc w:val="left"/>
        <w:tblInd w:w="0" w:type="dxa"/>
        <w:tblLayout w:type="fixed"/>
        <w:tblCellMar>
          <w:top w:w="28" w:type="dxa"/>
          <w:left w:w="28" w:type="dxa"/>
          <w:bottom w:w="28" w:type="dxa"/>
          <w:right w:w="28" w:type="dxa"/>
        </w:tblCellMar>
      </w:tblPr>
      <w:tblGrid>
        <w:gridCol w:w="531"/>
        <w:gridCol w:w="282"/>
        <w:gridCol w:w="283"/>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Accumulated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Other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Comprehensive</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Non-controlling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56,036,172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629,845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156,827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(49,349)</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158,772</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926,162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92,163 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currency translation adjustment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1,488,347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ACM Shanghai dividend</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2024</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57,524,519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669,540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229,374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30,060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(40,815)</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180,917</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1,069,083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pPr>
      <w:r>
        <w:rPr>
          <w:rFonts w:ascii="Times New Roman;serif" w:hAnsi="Times New Roman;serif"/>
          <w:b/>
          <w:color w:val="000000"/>
          <w:sz w:val="20"/>
          <w:shd w:fill="FFFFFF" w:val="clear"/>
        </w:rPr>
        <w:t>Condensed Consolid</w:t>
      </w:r>
      <w:r>
        <w:rPr>
          <w:rFonts w:ascii="Times New Roman;serif" w:hAnsi="Times New Roman;serif"/>
          <w:b/>
          <w:color w:val="000000"/>
          <w:sz w:val="20"/>
        </w:rPr>
        <w:t>ated Statements of Cash Flow</w:t>
      </w:r>
      <w:r>
        <w:rPr>
          <w:rFonts w:ascii="Times New Roman;serif" w:hAnsi="Times New Roman;serif"/>
          <w:b/>
          <w:color w:val="000000"/>
          <w:sz w:val="20"/>
          <w:shd w:fill="FFFFFF" w:val="clear"/>
        </w:rPr>
        <w: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412"/>
        <w:gridCol w:w="2056"/>
        <w:gridCol w:w="2070"/>
        <w:gridCol w:w="223"/>
        <w:gridCol w:w="1051"/>
        <w:gridCol w:w="114"/>
        <w:gridCol w:w="114"/>
        <w:gridCol w:w="114"/>
        <w:gridCol w:w="114"/>
        <w:gridCol w:w="223"/>
        <w:gridCol w:w="892"/>
        <w:gridCol w:w="114"/>
        <w:gridCol w:w="109"/>
        <w:gridCol w:w="109"/>
        <w:gridCol w:w="109"/>
        <w:gridCol w:w="109"/>
        <w:gridCol w:w="109"/>
        <w:gridCol w:w="163"/>
      </w:tblGrid>
      <w:tr>
        <w:trPr/>
        <w:tc>
          <w:tcPr>
            <w:tcW w:w="2412"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provided by operating activities</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provision</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from unconsolidated affiliates </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receivables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(16,529)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Inventories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(82,201)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to related parties (note 13)</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assets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Related parties accounts payable (note 13)</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payable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taxes payable</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FIN-48 payable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payables and accrued expenses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liabilities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provided by operating activities</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short-term investments (note 12) </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time deposits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redemption and maturity of time deposits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Refund of deposit for land use right </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disposal of long-term investments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long-term investments (note 11)</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provided by investing activities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borrowings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short-term borrowings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borrowings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 contribution by non-controlling shareholder </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ACM Shanghai's shares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Shanghai dividend</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issuance of shares by ACM Shanghai</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622,964 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183,173 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1,067,339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335,254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333,472 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1,067,339</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335,254</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capitalized interest</w:t>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financing activities:</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stock options</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Transfer of prepayment for property to property, plant, and equipment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other non-current assets to long term investment</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Transfer from inventories to property, plant and equipment</w:t>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shd w:fill="FFFFFF" w:val="clear"/>
              </w:rPr>
            </w:pPr>
            <w:r>
              <w:rPr>
                <w:color w:val="000000"/>
                <w:shd w:fill="FFFFFF" w:val="clear"/>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5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through other payables and accrued expenses</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00"/>
        <w:jc w:val="both"/>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September 2025, ACM Shan</w:t>
      </w:r>
      <w:r>
        <w:rPr>
          <w:rFonts w:ascii="Times New Roman;serif" w:hAnsi="Times New Roman;serif"/>
          <w:b w:val="false"/>
          <w:color w:val="242424"/>
          <w:sz w:val="20"/>
        </w:rPr>
        <w:t>ghai issued 38.6 million of its ordinary shares i</w:t>
      </w:r>
      <w:r>
        <w:rPr>
          <w:rFonts w:ascii="Times New Roman;serif" w:hAnsi="Times New Roman;serif"/>
          <w:b w:val="false"/>
          <w:color w:val="000000"/>
          <w:sz w:val="20"/>
        </w:rPr>
        <w:t xml:space="preserve">n a private offering (the "Private Offering"). As a result of the Private Offering, ACM Research's equity interests in ACM Shanghai declined from 81.1% as of June 30, 2025, to 74.6% as of September 30, 2025.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direct or indirect interests in the following subsidiaries:</w:t>
      </w:r>
    </w:p>
    <w:tbl>
      <w:tblPr>
        <w:tblW w:w="10205" w:type="dxa"/>
        <w:jc w:val="left"/>
        <w:tblInd w:w="0" w:type="dxa"/>
        <w:tblLayout w:type="fixed"/>
        <w:tblCellMar>
          <w:top w:w="28" w:type="dxa"/>
          <w:left w:w="28" w:type="dxa"/>
          <w:bottom w:w="28" w:type="dxa"/>
          <w:right w:w="28" w:type="dxa"/>
        </w:tblCellMar>
      </w:tblPr>
      <w:tblGrid>
        <w:gridCol w:w="1134"/>
        <w:gridCol w:w="787"/>
        <w:gridCol w:w="792"/>
        <w:gridCol w:w="797"/>
        <w:gridCol w:w="797"/>
        <w:gridCol w:w="798"/>
        <w:gridCol w:w="1073"/>
        <w:gridCol w:w="808"/>
        <w:gridCol w:w="811"/>
        <w:gridCol w:w="308"/>
        <w:gridCol w:w="308"/>
        <w:gridCol w:w="577"/>
        <w:gridCol w:w="308"/>
        <w:gridCol w:w="308"/>
        <w:gridCol w:w="599"/>
      </w:tblGrid>
      <w:tr>
        <w:trPr/>
        <w:tc>
          <w:tcPr>
            <w:tcW w:w="113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Effective interest held as at</w:t>
            </w:r>
          </w:p>
        </w:tc>
      </w:tr>
      <w:tr>
        <w:trPr/>
        <w:tc>
          <w:tcPr>
            <w:tcW w:w="27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subsidiaries</w:t>
            </w:r>
          </w:p>
        </w:tc>
        <w:tc>
          <w:tcPr>
            <w:tcW w:w="239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 and date of incorporation</w:t>
            </w:r>
          </w:p>
        </w:tc>
        <w:tc>
          <w:tcPr>
            <w:tcW w:w="269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Principal Activities </w:t>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(Shanghai), Inc. ("ACM Shanghai")</w:t>
            </w:r>
          </w:p>
        </w:tc>
        <w:tc>
          <w:tcPr>
            <w:tcW w:w="2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May 2005</w:t>
            </w:r>
          </w:p>
        </w:tc>
        <w:tc>
          <w:tcPr>
            <w:tcW w:w="26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Principal operating subsidiary </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(Wuxi), Inc. ("ACM Wuxi")</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July 2011</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CleanChip Technologies Limited ("CleanChip")</w:t>
            </w:r>
          </w:p>
        </w:tc>
        <w:tc>
          <w:tcPr>
            <w:tcW w:w="2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 June 2017</w:t>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Trading partner between ACM Shanghai and its customers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Korea CO., LTD. ("ACM Korea")</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Republic of Korea ("South Korea"), December 2017</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R&amp;D,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ACM Research (Lingang), Inc. ("ACM Lingang") (1) </w:t>
            </w:r>
          </w:p>
        </w:tc>
        <w:tc>
          <w:tcPr>
            <w:tcW w:w="2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March 2019</w:t>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Management of production activities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(CA), Inc. ("ACM California")</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USA, April 2019</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Procurement for ACM Shanghai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(Cayman), Inc.</w:t>
            </w:r>
          </w:p>
        </w:tc>
        <w:tc>
          <w:tcPr>
            <w:tcW w:w="2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 April 2019</w:t>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Administrative function (inactive)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(Singapore) PTE. Ltd. ("ACM Singapore")</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 August 2021</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(Beijing), Inc. ("ACM Beijing")</w:t>
            </w:r>
          </w:p>
        </w:tc>
        <w:tc>
          <w:tcPr>
            <w:tcW w:w="2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February 2022</w:t>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Hanguk ACM CO., LTD</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 March 2022</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services,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ACM-Wooil Microelectronics (Shanghai) Co., Ltd.</w:t>
            </w:r>
          </w:p>
        </w:tc>
        <w:tc>
          <w:tcPr>
            <w:tcW w:w="2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June 2023</w:t>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 development and production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(Chengdu), Inc. ("ACM Chengdu")</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December 2024</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services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Micro Semiconductor (Shanghai) Co., Ltd.</w:t>
            </w:r>
          </w:p>
        </w:tc>
        <w:tc>
          <w:tcPr>
            <w:tcW w:w="2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December 2024</w:t>
            </w:r>
          </w:p>
        </w:tc>
        <w:tc>
          <w:tcPr>
            <w:tcW w:w="26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Yusheng Micro Semiconductor (Shanghai) Co., Ltd.</w:t>
            </w:r>
          </w:p>
        </w:tc>
        <w:tc>
          <w:tcPr>
            <w:tcW w:w="23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June 2023</w:t>
            </w:r>
          </w:p>
        </w:tc>
        <w:tc>
          <w:tcPr>
            <w:tcW w:w="26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2024 included in ACM’s Annual Report on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September 30, 2025 and the results of operations for the three and nine months ended September 30, 2025 are not necessarily indicative of the results to be expected for any future period.</w:t>
      </w:r>
    </w:p>
    <w:p>
      <w:pPr>
        <w:pStyle w:val="TextBody"/>
        <w:bidi w:val="0"/>
        <w:spacing w:lineRule="auto" w:line="288" w:before="2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the valuation and recognition of fair value of certain long-term investments, stock-based compensation arrangements, realization of deferred tax assets, uncertain tax positions, assessment for impairment of long-lived assets and long-term investments, allowance for credit losses, inventory valuation, and useful lives of property, plant and equipment.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and cash equivalents, according to jurisdiction as of September 30, 2025 and December 31, 2024:</w:t>
      </w:r>
    </w:p>
    <w:tbl>
      <w:tblPr>
        <w:tblW w:w="4585" w:type="dxa"/>
        <w:jc w:val="left"/>
        <w:tblInd w:w="0" w:type="dxa"/>
        <w:tblLayout w:type="fixed"/>
        <w:tblCellMar>
          <w:top w:w="28" w:type="dxa"/>
          <w:left w:w="28" w:type="dxa"/>
          <w:bottom w:w="28" w:type="dxa"/>
          <w:right w:w="28" w:type="dxa"/>
        </w:tblCellMar>
      </w:tblPr>
      <w:tblGrid>
        <w:gridCol w:w="599"/>
        <w:gridCol w:w="524"/>
        <w:gridCol w:w="527"/>
        <w:gridCol w:w="212"/>
        <w:gridCol w:w="983"/>
        <w:gridCol w:w="109"/>
        <w:gridCol w:w="109"/>
        <w:gridCol w:w="109"/>
        <w:gridCol w:w="109"/>
        <w:gridCol w:w="231"/>
        <w:gridCol w:w="905"/>
        <w:gridCol w:w="168"/>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56,308 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China Hong Kong </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255,853 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407,445 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amounts in mainland China do not include short-term and long-term time deposits which in aggregate totaled $30,922 and $30,552 at September 30, 2025 and December 31, 2024,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the Company's other subsidiaries. However, cash held in mainland China does exceed applicable insurance limits and is subject to risk of loss, although no such losses have been experienced to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ACM California periodically procures goods and services on behalf of ACM Shanghai and ACM Lingang. For these transactions, ACM Shanghai and ACM Lingang make cash payments to ACM California in accordance with applicable transfer pricing arrangements. For the three months ended September 30, 2025 and 2024, cash payments from ACM Shanghai and ACM Lingang to ACM California for the procurement of goods and services were $7,500 and $2,335, respectively. For the nine months ended September 30, 2025 and 2024, cash payments from ACM Shanghai and ACM Lingang to ACM California for the procurement of goods and services were $13,683 and $16,734, respectively. ACM California periodically borrows funds for working capital advances from its direct parent, CleanChip. ACM California repays or renews these intercompany loans in accordance with their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sales through CleanChip and ACM Research, a certain amount of sales or advanced payments from customers is repatriated back to ACM Shanghai in accordance with applicable transfer pricing arrangements in the ordinary course of business. ACM Research provides services to certain customers located in the U.S., Europe and other regions outside of mainland China to support the evaluation of first tools and provide support for tools under warranty on behalf of ACM Shanghai. For these transactions, ACM Shanghai makes cash payments to ACM Research in accordance with applicable transfer pricing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Amounts held in Hong Kong exceed the Hong Kong Deposit Insurance Corporation insurance limits and are subject to risk of loss. No losses have been experienced to date. There are no additional restrictions for the transfer of cash from bank accounts in the U.S., South Korea, Singapore and Hong Kong.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and 2024 , ACM Shanghai paid $29,238, and $28,480, in dividends, net of taxes, to ACM Research, respectively. ACM Shanghai paid a cash dividend of $7,578 and $6,900 to the non-controlling interest shareholders in the nine months ended September 30, 2025 and 2024, respectively. </w:t>
      </w:r>
    </w:p>
    <w:p>
      <w:pPr>
        <w:pStyle w:val="TextBody"/>
        <w:bidi w:val="0"/>
        <w:spacing w:lineRule="auto" w:line="288" w:before="240" w:after="283"/>
        <w:jc w:val="both"/>
        <w:rPr/>
      </w:pPr>
      <w:r>
        <w:rPr>
          <w:rFonts w:ascii="Times New Roman;serif" w:hAnsi="Times New Roman;serif"/>
          <w:b w:val="false"/>
          <w:color w:val="000000"/>
          <w:sz w:val="20"/>
        </w:rPr>
        <w:t>For the nine months ended September 30, 2025 and 2024, with the exception of sales and services-related transfer-pricing payments in the ordinary course of business, and dividends paid by ACM Shanghai to the stockholders of ACM Shanghai (including ACM Research)</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no transfers, or distributions have been made between ACM Research and its subsidiaries, including ACM Shanghai, or to holders of ACM Research Class A common stock. </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Time Deposits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Time deposits are deposited with banks in mainland China with fixed terms and interest rates which could be withdrawn before maturity and are presented as short-term deposits and long-term deposits in the accompanying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consolidated financial statements based on their expected dates of maturity. They are also subject to the risk control regulatory standards described above upon maturity.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interest income related to time deposits was $270 and $486, respectively. For the nine months ended September 30, 2025 and 2024, interest income related to time deposits was $749 and $1,732,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all of the Company's restricted cash was held by financial institutions located in mainland China, Hong Kong and South Korea, and mainly represents cash secured to guarantee delivery of tools.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Fair Value Measurement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fair value hierarchy has been established that prioritizes the inputs to valuation techniques used to measure fair value. The level of an asset or liability in the hierarchy is based on the lowest level of input that is significant to the fair value measurement. Assets and liabilities carried at fair value are classified and disclosed in one of the following three categories: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1: Valuations based on quoted prices in active markets for identical assets or liabilities with sufficient volume and frequency of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2: Valuations based on observable inputs other than Level 1 prices such as quoted prices for similar assets or liabilities, quoted prices in markets that are not active for identical assets or liabilities, or model-derived valuations techniques for which all significant inputs are observable in the market or can be corroborated by observable market data for substantially the full term of the assets or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3: Valuations based on unobservable inputs to the valuation methodology that are significant to the measurement of fair value of assets or liabilities and based on non-binding, broker-provided price quotes and may not have been corroborated by observable market data.</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The Company’s financial instruments primarily include its cash, cash equivalents, restricted cash, short term and long term deposits, short-term and long-term investments, other receivables, accounts receivable, accounts payable, and short-term and long-term borrowings. The estimated fair value of cash and cash equivalents, restricted cash, short-term time deposits, accounts receivable, other receivables, accounts payable, and short-term borrowings approximate their respective carrying value due to the short period of time to their maturities. The carrying amounts of long-term time deposits approximate their fair values as the related interest rates currently offered by financial institutions for similar debt instruments of comparable maturities.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measurement in its entirety, requires judgment and considers factors specific to the investment. The inputs or methodology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used for valuing financial instruments are not necessarily an indication of the risks associated with investment in those instruments.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on a recurring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931"/>
        <w:gridCol w:w="803"/>
        <w:gridCol w:w="546"/>
        <w:gridCol w:w="486"/>
        <w:gridCol w:w="1906"/>
        <w:gridCol w:w="251"/>
        <w:gridCol w:w="591"/>
        <w:gridCol w:w="1137"/>
        <w:gridCol w:w="307"/>
        <w:gridCol w:w="461"/>
        <w:gridCol w:w="1348"/>
        <w:gridCol w:w="241"/>
        <w:gridCol w:w="211"/>
        <w:gridCol w:w="826"/>
        <w:gridCol w:w="160"/>
      </w:tblGrid>
      <w:tr>
        <w:trPr/>
        <w:tc>
          <w:tcPr>
            <w:tcW w:w="93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Liabilities (Level 1)</w:t>
            </w:r>
          </w:p>
        </w:tc>
        <w:tc>
          <w:tcPr>
            <w:tcW w:w="2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2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September 30, 2025:</w:t>
            </w:r>
          </w:p>
        </w:tc>
        <w:tc>
          <w:tcPr>
            <w:tcW w:w="26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w:t>
            </w:r>
          </w:p>
        </w:tc>
        <w:tc>
          <w:tcPr>
            <w:tcW w:w="4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99,660 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2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2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139,636 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147,470 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2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w:t>
            </w:r>
          </w:p>
        </w:tc>
        <w:tc>
          <w:tcPr>
            <w:tcW w:w="4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23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23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70,340 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75,706 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did not have any assets and liabilities measured at fair value on a non-recurring basis as of </w:t>
      </w:r>
      <w:r>
        <w:rPr>
          <w:rFonts w:ascii="Times New Roman;serif" w:hAnsi="Times New Roman;serif"/>
          <w:b w:val="false"/>
          <w:color w:val="000000"/>
          <w:sz w:val="20"/>
        </w:rPr>
        <w:t>September 30, 2025. T</w:t>
      </w:r>
      <w:r>
        <w:rPr>
          <w:rFonts w:ascii="Times New Roman;serif" w:hAnsi="Times New Roman;serif"/>
          <w:b w:val="false"/>
          <w:color w:val="000000"/>
          <w:sz w:val="20"/>
          <w:shd w:fill="FFFFFF" w:val="clear"/>
        </w:rPr>
        <w:t xml:space="preserve">he Company did not recognize any unrealized gains (upward adjustments) or unrealized losses (downward adjustments) resulting from observable price changes in orderly transactions for an identical or similar investment of the same issuer for its long-term investments accounted for using measurement alternatives during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30, 2025 and 2024</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Refer to note 10 for fair value information related to the Company’s outstanding long-term borrowings as of </w:t>
      </w:r>
      <w:r>
        <w:rPr>
          <w:rFonts w:ascii="Times New Roman;serif" w:hAnsi="Times New Roman;serif"/>
          <w:b w:val="false"/>
          <w:color w:val="000000"/>
          <w:sz w:val="20"/>
        </w:rPr>
        <w:t>September 30, 2025 and December 31, 2024</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1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Net Income per Share of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of common stock are calculated as follows:</w:t>
      </w:r>
    </w:p>
    <w:tbl>
      <w:tblPr>
        <w:tblW w:w="10250" w:type="dxa"/>
        <w:jc w:val="left"/>
        <w:tblInd w:w="0" w:type="dxa"/>
        <w:tblLayout w:type="fixed"/>
        <w:tblCellMar>
          <w:top w:w="28" w:type="dxa"/>
          <w:left w:w="28" w:type="dxa"/>
          <w:bottom w:w="28" w:type="dxa"/>
          <w:right w:w="28" w:type="dxa"/>
        </w:tblCellMar>
      </w:tblPr>
      <w:tblGrid>
        <w:gridCol w:w="2300"/>
        <w:gridCol w:w="1475"/>
        <w:gridCol w:w="471"/>
        <w:gridCol w:w="273"/>
        <w:gridCol w:w="808"/>
        <w:gridCol w:w="109"/>
        <w:gridCol w:w="109"/>
        <w:gridCol w:w="109"/>
        <w:gridCol w:w="109"/>
        <w:gridCol w:w="273"/>
        <w:gridCol w:w="808"/>
        <w:gridCol w:w="109"/>
        <w:gridCol w:w="251"/>
        <w:gridCol w:w="830"/>
        <w:gridCol w:w="109"/>
        <w:gridCol w:w="109"/>
        <w:gridCol w:w="109"/>
        <w:gridCol w:w="109"/>
        <w:gridCol w:w="251"/>
        <w:gridCol w:w="830"/>
        <w:gridCol w:w="109"/>
        <w:gridCol w:w="109"/>
        <w:gridCol w:w="109"/>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7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Dilutive effect arising from stock-based awards by ACM Shanghai</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diluted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62,017,257 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Effect of potentially dilutive share-based awards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4,170,623 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Weighted average shares outstanding,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68,414,313 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66,671,526 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67,551,302 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66,512,143 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of common stock is presented using the two-class method, which allocates undistributed earnings to common stock and any participating securities according to dividend rights and participation rights on a proportionate basis. Under the two-class method, basic net income per share of common stock is computed by dividing the sum of distributed and undistributed earnings attributable to common stockholders by the weighted average number of shares of common stock outstanding during the period. ACM Research did not have any participating securities outstanding during the three and nine months ended September 30,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Research is authorized to issue Class A and Class B common stock. The two classes of common stock are substantially identical in all material respects, except for voting rights.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of common stock reflects the potential dilution from securities, such as stock options that could share in ACM Research’s earnings. Certain potentially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stock options exercisable into shares of the Company’s common stock of 655,861 and 1,218,503 for the three and nine months ended September 30, 2025, respectively and 1,397,590 and 887,985 for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 of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 and cash equivalents, time deposits, and accounts receivable. The Company deposits and invests its cash and cash equivalents and time deposits with financial institutions that management believes are creditworthy.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potentially subject to concentrations of credit risks in its revenue and accounts receivable. </w:t>
      </w:r>
    </w:p>
    <w:p>
      <w:pPr>
        <w:pStyle w:val="TextBody"/>
        <w:bidi w:val="0"/>
        <w:spacing w:lineRule="auto" w:line="288" w:before="240" w:after="283"/>
        <w:jc w:val="both"/>
        <w:rPr/>
      </w:pPr>
      <w:r>
        <w:rPr>
          <w:color w:val="000000"/>
        </w:rPr>
        <w:t>•</w:t>
      </w:r>
      <w:r>
        <w:rPr>
          <w:rFonts w:ascii="Times New Roman;serif" w:hAnsi="Times New Roman;serif"/>
          <w:b w:val="false"/>
          <w:color w:val="000000"/>
          <w:sz w:val="20"/>
          <w:u w:val="single"/>
        </w:rPr>
        <w:t>Revenue concentration.</w:t>
      </w:r>
      <w:r>
        <w:rPr>
          <w:color w:val="000000"/>
        </w:rPr>
        <w:t xml:space="preserve"> </w:t>
      </w:r>
      <w:r>
        <w:rPr>
          <w:rFonts w:ascii="Times New Roman;serif" w:hAnsi="Times New Roman;serif"/>
          <w:b w:val="false"/>
          <w:color w:val="000000"/>
          <w:sz w:val="20"/>
        </w:rPr>
        <w:t xml:space="preserve">For the three months ended September 30, 2025 and 2024, two customers accounted for 38.9% and four customers accounted for 62.3% of revenue, respectively. For the nine months ended September 30, 2025 and 2024, four customers accounted for 46.3% and five customers accounted for 56.3% of revenue, respectively. </w:t>
      </w:r>
    </w:p>
    <w:p>
      <w:pPr>
        <w:pStyle w:val="TextBody"/>
        <w:bidi w:val="0"/>
        <w:spacing w:lineRule="auto" w:line="288" w:before="240" w:after="283"/>
        <w:jc w:val="both"/>
        <w:rPr/>
      </w:pPr>
      <w:r>
        <w:rPr>
          <w:color w:val="000000"/>
        </w:rPr>
        <w:t>•</w:t>
      </w:r>
      <w:r>
        <w:rPr>
          <w:rFonts w:ascii="Times New Roman;serif" w:hAnsi="Times New Roman;serif"/>
          <w:b w:val="false"/>
          <w:color w:val="000000"/>
          <w:sz w:val="20"/>
          <w:u w:val="single"/>
        </w:rPr>
        <w:t>Accounts receivable concentration.</w:t>
      </w:r>
      <w:r>
        <w:rPr>
          <w:color w:val="000000"/>
        </w:rPr>
        <w:t xml:space="preserve"> </w:t>
      </w:r>
      <w:r>
        <w:rPr>
          <w:rFonts w:ascii="Times New Roman;serif" w:hAnsi="Times New Roman;serif"/>
          <w:b w:val="false"/>
          <w:color w:val="000000"/>
          <w:sz w:val="20"/>
        </w:rPr>
        <w:t>As of September 30, 2025 and December 31, 2024, five customers accounted for 66.8% and four customers accounted for 57.1%, respectively, of the Company’s accounts receivables. The Company believes that the accounts receivable balances due from these customers do not represent a significant credit risk based on past collection experience.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2023, the Financial Accounting Standards Board ("FASB") issued ASU No. 2023-09, </w:t>
      </w:r>
      <w:r>
        <w:rPr>
          <w:rFonts w:ascii="Times New Roman;serif" w:hAnsi="Times New Roman;serif"/>
          <w:b w:val="false"/>
          <w:i/>
          <w:color w:val="000000"/>
          <w:sz w:val="20"/>
        </w:rPr>
        <w:t>Improvements to Income Tax Disclosures (Topic 740)</w:t>
      </w:r>
      <w:r>
        <w:rPr>
          <w:rFonts w:ascii="Times New Roman;serif" w:hAnsi="Times New Roman;serif"/>
          <w:b w:val="false"/>
          <w:color w:val="000000"/>
          <w:sz w:val="20"/>
        </w:rPr>
        <w:t>. The ASU requires disaggregated information about a reporting entity’s effective tax rate reconciliation as well as additional information on income taxes paid. The ASU is effective on a prospective basis for annual periods beginning after December 15, 2024. Retrospective application is permitted. Early adoption is also permitted for annual financial statements that have not yet been issued or made available for issuance. The Company is impact of this guidance and expects the adoption to result in disclosure changes only.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in the process of evaluating the disclosure impact.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which provides entities with a practical expedient that assumes that current conditions as of the balance sheet date do not change for the remaining life of the asset in developing reasonable and supportable forecasts as part of estimating expected credit losses. ASU 2025-05 is effective for public companies for annual periods beginning after December 15, 2025. Early adoption is permitted. The Company is currently in the process of evaluating the disclosure impact.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Intangibles—Goodwill and Other—Internal-Use Software, </w:t>
      </w:r>
      <w:r>
        <w:rPr>
          <w:rFonts w:ascii="Times New Roman;serif" w:hAnsi="Times New Roman;serif"/>
          <w:b w:val="false"/>
          <w:color w:val="000000"/>
          <w:sz w:val="20"/>
        </w:rPr>
        <w:t>which is an update to remove all references to prescriptive and sequential software development stages (referred to as “project stages”). This ASU is effective for all entities for annual reporting periods beginning after December 15, 2027, and interim reporting periods within those annual reporting periods. Early adoption is permitted as of the beginning of an annual reporting period. The Company is currently evaluating the impact that the adoption of ASU 2025-06 may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10205" w:type="dxa"/>
        <w:jc w:val="left"/>
        <w:tblInd w:w="0" w:type="dxa"/>
        <w:tblLayout w:type="fixed"/>
        <w:tblCellMar>
          <w:top w:w="28" w:type="dxa"/>
          <w:left w:w="28" w:type="dxa"/>
          <w:bottom w:w="28" w:type="dxa"/>
          <w:right w:w="28" w:type="dxa"/>
        </w:tblCellMar>
      </w:tblPr>
      <w:tblGrid>
        <w:gridCol w:w="1336"/>
        <w:gridCol w:w="1161"/>
        <w:gridCol w:w="1167"/>
        <w:gridCol w:w="251"/>
        <w:gridCol w:w="985"/>
        <w:gridCol w:w="129"/>
        <w:gridCol w:w="251"/>
        <w:gridCol w:w="985"/>
        <w:gridCol w:w="129"/>
        <w:gridCol w:w="245"/>
        <w:gridCol w:w="962"/>
        <w:gridCol w:w="126"/>
        <w:gridCol w:w="245"/>
        <w:gridCol w:w="962"/>
        <w:gridCol w:w="126"/>
        <w:gridCol w:w="109"/>
        <w:gridCol w:w="109"/>
        <w:gridCol w:w="109"/>
        <w:gridCol w:w="109"/>
        <w:gridCol w:w="109"/>
        <w:gridCol w:w="109"/>
        <w:gridCol w:w="109"/>
        <w:gridCol w:w="109"/>
        <w:gridCol w:w="109"/>
        <w:gridCol w:w="164"/>
      </w:tblGrid>
      <w:tr>
        <w:trPr/>
        <w:tc>
          <w:tcPr>
            <w:tcW w:w="133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6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rP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423,676 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269,160 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203,976 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558,647 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September 30, 2025 and 2024, substantially all of the Group's revenue were derived from customers in mainland China, and therefore no geographical segments are presented.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balances were as follows as of:</w:t>
      </w:r>
    </w:p>
    <w:tbl>
      <w:tblPr>
        <w:tblW w:w="5126" w:type="dxa"/>
        <w:jc w:val="center"/>
        <w:tblInd w:w="0" w:type="dxa"/>
        <w:tblLayout w:type="fixed"/>
        <w:tblCellMar>
          <w:top w:w="28" w:type="dxa"/>
          <w:left w:w="28" w:type="dxa"/>
          <w:bottom w:w="28" w:type="dxa"/>
          <w:right w:w="28" w:type="dxa"/>
        </w:tblCellMar>
      </w:tblPr>
      <w:tblGrid>
        <w:gridCol w:w="793"/>
        <w:gridCol w:w="696"/>
        <w:gridCol w:w="701"/>
        <w:gridCol w:w="240"/>
        <w:gridCol w:w="941"/>
        <w:gridCol w:w="124"/>
        <w:gridCol w:w="109"/>
        <w:gridCol w:w="109"/>
        <w:gridCol w:w="109"/>
        <w:gridCol w:w="231"/>
        <w:gridCol w:w="905"/>
        <w:gridCol w:w="168"/>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243,949 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252,486 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Below are revenues recognized from amounts included in contract liabilities at the beginning of the period:</w:t>
      </w:r>
    </w:p>
    <w:tbl>
      <w:tblPr>
        <w:tblW w:w="10205" w:type="dxa"/>
        <w:jc w:val="left"/>
        <w:tblInd w:w="0" w:type="dxa"/>
        <w:tblLayout w:type="fixed"/>
        <w:tblCellMar>
          <w:top w:w="28" w:type="dxa"/>
          <w:left w:w="28" w:type="dxa"/>
          <w:bottom w:w="28" w:type="dxa"/>
          <w:right w:w="28" w:type="dxa"/>
        </w:tblCellMar>
      </w:tblPr>
      <w:tblGrid>
        <w:gridCol w:w="1750"/>
        <w:gridCol w:w="1537"/>
        <w:gridCol w:w="1542"/>
        <w:gridCol w:w="268"/>
        <w:gridCol w:w="917"/>
        <w:gridCol w:w="138"/>
        <w:gridCol w:w="268"/>
        <w:gridCol w:w="917"/>
        <w:gridCol w:w="138"/>
        <w:gridCol w:w="246"/>
        <w:gridCol w:w="962"/>
        <w:gridCol w:w="127"/>
        <w:gridCol w:w="246"/>
        <w:gridCol w:w="962"/>
        <w:gridCol w:w="187"/>
      </w:tblGrid>
      <w:tr>
        <w:trP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7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periods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114,260 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ACCOUNTS RECEIVABLE, NET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At September 30, 2025 and December 31, 2024, accounts receivable consisted of</w:t>
      </w:r>
      <w:r>
        <w:rPr>
          <w:color w:val="000000"/>
        </w:rPr>
        <w:t xml:space="preserve"> </w:t>
      </w:r>
      <w:r>
        <w:rPr>
          <w:rFonts w:ascii="Times New Roman;serif" w:hAnsi="Times New Roman;serif"/>
          <w:b w:val="false"/>
          <w:color w:val="000000"/>
          <w:sz w:val="20"/>
        </w:rPr>
        <w:t>the following:</w:t>
      </w:r>
    </w:p>
    <w:tbl>
      <w:tblPr>
        <w:tblW w:w="5696" w:type="dxa"/>
        <w:jc w:val="left"/>
        <w:tblInd w:w="0" w:type="dxa"/>
        <w:tblLayout w:type="fixed"/>
        <w:tblCellMar>
          <w:top w:w="28" w:type="dxa"/>
          <w:left w:w="28" w:type="dxa"/>
          <w:bottom w:w="28" w:type="dxa"/>
          <w:right w:w="28" w:type="dxa"/>
        </w:tblCellMar>
      </w:tblPr>
      <w:tblGrid>
        <w:gridCol w:w="1000"/>
        <w:gridCol w:w="879"/>
        <w:gridCol w:w="881"/>
        <w:gridCol w:w="240"/>
        <w:gridCol w:w="941"/>
        <w:gridCol w:w="124"/>
        <w:gridCol w:w="109"/>
        <w:gridCol w:w="109"/>
        <w:gridCol w:w="109"/>
        <w:gridCol w:w="231"/>
        <w:gridCol w:w="905"/>
        <w:gridCol w:w="16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504,824 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476,996 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387,045 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movement of the allowance for credit losses for the nine months ended September 30, 2025 and 2024 is as follows:</w:t>
      </w:r>
    </w:p>
    <w:tbl>
      <w:tblPr>
        <w:tblW w:w="7720" w:type="dxa"/>
        <w:jc w:val="left"/>
        <w:tblInd w:w="0" w:type="dxa"/>
        <w:tblLayout w:type="fixed"/>
        <w:tblCellMar>
          <w:top w:w="28" w:type="dxa"/>
          <w:left w:w="28" w:type="dxa"/>
          <w:bottom w:w="28" w:type="dxa"/>
          <w:right w:w="28" w:type="dxa"/>
        </w:tblCellMar>
      </w:tblPr>
      <w:tblGrid>
        <w:gridCol w:w="1549"/>
        <w:gridCol w:w="1359"/>
        <w:gridCol w:w="1367"/>
        <w:gridCol w:w="246"/>
        <w:gridCol w:w="931"/>
        <w:gridCol w:w="127"/>
        <w:gridCol w:w="109"/>
        <w:gridCol w:w="109"/>
        <w:gridCol w:w="109"/>
        <w:gridCol w:w="362"/>
        <w:gridCol w:w="1188"/>
        <w:gridCol w:w="264"/>
      </w:tblGrid>
      <w:tr>
        <w:trPr/>
        <w:tc>
          <w:tcPr>
            <w:tcW w:w="15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the year</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of credit losses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(5,796)</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end of the period</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(9,860)</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color w:val="000000"/>
        </w:rPr>
      </w:pPr>
      <w:r>
        <w:rPr>
          <w:color w:val="000000"/>
        </w:rPr>
        <w:t>    </w:t>
      </w:r>
    </w:p>
    <w:p>
      <w:pPr>
        <w:pStyle w:val="TextBody"/>
        <w:bidi w:val="0"/>
        <w:spacing w:lineRule="auto" w:line="288" w:before="1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assesses collectability by reviewing accounts receivable on a general basis where similar characteristics exist and on an individual basis when the Company identifies specific customers with known disputes or collectability issues. In determining the amount of the allowance for credit losses, the Company considers historical collectability based on past due status, the age of the accounts receivable balances, credit quality of the Company’s customers based on ongoing credit evaluations, current economic conditions, reasonable and supportable forecasts of future economic conditions, and other factors that may affect the Company’s ability to collect from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INVENTORIES,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and December 31, 2024, inventories consisted of the following:</w:t>
      </w:r>
    </w:p>
    <w:tbl>
      <w:tblPr>
        <w:tblW w:w="4676" w:type="dxa"/>
        <w:jc w:val="left"/>
        <w:tblInd w:w="0" w:type="dxa"/>
        <w:tblLayout w:type="fixed"/>
        <w:tblCellMar>
          <w:top w:w="28" w:type="dxa"/>
          <w:left w:w="28" w:type="dxa"/>
          <w:bottom w:w="28" w:type="dxa"/>
          <w:right w:w="28" w:type="dxa"/>
        </w:tblCellMar>
      </w:tblPr>
      <w:tblGrid>
        <w:gridCol w:w="630"/>
        <w:gridCol w:w="553"/>
        <w:gridCol w:w="557"/>
        <w:gridCol w:w="240"/>
        <w:gridCol w:w="941"/>
        <w:gridCol w:w="124"/>
        <w:gridCol w:w="109"/>
        <w:gridCol w:w="109"/>
        <w:gridCol w:w="109"/>
        <w:gridCol w:w="231"/>
        <w:gridCol w:w="905"/>
        <w:gridCol w:w="168"/>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224,086 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290,729 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293,131 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676,409 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597,984 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Raw materials increased by $102,096 for the nine months ended September 30, 2025 based on the Company's production plans and strategic purchases to mitigate supply chain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and December 31, 2024, the value of finished goods inventory, which is comprised of first-tools at customers' physical locations, for which customers were contractually obligated to take ownership upon acceptance totaled $174,367 and $206,018,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and 2024, the provisions for inventory of $4,228 and $849 were recognized in cost of revenue, respectively. During the nine months ended September 30, 2025 and 2024, the provisions for inventory of $9,853 and $3,858 were recognized in cost of revenue,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PROPERTY, PLANT AND EQUIPMENT, NET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and December 31, 2024, property, plant and equipment consisted of the following:</w:t>
      </w:r>
    </w:p>
    <w:tbl>
      <w:tblPr>
        <w:tblW w:w="6342" w:type="dxa"/>
        <w:jc w:val="left"/>
        <w:tblInd w:w="0" w:type="dxa"/>
        <w:tblLayout w:type="fixed"/>
        <w:tblCellMar>
          <w:top w:w="28" w:type="dxa"/>
          <w:left w:w="28" w:type="dxa"/>
          <w:bottom w:w="28" w:type="dxa"/>
          <w:right w:w="28" w:type="dxa"/>
        </w:tblCellMar>
      </w:tblPr>
      <w:tblGrid>
        <w:gridCol w:w="1230"/>
        <w:gridCol w:w="1081"/>
        <w:gridCol w:w="1095"/>
        <w:gridCol w:w="240"/>
        <w:gridCol w:w="941"/>
        <w:gridCol w:w="124"/>
        <w:gridCol w:w="109"/>
        <w:gridCol w:w="109"/>
        <w:gridCol w:w="109"/>
        <w:gridCol w:w="231"/>
        <w:gridCol w:w="905"/>
        <w:gridCol w:w="168"/>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plants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223,254 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139,311 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329,938 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294,154 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Total accumulated depreciation</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(33,224)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296,714 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269,272 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September 30, 2025 and 2024 was $2,458 and $2,389, respectively. Depreciation expense for the nine months ended September 30, 2025 and 2024 was $8,362 and $7,073,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Building and plants includes $35,139 for the Lingang housing property which is pledged as security for loans from the China Merchants Bank (note 10).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primarily reflects costs incurred for certain facilities related to improvements of ACM Shanghai's Lingang Development and Production Center.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 OTHER LONG-TERM ASSETS</w:t>
      </w:r>
    </w:p>
    <w:tbl>
      <w:tblPr>
        <w:tblW w:w="7299" w:type="dxa"/>
        <w:jc w:val="left"/>
        <w:tblInd w:w="0" w:type="dxa"/>
        <w:tblLayout w:type="fixed"/>
        <w:tblCellMar>
          <w:top w:w="28" w:type="dxa"/>
          <w:left w:w="28" w:type="dxa"/>
          <w:bottom w:w="28" w:type="dxa"/>
          <w:right w:w="28" w:type="dxa"/>
        </w:tblCellMar>
      </w:tblPr>
      <w:tblGrid>
        <w:gridCol w:w="1462"/>
        <w:gridCol w:w="1285"/>
        <w:gridCol w:w="1288"/>
        <w:gridCol w:w="293"/>
        <w:gridCol w:w="859"/>
        <w:gridCol w:w="153"/>
        <w:gridCol w:w="109"/>
        <w:gridCol w:w="109"/>
        <w:gridCol w:w="109"/>
        <w:gridCol w:w="255"/>
        <w:gridCol w:w="873"/>
        <w:gridCol w:w="132"/>
        <w:gridCol w:w="109"/>
        <w:gridCol w:w="109"/>
        <w:gridCol w:w="154"/>
      </w:tblGrid>
      <w:tr>
        <w:trPr/>
        <w:tc>
          <w:tcPr>
            <w:tcW w:w="146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for property, plant and equipment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deposits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deposit for land use right</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for investment in Ninebell (note 11)</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assets</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8 – SHORT-TERM BORROWINGS </w:t>
      </w:r>
    </w:p>
    <w:p>
      <w:pPr>
        <w:pStyle w:val="TextBody"/>
        <w:bidi w:val="0"/>
        <w:spacing w:lineRule="auto" w:line="288" w:before="240" w:after="283"/>
        <w:jc w:val="left"/>
        <w:rPr/>
      </w:pPr>
      <w:r>
        <w:rPr>
          <w:rFonts w:ascii="Times New Roman;serif" w:hAnsi="Times New Roman;serif"/>
          <w:b w:val="false"/>
          <w:color w:val="000000"/>
          <w:sz w:val="20"/>
          <w:shd w:fill="FFFFFF" w:val="clear"/>
        </w:rPr>
        <w:t>At September 30, 2025 and December 31, 2024, s</w:t>
      </w:r>
      <w:r>
        <w:rPr>
          <w:rFonts w:ascii="Times New Roman;serif" w:hAnsi="Times New Roman;serif"/>
          <w:b w:val="false"/>
          <w:color w:val="000000"/>
          <w:sz w:val="20"/>
        </w:rPr>
        <w:t>hort-term borrowings consisted of the following:</w:t>
      </w:r>
    </w:p>
    <w:tbl>
      <w:tblPr>
        <w:tblW w:w="9068" w:type="dxa"/>
        <w:jc w:val="left"/>
        <w:tblInd w:w="0" w:type="dxa"/>
        <w:tblLayout w:type="fixed"/>
        <w:tblCellMar>
          <w:top w:w="28" w:type="dxa"/>
          <w:left w:w="28" w:type="dxa"/>
          <w:bottom w:w="28" w:type="dxa"/>
          <w:right w:w="28" w:type="dxa"/>
        </w:tblCellMar>
      </w:tblPr>
      <w:tblGrid>
        <w:gridCol w:w="2104"/>
        <w:gridCol w:w="1848"/>
        <w:gridCol w:w="1853"/>
        <w:gridCol w:w="264"/>
        <w:gridCol w:w="904"/>
        <w:gridCol w:w="136"/>
        <w:gridCol w:w="255"/>
        <w:gridCol w:w="873"/>
        <w:gridCol w:w="132"/>
        <w:gridCol w:w="109"/>
        <w:gridCol w:w="109"/>
        <w:gridCol w:w="109"/>
        <w:gridCol w:w="109"/>
        <w:gridCol w:w="109"/>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Line of credit up to RMB 200,000 from China Merchants Bank,</w:t>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due on February 27, 2025 with an annual interest rate of 2.60%.</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due on February 28, 2025 with an annual interest rate of 2.60%.</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due on March 1,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due on March 5, 2025 with an annual interest rate of 2.60%.</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due on March 8,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 due on August 27, 2025 with an annual interest rate of 2.60%.</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 due on September 12, 2025 with an annual interest rate of 2.60%.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 due on March 12, 2026 with an annual interest rate of 2.28%.</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 due on March 12, 2026 with an annual interest rate of 2.28%.</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 due on March 12, 2026 with an annual interest rate of 2.28%</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Line of credit up to RMB 400,000 from Bank of China,</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due on March 20, 2025 with an annual interest rate of 2.75%.</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2) due on September 22, 2025 with an annual interest rate of 2.50%.</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3) due on April 14, 2026 with an annual interest rate of 2.3%.</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Line of credit up to RMB 100,000 from Citic Bank,</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1) due on June 30, 2026 with an annual interest rate of 2.11%.</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Line of credit up to KRW 2,000,000 from Industrial Bank of Korea,</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due on December 16, 2025 with an annual interest rate of 4.43%.</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Certain covenants for the $14,078</w:t>
      </w:r>
      <w:r>
        <w:rPr>
          <w:color w:val="000000"/>
        </w:rPr>
        <w:t xml:space="preserve"> </w:t>
      </w:r>
      <w:r>
        <w:rPr>
          <w:rFonts w:ascii="Times New Roman;serif" w:hAnsi="Times New Roman;serif"/>
          <w:b w:val="false"/>
          <w:color w:val="000000"/>
          <w:sz w:val="20"/>
        </w:rPr>
        <w:t>short-term facility of Bank of China require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9 – OTHER PAYABLES AND ACCRUED EXPENSES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and December 31, 2024, other payables and accrued expenses consisted of the following:</w:t>
      </w:r>
    </w:p>
    <w:tbl>
      <w:tblPr>
        <w:tblW w:w="5891" w:type="dxa"/>
        <w:jc w:val="left"/>
        <w:tblInd w:w="0" w:type="dxa"/>
        <w:tblLayout w:type="fixed"/>
        <w:tblCellMar>
          <w:top w:w="28" w:type="dxa"/>
          <w:left w:w="28" w:type="dxa"/>
          <w:bottom w:w="28" w:type="dxa"/>
          <w:right w:w="28" w:type="dxa"/>
        </w:tblCellMar>
      </w:tblPr>
      <w:tblGrid>
        <w:gridCol w:w="1070"/>
        <w:gridCol w:w="942"/>
        <w:gridCol w:w="943"/>
        <w:gridCol w:w="240"/>
        <w:gridCol w:w="941"/>
        <w:gridCol w:w="124"/>
        <w:gridCol w:w="232"/>
        <w:gridCol w:w="908"/>
        <w:gridCol w:w="119"/>
        <w:gridCol w:w="109"/>
        <w:gridCol w:w="109"/>
        <w:gridCol w:w="154"/>
      </w:tblGrid>
      <w:tr>
        <w:trPr/>
        <w:tc>
          <w:tcPr>
            <w:tcW w:w="107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machine sales fees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Lingang construction fees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Individual income tax payable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Payable for investments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135,032 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121,657 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standard warranties on its products. The liability amount is based on actual historical warranty spending activity by type of product, customer, and geographic region, modified for any known differences such as the impact of product reliability improvements.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Company’s accrued warranty were as follows:</w:t>
      </w:r>
    </w:p>
    <w:tbl>
      <w:tblPr>
        <w:tblW w:w="9100" w:type="dxa"/>
        <w:jc w:val="left"/>
        <w:tblInd w:w="0" w:type="dxa"/>
        <w:tblLayout w:type="fixed"/>
        <w:tblCellMar>
          <w:top w:w="28" w:type="dxa"/>
          <w:left w:w="28" w:type="dxa"/>
          <w:bottom w:w="28" w:type="dxa"/>
          <w:right w:w="28" w:type="dxa"/>
        </w:tblCellMar>
      </w:tblPr>
      <w:tblGrid>
        <w:gridCol w:w="1065"/>
        <w:gridCol w:w="936"/>
        <w:gridCol w:w="939"/>
        <w:gridCol w:w="273"/>
        <w:gridCol w:w="934"/>
        <w:gridCol w:w="141"/>
        <w:gridCol w:w="141"/>
        <w:gridCol w:w="141"/>
        <w:gridCol w:w="141"/>
        <w:gridCol w:w="273"/>
        <w:gridCol w:w="934"/>
        <w:gridCol w:w="141"/>
        <w:gridCol w:w="261"/>
        <w:gridCol w:w="894"/>
        <w:gridCol w:w="135"/>
        <w:gridCol w:w="135"/>
        <w:gridCol w:w="135"/>
        <w:gridCol w:w="135"/>
        <w:gridCol w:w="261"/>
        <w:gridCol w:w="894"/>
        <w:gridCol w:w="191"/>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period</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11,273 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Utilized</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period</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11,877 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10 – LONG-TERM BORROWINGS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At September 30, 2025 and December 31, 2024, long-term borrowings consisted </w:t>
      </w:r>
      <w:r>
        <w:rPr>
          <w:rFonts w:ascii="Times New Roman;serif" w:hAnsi="Times New Roman;serif"/>
          <w:b w:val="false"/>
          <w:color w:val="000000"/>
          <w:sz w:val="20"/>
        </w:rPr>
        <w:t>of the following:</w:t>
      </w:r>
    </w:p>
    <w:p>
      <w:pPr>
        <w:pStyle w:val="TextBody"/>
        <w:bidi w:val="0"/>
        <w:spacing w:before="0" w:after="0"/>
        <w:jc w:val="left"/>
        <w:rPr/>
      </w:pPr>
      <w:r>
        <w:rPr/>
      </w:r>
    </w:p>
    <w:tbl>
      <w:tblPr>
        <w:tblW w:w="7330" w:type="dxa"/>
        <w:jc w:val="left"/>
        <w:tblInd w:w="0" w:type="dxa"/>
        <w:tblLayout w:type="fixed"/>
        <w:tblCellMar>
          <w:top w:w="28" w:type="dxa"/>
          <w:left w:w="28" w:type="dxa"/>
          <w:bottom w:w="28" w:type="dxa"/>
          <w:right w:w="28" w:type="dxa"/>
        </w:tblCellMar>
      </w:tblPr>
      <w:tblGrid>
        <w:gridCol w:w="1590"/>
        <w:gridCol w:w="1401"/>
        <w:gridCol w:w="1403"/>
        <w:gridCol w:w="240"/>
        <w:gridCol w:w="941"/>
        <w:gridCol w:w="124"/>
        <w:gridCol w:w="109"/>
        <w:gridCol w:w="109"/>
        <w:gridCol w:w="109"/>
        <w:gridCol w:w="231"/>
        <w:gridCol w:w="905"/>
        <w:gridCol w:w="168"/>
      </w:tblGrid>
      <w:tr>
        <w:trPr/>
        <w:tc>
          <w:tcPr>
            <w:tcW w:w="15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China Merchants Bank</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Agricultural Bank of China</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from Bank of China</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Bank of Shanghai</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from China CITIC Bank</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China Everbright Bank</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 from Industrial and Commercial Bank of China</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241,993 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149,997 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(48,637)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193,356 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105,525 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June 2025, ACM Shanghai entered into a long-term loan fa</w:t>
      </w:r>
      <w:r>
        <w:rPr>
          <w:rFonts w:ascii="Times New Roman;serif" w:hAnsi="Times New Roman;serif"/>
          <w:b w:val="false"/>
          <w:color w:val="000000"/>
          <w:sz w:val="20"/>
        </w:rPr>
        <w:t xml:space="preserve">cility of $5,628 </w:t>
      </w:r>
      <w:r>
        <w:rPr>
          <w:rFonts w:ascii="Times New Roman;serif" w:hAnsi="Times New Roman;serif"/>
          <w:b w:val="false"/>
          <w:color w:val="000000"/>
          <w:sz w:val="20"/>
          <w:shd w:fill="FFFFFF" w:val="clear"/>
        </w:rPr>
        <w:t xml:space="preserve">from Bank of China and drew down the full amount. </w:t>
      </w:r>
      <w:r>
        <w:rPr>
          <w:rFonts w:ascii="Times New Roman;serif" w:hAnsi="Times New Roman;serif"/>
          <w:b w:val="false"/>
          <w:color w:val="000000"/>
          <w:sz w:val="20"/>
        </w:rPr>
        <w:t>Pri</w:t>
      </w:r>
      <w:r>
        <w:rPr>
          <w:rFonts w:ascii="Times New Roman;serif" w:hAnsi="Times New Roman;serif"/>
          <w:b w:val="false"/>
          <w:color w:val="000000"/>
          <w:sz w:val="20"/>
          <w:shd w:fill="FFFFFF" w:val="clear"/>
        </w:rPr>
        <w:t>ncipal repayments shall be made in 6 installments beg</w:t>
      </w:r>
      <w:r>
        <w:rPr>
          <w:rFonts w:ascii="Times New Roman;serif" w:hAnsi="Times New Roman;serif"/>
          <w:b w:val="false"/>
          <w:color w:val="000000"/>
          <w:sz w:val="20"/>
        </w:rPr>
        <w:t>inning June 2025, wi</w:t>
      </w:r>
      <w:r>
        <w:rPr>
          <w:rFonts w:ascii="Times New Roman;serif" w:hAnsi="Times New Roman;serif"/>
          <w:b w:val="false"/>
          <w:color w:val="000000"/>
          <w:sz w:val="20"/>
          <w:shd w:fill="FFFFFF" w:val="clear"/>
        </w:rPr>
        <w:t xml:space="preserve">th final maturity in June 2028. </w:t>
      </w:r>
      <w:r>
        <w:rPr>
          <w:rFonts w:ascii="Times New Roman;serif" w:hAnsi="Times New Roman;serif"/>
          <w:b w:val="false"/>
          <w:color w:val="000000"/>
          <w:sz w:val="20"/>
        </w:rPr>
        <w:t xml:space="preserve">Certain covenants for the facility require ACM Shanghai’s year-end outstanding interest-bearing debt not to </w:t>
      </w:r>
      <w:r>
        <w:rPr>
          <w:rFonts w:ascii="Times New Roman;serif" w:hAnsi="Times New Roman;serif"/>
          <w:b w:val="false"/>
          <w:color w:val="000000"/>
          <w:sz w:val="20"/>
          <w:shd w:fill="FFFFFF" w:val="clear"/>
        </w:rPr>
        <w:t xml:space="preserve">exceed five times </w:t>
      </w:r>
      <w:r>
        <w:rPr>
          <w:rFonts w:ascii="Times New Roman;serif" w:hAnsi="Times New Roman;serif"/>
          <w:b w:val="false"/>
          <w:color w:val="000000"/>
          <w:sz w:val="20"/>
        </w:rPr>
        <w:t xml:space="preserve">of </w:t>
      </w:r>
      <w:r>
        <w:rPr>
          <w:rFonts w:ascii="Times New Roman;serif" w:hAnsi="Times New Roman;serif"/>
          <w:b w:val="false"/>
          <w:color w:val="000000"/>
          <w:sz w:val="20"/>
          <w:shd w:fill="FFFFFF" w:val="clear"/>
        </w:rPr>
        <w:t>its annual EBITDA</w:t>
      </w:r>
      <w:r>
        <w:rPr>
          <w:rFonts w:ascii="Times New Roman;serif" w:hAnsi="Times New Roman;serif"/>
          <w:b w:val="false"/>
          <w:color w:val="000000"/>
          <w:sz w:val="20"/>
        </w:rPr>
        <w:t xml:space="preserve">, and to comply with other non-financial covenants, or Bank of China has the right to suspend the facility, or request ACM Shanghai to accelerate repayment or provide credit enhancement.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pPr>
      <w:r>
        <w:rPr>
          <w:rFonts w:ascii="Times New Roman;serif" w:hAnsi="Times New Roman;serif"/>
          <w:b w:val="false"/>
          <w:color w:val="000000"/>
          <w:sz w:val="20"/>
          <w:shd w:fill="FFFFFF" w:val="clear"/>
        </w:rPr>
        <w:t>In January 2025</w:t>
      </w:r>
      <w:r>
        <w:rPr>
          <w:rFonts w:ascii="Times New Roman;serif" w:hAnsi="Times New Roman;serif"/>
          <w:b w:val="false"/>
          <w:color w:val="000000"/>
          <w:sz w:val="20"/>
        </w:rPr>
        <w:t xml:space="preserve">, ACM Research </w:t>
      </w:r>
      <w:r>
        <w:rPr>
          <w:rFonts w:ascii="Times New Roman;serif" w:hAnsi="Times New Roman;serif"/>
          <w:b w:val="false"/>
          <w:color w:val="000000"/>
          <w:sz w:val="20"/>
          <w:shd w:fill="FFFFFF" w:val="clear"/>
        </w:rPr>
        <w:t xml:space="preserve">entered into a long-term loan facility of $281,400 from China CITIC Bank, of which it drew the full amount. Principal repayments shall be made in 6 installments beginning January 2025, with final maturity in January 2028.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2024, ACM Shanghai entered into a long-term loan facility of $42,210 from Industrial and Commercial Bank of China for the purpose of funding its working capital and drew down the full amount. Principal repayment shall be made in 6 installments beginning May 2025, with final maturity in November 2027.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In November 2024, ACM Shanghai entered into a long-term loan facility of $140,700 from Bank of China for its project expen</w:t>
      </w:r>
      <w:r>
        <w:rPr>
          <w:rFonts w:ascii="Times New Roman;serif" w:hAnsi="Times New Roman;serif"/>
          <w:b w:val="false"/>
          <w:color w:val="000000"/>
          <w:sz w:val="20"/>
        </w:rPr>
        <w:t>ditures and drew down $6,673 under this facility. Principal repay</w:t>
      </w:r>
      <w:r>
        <w:rPr>
          <w:rFonts w:ascii="Times New Roman;serif" w:hAnsi="Times New Roman;serif"/>
          <w:b w:val="false"/>
          <w:color w:val="000000"/>
          <w:sz w:val="20"/>
          <w:shd w:fill="FFFFFF" w:val="clear"/>
        </w:rPr>
        <w:t xml:space="preserve">ment shall be made in 12 installments until December 2028, with final maturity in June 2034. Certain covenants for the facility require ACM Shanghai’s year-end outstanding interest-bearing debt not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exceed five times</w:t>
      </w:r>
      <w:r>
        <w:rPr>
          <w:color w:val="000000"/>
        </w:rPr>
        <w:t xml:space="preserve"> </w:t>
      </w:r>
      <w:r>
        <w:rPr>
          <w:rFonts w:ascii="Times New Roman;serif" w:hAnsi="Times New Roman;serif"/>
          <w:b w:val="false"/>
          <w:color w:val="000000"/>
          <w:sz w:val="20"/>
          <w:shd w:fill="FFFFFF" w:val="clear"/>
        </w:rPr>
        <w:t>its annual EBITDA</w:t>
      </w:r>
      <w:r>
        <w:rPr>
          <w:rFonts w:ascii="Times New Roman;serif" w:hAnsi="Times New Roman;serif"/>
          <w:b w:val="false"/>
          <w:color w:val="000000"/>
          <w:sz w:val="20"/>
        </w:rPr>
        <w:t xml:space="preserve">, and to comply with other non-financial covenants, or Bank of China has the right to suspend the facility, or request ACM Shanghai to accelerate repayment or provide credit enhancement.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ACM Shanghai entered into a long-term loan facility, of $140,700, from China Merchants Bank for project expenditures and drew down $8,232 under this facility. Certain covenants for the facility require ACM Shanghai to either repay 50% of the outstanding principal within two months, or repay the loan in accordance with revised payment schedule, if ACM Shanghai does not complete, within three years after the initial drawdown, or before January 2028, a Private Offering with more than RMB 900,000 of proceeds.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I</w:t>
      </w:r>
      <w:r>
        <w:rPr>
          <w:rFonts w:ascii="Times New Roman;serif" w:hAnsi="Times New Roman;serif"/>
          <w:b w:val="false"/>
          <w:color w:val="000000"/>
          <w:sz w:val="20"/>
        </w:rPr>
        <w:t>n April 2024, ACM Lingang entered into a long-term loan facility of $42,210 from the Agricultural Bank of China. ACM Shanghai drew down $13,161 in 2024 and further drew down $29,049 under this facility in the nine months ended September 30, 2025. Principal repayments shall be made in 18 installments beginning November 2025, with final maturity in April 2034.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September 30, 2025 and December 31, 2024, the total carrying amount of long-term loans was $241,993 a</w:t>
      </w:r>
      <w:r>
        <w:rPr>
          <w:rFonts w:ascii="Times New Roman;serif" w:hAnsi="Times New Roman;serif"/>
          <w:b w:val="false"/>
          <w:color w:val="000000"/>
          <w:sz w:val="20"/>
        </w:rPr>
        <w:t xml:space="preserve">nd $149,997, compared with an estimated fair value of $225,396 and $141,264, respectively. The fair value of the long-term loans is estimated by discounting cash flows using interest rates </w:t>
      </w:r>
      <w:r>
        <w:rPr>
          <w:rFonts w:ascii="Times New Roman;serif" w:hAnsi="Times New Roman;serif"/>
          <w:b w:val="false"/>
          <w:color w:val="000000"/>
          <w:sz w:val="20"/>
          <w:shd w:fill="FFFFFF" w:val="clear"/>
        </w:rPr>
        <w:t>currently available for debts with similar terms and maturities (Level 2 fair value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for the outstanding long-term loans, including the current portion, as of September 30, 2025 are as follows:</w:t>
      </w:r>
    </w:p>
    <w:tbl>
      <w:tblPr>
        <w:tblW w:w="3591" w:type="dxa"/>
        <w:jc w:val="left"/>
        <w:tblInd w:w="0" w:type="dxa"/>
        <w:tblLayout w:type="fixed"/>
        <w:tblCellMar>
          <w:top w:w="28" w:type="dxa"/>
          <w:left w:w="28" w:type="dxa"/>
          <w:bottom w:w="28" w:type="dxa"/>
          <w:right w:w="28" w:type="dxa"/>
        </w:tblCellMar>
      </w:tblPr>
      <w:tblGrid>
        <w:gridCol w:w="868"/>
        <w:gridCol w:w="765"/>
        <w:gridCol w:w="767"/>
        <w:gridCol w:w="211"/>
        <w:gridCol w:w="82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494949"/>
                <w:sz w:val="20"/>
              </w:rPr>
            </w:pPr>
            <w:r>
              <w:rPr>
                <w:rFonts w:ascii="Times New Roman;serif" w:hAnsi="Times New Roman;serif"/>
                <w:b/>
                <w:color w:val="494949"/>
                <w:sz w:val="20"/>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241,993 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11 – LONG-TERM 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2024, ACM Shanghai entered into an investment agreement with Ninebell Co., Ltd. ("Ninebell") to acquire 20% of its equity interests. In December 2024, ACM Shanghai paid total consideration of $16,737. The share certificate was issued on January 1, 2025. After the share purchase transaction closed on January 1, 2025, the Company owned 36.2% equity interests of Ninebell. Subsequent to the Private Offering during 2025, the Company's equity interests in Ninebell decreased to 34.9% as of September 30,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long-term investment balance primarily consisted of the following: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1658"/>
        <w:gridCol w:w="1371"/>
        <w:gridCol w:w="1121"/>
        <w:gridCol w:w="453"/>
        <w:gridCol w:w="453"/>
        <w:gridCol w:w="454"/>
        <w:gridCol w:w="396"/>
        <w:gridCol w:w="396"/>
        <w:gridCol w:w="398"/>
        <w:gridCol w:w="664"/>
        <w:gridCol w:w="664"/>
        <w:gridCol w:w="666"/>
        <w:gridCol w:w="292"/>
        <w:gridCol w:w="998"/>
        <w:gridCol w:w="221"/>
      </w:tblGrid>
      <w:tr>
        <w:trPr/>
        <w:tc>
          <w:tcPr>
            <w:tcW w:w="16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Initial investment dates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Investment entity</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 ownership by ACM and subsidiaries</w:t>
            </w:r>
          </w:p>
        </w:tc>
        <w:tc>
          <w:tcPr>
            <w:tcW w:w="1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Investment purchase price</w:t>
            </w:r>
          </w:p>
        </w:tc>
      </w:tr>
      <w:tr>
        <w:trPr/>
        <w:tc>
          <w:tcPr>
            <w:tcW w:w="4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 investee</w:t>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2017</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Wooil Flucon Co., ("Wooil")</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2022</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Singapore</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Hefei Shixi ChanhengIntegrated Circuit IndustryVenture Capital FundPartnership (LP) (“Hefei Shixi”)</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30,000 ($4,200)</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Semiconductor Technology Co., Ltd. ("Shengyi")</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June 2019</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14.0%</w:t>
            </w:r>
          </w:p>
        </w:tc>
        <w:tc>
          <w:tcPr>
            <w:tcW w:w="2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D</w:t>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2024</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c>
          <w:tcPr>
            <w:tcW w:w="1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30,000 ($4,230)</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Investments accounted for using measurement alternative:</w:t>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36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2023</w:t>
            </w:r>
          </w:p>
        </w:tc>
        <w:tc>
          <w:tcPr>
            <w:tcW w:w="119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51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6,100 ($900)</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A</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2023</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30,000 ($4,200)</w:t>
            </w:r>
          </w:p>
        </w:tc>
      </w:tr>
      <w:tr>
        <w:trPr/>
        <w:tc>
          <w:tcPr>
            <w:tcW w:w="415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B</w:t>
            </w:r>
          </w:p>
        </w:tc>
        <w:tc>
          <w:tcPr>
            <w:tcW w:w="136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2023</w:t>
            </w:r>
          </w:p>
        </w:tc>
        <w:tc>
          <w:tcPr>
            <w:tcW w:w="119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51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10,000 ($1,407)</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2024</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12,500 ($1,760)</w:t>
            </w:r>
          </w:p>
        </w:tc>
      </w:tr>
      <w:tr>
        <w:trPr/>
        <w:tc>
          <w:tcPr>
            <w:tcW w:w="415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E</w:t>
            </w:r>
          </w:p>
        </w:tc>
        <w:tc>
          <w:tcPr>
            <w:tcW w:w="136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2024</w:t>
            </w:r>
          </w:p>
        </w:tc>
        <w:tc>
          <w:tcPr>
            <w:tcW w:w="1190"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1511"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10,000 ($1,403)</w:t>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F</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10,000 ($1,391)</w:t>
            </w:r>
          </w:p>
        </w:tc>
      </w:tr>
      <w:tr>
        <w:trPr/>
        <w:tc>
          <w:tcPr>
            <w:tcW w:w="4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Available for sale debt securities: </w:t>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G</w:t>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ACM Shanghai</w:t>
            </w:r>
          </w:p>
        </w:tc>
        <w:tc>
          <w:tcPr>
            <w:tcW w:w="1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RMB 30,000 ($4,179)</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long-term investment balance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7528" w:type="dxa"/>
        <w:jc w:val="left"/>
        <w:tblInd w:w="0" w:type="dxa"/>
        <w:tblLayout w:type="fixed"/>
        <w:tblCellMar>
          <w:top w:w="28" w:type="dxa"/>
          <w:left w:w="28" w:type="dxa"/>
          <w:bottom w:w="28" w:type="dxa"/>
          <w:right w:w="28" w:type="dxa"/>
        </w:tblCellMar>
      </w:tblPr>
      <w:tblGrid>
        <w:gridCol w:w="1783"/>
        <w:gridCol w:w="1561"/>
        <w:gridCol w:w="1575"/>
        <w:gridCol w:w="260"/>
        <w:gridCol w:w="910"/>
        <w:gridCol w:w="134"/>
        <w:gridCol w:w="250"/>
        <w:gridCol w:w="873"/>
        <w:gridCol w:w="182"/>
      </w:tblGrid>
      <w:tr>
        <w:trPr/>
        <w:tc>
          <w:tcPr>
            <w:tcW w:w="1783"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 investee:</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29,302 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Wooil</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Hefei Shixi</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D</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43,963</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20,544</w:t>
            </w: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Investments accounted for using measurement alternative: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A</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B</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E</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F</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11,759</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11,153</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Available for sale debt securities:</w:t>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G</w:t>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63,556</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37,063</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12 – SHORT-TERM INVESTMENTS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and December 31, 2024, the components of short-term investments were as follows:</w:t>
      </w:r>
    </w:p>
    <w:tbl>
      <w:tblPr>
        <w:tblW w:w="7484" w:type="dxa"/>
        <w:jc w:val="left"/>
        <w:tblInd w:w="0" w:type="dxa"/>
        <w:tblLayout w:type="fixed"/>
        <w:tblCellMar>
          <w:top w:w="28" w:type="dxa"/>
          <w:left w:w="28" w:type="dxa"/>
          <w:bottom w:w="28" w:type="dxa"/>
          <w:right w:w="28" w:type="dxa"/>
        </w:tblCellMar>
      </w:tblPr>
      <w:tblGrid>
        <w:gridCol w:w="1766"/>
        <w:gridCol w:w="1552"/>
        <w:gridCol w:w="1557"/>
        <w:gridCol w:w="264"/>
        <w:gridCol w:w="904"/>
        <w:gridCol w:w="136"/>
        <w:gridCol w:w="253"/>
        <w:gridCol w:w="867"/>
        <w:gridCol w:w="185"/>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listed in Shanghai Stock Exchange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Market value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39,976 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net gains (losses) recognized on equity securities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1770"/>
        <w:gridCol w:w="1556"/>
        <w:gridCol w:w="1561"/>
        <w:gridCol w:w="305"/>
        <w:gridCol w:w="1043"/>
        <w:gridCol w:w="157"/>
        <w:gridCol w:w="305"/>
        <w:gridCol w:w="674"/>
        <w:gridCol w:w="157"/>
        <w:gridCol w:w="271"/>
        <w:gridCol w:w="927"/>
        <w:gridCol w:w="139"/>
        <w:gridCol w:w="271"/>
        <w:gridCol w:w="866"/>
        <w:gridCol w:w="203"/>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67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Unrealized gain (loss) recognized on short-term investments still held at September 30</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realized on short-term investments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gain (loss) recognized on short-term investments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months ended September 30, 2025, the Company received dividends of $0 and $54 from short-t</w:t>
      </w:r>
      <w:r>
        <w:rPr>
          <w:rFonts w:ascii="Times New Roman;serif" w:hAnsi="Times New Roman;serif"/>
          <w:b w:val="false"/>
          <w:color w:val="000000"/>
          <w:sz w:val="20"/>
        </w:rPr>
        <w:t>erm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For the three and nine</w:t>
      </w:r>
      <w:r>
        <w:rPr>
          <w:color w:val="000000"/>
          <w:shd w:fill="FFFFFF" w:val="clear"/>
        </w:rPr>
        <w:t xml:space="preserve"> </w:t>
      </w:r>
      <w:r>
        <w:rPr>
          <w:rFonts w:ascii="Times New Roman;serif" w:hAnsi="Times New Roman;serif"/>
          <w:b w:val="false"/>
          <w:color w:val="000000"/>
          <w:sz w:val="20"/>
          <w:shd w:fill="FFFFFF" w:val="clear"/>
        </w:rPr>
        <w:t xml:space="preserve">months </w:t>
      </w:r>
      <w:r>
        <w:rPr>
          <w:rFonts w:ascii="Times New Roman;serif" w:hAnsi="Times New Roman;serif"/>
          <w:b w:val="false"/>
          <w:color w:val="000000"/>
          <w:sz w:val="20"/>
        </w:rPr>
        <w:t>ended September 30, 2024, the Company recognized a realized gain of $171 and $444 in proceeds from the sale of short-term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RELATED PARTY BALANCES AND TRANSACTIONS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Ninebell</w:t>
      </w:r>
    </w:p>
    <w:p>
      <w:pPr>
        <w:pStyle w:val="TextBody"/>
        <w:bidi w:val="0"/>
        <w:spacing w:lineRule="auto" w:line="288" w:before="240" w:after="283"/>
        <w:jc w:val="both"/>
        <w:rPr/>
      </w:pPr>
      <w:r>
        <w:rPr>
          <w:rFonts w:ascii="Times New Roman;serif" w:hAnsi="Times New Roman;serif"/>
          <w:b w:val="false"/>
          <w:color w:val="000000"/>
          <w:sz w:val="20"/>
        </w:rPr>
        <w:t>Ninebell is an equity investee of ACM and ACM Shanghai (note 11) and is the Company’s principal supplier of robotic delivery system subassemblies used in single-wafer cleaning equipment. The Company purchases e</w:t>
      </w:r>
      <w:r>
        <w:rPr>
          <w:rFonts w:ascii="Times New Roman;serif" w:hAnsi="Times New Roman;serif"/>
          <w:b w:val="false"/>
          <w:color w:val="000000"/>
          <w:sz w:val="20"/>
          <w:shd w:fill="FFFFFF" w:val="clear"/>
        </w:rPr>
        <w:t>quipment from</w:t>
      </w:r>
      <w:r>
        <w:rPr>
          <w:color w:val="000000"/>
        </w:rPr>
        <w:t xml:space="preserve"> </w:t>
      </w:r>
      <w:r>
        <w:rPr>
          <w:rFonts w:ascii="Times New Roman;serif" w:hAnsi="Times New Roman;serif"/>
          <w:b w:val="false"/>
          <w:color w:val="000000"/>
          <w:sz w:val="20"/>
        </w:rPr>
        <w:t>Ninebell fo</w:t>
      </w:r>
      <w:r>
        <w:rPr>
          <w:rFonts w:ascii="Times New Roman;serif" w:hAnsi="Times New Roman;serif"/>
          <w:b w:val="false"/>
          <w:color w:val="000000"/>
          <w:sz w:val="20"/>
          <w:shd w:fill="FFFFFF" w:val="clear"/>
        </w:rPr>
        <w:t>r production</w:t>
      </w:r>
      <w:r>
        <w:rPr>
          <w:color w:val="000000"/>
        </w:rPr>
        <w:t xml:space="preserve"> </w:t>
      </w:r>
      <w:r>
        <w:rPr>
          <w:rFonts w:ascii="Times New Roman;serif" w:hAnsi="Times New Roman;serif"/>
          <w:b w:val="false"/>
          <w:color w:val="000000"/>
          <w:sz w:val="20"/>
        </w:rPr>
        <w:t xml:space="preserve">in the ordinary course of business. The Company pays for a portion of the equipment in advance and is obligated to pay the remaining amounts upon receipt of the product.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Shengyi</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Shengyi is an equity investee of ACM Shanghai (note 11) and is one of the Company’s component suppliers in mainland China. The Company purchases components from Shengyi for production in the ordinary course of business. The Company incurs a service fee related to installation and hook-up fees which is recorded within cost of revenue on the Company’s condensed consolidated statements of comprehensive income. The Company pays for a portion of the raw materials in advance and is obligated to pay the remaining amount upon receipt of the product.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All related party outstanding balances are short-term in nature and are expected to be settled in cash.</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reflect related party transactions in the Company’s condensed consolidated financial statements:</w:t>
      </w:r>
    </w:p>
    <w:tbl>
      <w:tblPr>
        <w:tblW w:w="4903" w:type="dxa"/>
        <w:jc w:val="left"/>
        <w:tblInd w:w="0" w:type="dxa"/>
        <w:tblLayout w:type="fixed"/>
        <w:tblCellMar>
          <w:top w:w="28" w:type="dxa"/>
          <w:left w:w="28" w:type="dxa"/>
          <w:bottom w:w="28" w:type="dxa"/>
          <w:right w:w="28" w:type="dxa"/>
        </w:tblCellMar>
      </w:tblPr>
      <w:tblGrid>
        <w:gridCol w:w="831"/>
        <w:gridCol w:w="729"/>
        <w:gridCol w:w="734"/>
        <w:gridCol w:w="350"/>
        <w:gridCol w:w="773"/>
        <w:gridCol w:w="181"/>
        <w:gridCol w:w="280"/>
        <w:gridCol w:w="819"/>
        <w:gridCol w:w="20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Advances to related party</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35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0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2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213" w:type="dxa"/>
        <w:jc w:val="left"/>
        <w:tblInd w:w="0" w:type="dxa"/>
        <w:tblLayout w:type="fixed"/>
        <w:tblCellMar>
          <w:top w:w="28" w:type="dxa"/>
          <w:left w:w="28" w:type="dxa"/>
          <w:bottom w:w="28" w:type="dxa"/>
          <w:right w:w="28" w:type="dxa"/>
        </w:tblCellMar>
      </w:tblPr>
      <w:tblGrid>
        <w:gridCol w:w="581"/>
        <w:gridCol w:w="511"/>
        <w:gridCol w:w="512"/>
        <w:gridCol w:w="264"/>
        <w:gridCol w:w="904"/>
        <w:gridCol w:w="136"/>
        <w:gridCol w:w="253"/>
        <w:gridCol w:w="867"/>
        <w:gridCol w:w="18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6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10,830 </w:t>
            </w:r>
          </w:p>
        </w:tc>
        <w:tc>
          <w:tcPr>
            <w:tcW w:w="18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23,323 </w:t>
            </w:r>
          </w:p>
        </w:tc>
        <w:tc>
          <w:tcPr>
            <w:tcW w:w="1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16,133 </w:t>
            </w:r>
          </w:p>
        </w:tc>
        <w:tc>
          <w:tcPr>
            <w:tcW w:w="1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8343" w:type="dxa"/>
        <w:jc w:val="left"/>
        <w:tblInd w:w="0" w:type="dxa"/>
        <w:tblLayout w:type="fixed"/>
        <w:tblCellMar>
          <w:top w:w="28" w:type="dxa"/>
          <w:left w:w="28" w:type="dxa"/>
          <w:bottom w:w="28" w:type="dxa"/>
          <w:right w:w="28" w:type="dxa"/>
        </w:tblCellMar>
      </w:tblPr>
      <w:tblGrid>
        <w:gridCol w:w="711"/>
        <w:gridCol w:w="625"/>
        <w:gridCol w:w="629"/>
        <w:gridCol w:w="316"/>
        <w:gridCol w:w="1080"/>
        <w:gridCol w:w="163"/>
        <w:gridCol w:w="316"/>
        <w:gridCol w:w="1080"/>
        <w:gridCol w:w="163"/>
        <w:gridCol w:w="299"/>
        <w:gridCol w:w="1024"/>
        <w:gridCol w:w="154"/>
        <w:gridCol w:w="299"/>
        <w:gridCol w:w="1067"/>
        <w:gridCol w:w="154"/>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97"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Purchase of materials</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15,276 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8511" w:type="dxa"/>
        <w:jc w:val="left"/>
        <w:tblInd w:w="0" w:type="dxa"/>
        <w:tblLayout w:type="fixed"/>
        <w:tblCellMar>
          <w:top w:w="28" w:type="dxa"/>
          <w:left w:w="28" w:type="dxa"/>
          <w:bottom w:w="28" w:type="dxa"/>
          <w:right w:w="28" w:type="dxa"/>
        </w:tblCellMar>
      </w:tblPr>
      <w:tblGrid>
        <w:gridCol w:w="734"/>
        <w:gridCol w:w="644"/>
        <w:gridCol w:w="647"/>
        <w:gridCol w:w="346"/>
        <w:gridCol w:w="765"/>
        <w:gridCol w:w="179"/>
        <w:gridCol w:w="179"/>
        <w:gridCol w:w="179"/>
        <w:gridCol w:w="179"/>
        <w:gridCol w:w="346"/>
        <w:gridCol w:w="765"/>
        <w:gridCol w:w="179"/>
        <w:gridCol w:w="309"/>
        <w:gridCol w:w="902"/>
        <w:gridCol w:w="159"/>
        <w:gridCol w:w="159"/>
        <w:gridCol w:w="159"/>
        <w:gridCol w:w="159"/>
        <w:gridCol w:w="309"/>
        <w:gridCol w:w="682"/>
        <w:gridCol w:w="15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fee charged by</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3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14 –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and December 31, 2024, the number of shares of Class A common stock issued and outstanding was 59,854,640 and 57,938,885, respectively.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2025 and December 31, 2024, the number of shares of Class B common stock issued and outstanding was 5,021,811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issued option grants for 242,000 shares to employees and board members under its 2016 Omnibus Incentive Plan. The share-based awards are accounted for as equity awards, are only subject to service vesting conditions, and vest over a period of 4 years for employees and 0.25 year for board members. The Company did not grant any non-employee stock options during the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with following assumptions:</w:t>
      </w:r>
    </w:p>
    <w:tbl>
      <w:tblPr>
        <w:tblW w:w="10205" w:type="dxa"/>
        <w:jc w:val="left"/>
        <w:tblInd w:w="0" w:type="dxa"/>
        <w:tblLayout w:type="fixed"/>
        <w:tblCellMar>
          <w:top w:w="28" w:type="dxa"/>
          <w:left w:w="28" w:type="dxa"/>
          <w:bottom w:w="28" w:type="dxa"/>
          <w:right w:w="28" w:type="dxa"/>
        </w:tblCellMar>
      </w:tblPr>
      <w:tblGrid>
        <w:gridCol w:w="1180"/>
        <w:gridCol w:w="1036"/>
        <w:gridCol w:w="1040"/>
        <w:gridCol w:w="1149"/>
        <w:gridCol w:w="1149"/>
        <w:gridCol w:w="1152"/>
        <w:gridCol w:w="1021"/>
        <w:gridCol w:w="1021"/>
        <w:gridCol w:w="1457"/>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3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c>
          <w:tcPr>
            <w:tcW w:w="34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share of common stock(1)</w:t>
            </w:r>
          </w:p>
        </w:tc>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$24.33-$29.18</w:t>
            </w:r>
          </w:p>
        </w:tc>
        <w:tc>
          <w:tcPr>
            <w:tcW w:w="3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$23.02-$31.92</w:t>
            </w:r>
          </w:p>
        </w:tc>
      </w:tr>
      <w:tr>
        <w:trPr/>
        <w:tc>
          <w:tcPr>
            <w:tcW w:w="32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years(2)</w:t>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5.50-6.25</w:t>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5.81-6.25</w:t>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Volatility(3)</w:t>
            </w:r>
          </w:p>
        </w:tc>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82.78%-83.28%</w:t>
            </w:r>
          </w:p>
        </w:tc>
        <w:tc>
          <w:tcPr>
            <w:tcW w:w="34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84.87%-85.48%</w:t>
            </w:r>
          </w:p>
        </w:tc>
      </w:tr>
      <w:tr>
        <w:trPr/>
        <w:tc>
          <w:tcPr>
            <w:tcW w:w="32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rate(4)</w:t>
            </w:r>
          </w:p>
        </w:tc>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4.03%-4.25%</w:t>
            </w:r>
          </w:p>
        </w:tc>
        <w:tc>
          <w:tcPr>
            <w:tcW w:w="34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4.23%-4.49%</w:t>
            </w:r>
          </w:p>
        </w:tc>
      </w:tr>
      <w:tr>
        <w:trPr/>
        <w:tc>
          <w:tcPr>
            <w:tcW w:w="32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dividend(5)</w:t>
            </w:r>
          </w:p>
        </w:tc>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(1)Fair value of Class A common stock value was closing market price of the Class A common stock on the grant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(3)Volatility is calculated based on the historical volatility of ACM in the period equal to the expected term of each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(4)Risk-free interest rate is based on the yields of U.S. Treasury securities with maturities similar to the expected term of the share options in effect at the time of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Expected dividend is assumed to be nil as ACM has no history or expectation of paying a dividend on its Class A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stock-based compensation expense included in the condensed consolidated statements of comprehensive income:</w:t>
      </w:r>
    </w:p>
    <w:tbl>
      <w:tblPr>
        <w:tblW w:w="9613" w:type="dxa"/>
        <w:jc w:val="left"/>
        <w:tblInd w:w="0" w:type="dxa"/>
        <w:tblLayout w:type="fixed"/>
        <w:tblCellMar>
          <w:top w:w="28" w:type="dxa"/>
          <w:left w:w="28" w:type="dxa"/>
          <w:bottom w:w="28" w:type="dxa"/>
          <w:right w:w="28" w:type="dxa"/>
        </w:tblCellMar>
      </w:tblPr>
      <w:tblGrid>
        <w:gridCol w:w="1250"/>
        <w:gridCol w:w="1098"/>
        <w:gridCol w:w="1101"/>
        <w:gridCol w:w="333"/>
        <w:gridCol w:w="972"/>
        <w:gridCol w:w="172"/>
        <w:gridCol w:w="333"/>
        <w:gridCol w:w="1138"/>
        <w:gridCol w:w="172"/>
        <w:gridCol w:w="302"/>
        <w:gridCol w:w="1032"/>
        <w:gridCol w:w="156"/>
        <w:gridCol w:w="302"/>
        <w:gridCol w:w="1032"/>
        <w:gridCol w:w="220"/>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4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8,645 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t>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3,373 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12,082 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w:t>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40,792 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 INCOME TAXES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during which such rates are enacted.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considers all available evidence to determine whether it is more likely than not that some portion or all of the deferred tax assets will be realized. The ultimate realization of deferred tax assets is dependent upon the generation of future taxable income during the periods in which those temporary differences become realizable. Management considers the scheduled reversal of deferred tax liabilities (including the impact of available carryback and carry-forward periods) and projected taxable income in assessing the realizability of deferred tax assets. In making such judgments, significant </w:t>
      </w:r>
      <w:r>
        <w:rPr>
          <w:rFonts w:ascii="Times New Roman;serif" w:hAnsi="Times New Roman;serif"/>
          <w:b w:val="false"/>
          <w:color w:val="000000"/>
          <w:sz w:val="20"/>
        </w:rPr>
        <w:t>weight is given to evidence that can be objectively verified.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each reporting date, management considers new evidence, both positive and negative, that could affect its view of the future realization of deferred tax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the authoritative guidance on income taxes under which the Company may only recognize or continue to recognize tax positions that meet a more likely than not threshold. The Company recognizes accrued interest and penalties related to unrecognized tax benefits as a component of the 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had total unrecognized tax benefits of $16,774 as of September 30, 2025 and December 31, 2024. The Company does not expect any reversal of unrecognized tax benefits in the next 12 months. The Company will recognize interest and penalties, when they occur, related to uncertain tax provisions as a component of tax expense. For the nine months ended September 30, 2025 and 2024, $3,379 and $677 of interest and penalties were recognized,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effective tax rate differs from statutory rates of 21% for U.S. federal income tax purposes and 25% for Chinese income tax purposes due to the effects of the valuation allowance and certain permanent differences from book-tax differences, including stock based compensation, deemed dividend income under Subchapter F of the U.S. Internal Revenue Code of 1986, as amended (Subpart F), global intangible low-taxed income (GILTI) inclusions, and R&amp;D super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deduction. As a result, the Company recorded income tax expense of $6,733 and $17,712 during the nine months ended September 30, 2025 and 2024, respectively. The decrease in the Company's effective income tax rate for the nine months ended September 30, 2025 compared to the same period of the prior year was primarily due to a lower estimated effective tax rate for ACM Shanghai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files income tax returns in the United States and state and foreign jurisdictions. All tax returns will remain open for examination by the federal and state authorities for three and four years, respectively, from the date of utilization of any net operating loss or credits. Certain tax years are subject to foreign income tax examinations by tax authorities until the statute of limitations expire.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four mainland China subsidiaries, ACM Shanghai, ACM Wuxi, ACM Beijing, and ACM Lingang, are liable for mainland China corporate income taxes at the rates of 15%, 25%, 25% and 25%, respectively. Pursuant to the Corporate Income Tax Law of mainland China, the Company's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17 – 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$2,126 of open capital commitments to construction contracts.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Covenants in ACM Lingang’s Grant Contract for State-owned Construction Land Use Right in Shanghai City (Category of R&amp;D Headquarters and Industrial Projects) with the China (Shanghai) Pilot Free Trade Zone Lingang Special Area Administration require, among other things, that ACM Lingang pay liquidated damages in the event that within 6 years after the land use right is obtained in July 2020, the Company does not (i) generate a minimum specified amount of annual sales of products manufactured on the granted land or (ii) pay to mainland China at least RMB 157.6 million ($22,000) in annual total taxes (including value-added taxes, corporate income tax, personal income taxes, urban maintenance and construction taxes, education surcharges, stamp taxes, and vehicle and shipping taxes) as a result of operations in connection with the granted land.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contingencies, including legal proceedings, investigations, and environmental claims arising out of the normal course of business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pStyle w:val="TextBody"/>
        <w:bidi w:val="0"/>
        <w:spacing w:lineRule="auto" w:line="288" w:before="240" w:after="283"/>
        <w:jc w:val="both"/>
        <w:rPr/>
      </w:pPr>
      <w:r>
        <w:rPr>
          <w:rFonts w:ascii="Times New Roman;serif" w:hAnsi="Times New Roman;serif"/>
          <w:b w:val="false"/>
          <w:color w:val="000000"/>
          <w:sz w:val="20"/>
        </w:rPr>
        <w:t>In 2025, ACM's subsidiary, ACM Korea, received inquiries from the Seoul Customs Office regarding certain goods produced and shipped by ACM Korea to overseas markets. ACM Korea is fully cooperating, and has responded to follow-up requests for additional information. The investigation is on-going and in its preliminary stages, and as such, this matter is subject to uncertainties and further developments as it proceeds. Although the Company cannot predict the outcome of this, or any other related governmental inquiries or proceedings that may occur, the Company does not believe at this time it will have a material effect on its consolidated financial condition or results of operations.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has evaluated all other proceedings and claims that existed as of September 30, 2025. In the opinion of management, except with respect to the ACM Korea customs matter described above, no provision for liability nor disclosure was required as of September 30, 2025 related to any claim against the Company because: (a) there is not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no material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shd w:fill="FFFFFF" w:val="clear"/>
        </w:rPr>
        <w:t>NOTE 18 – SEGME</w:t>
      </w:r>
      <w:r>
        <w:rPr>
          <w:rFonts w:ascii="Times New Roman;serif" w:hAnsi="Times New Roman;serif"/>
          <w:b/>
          <w:color w:val="000000"/>
          <w:sz w:val="20"/>
        </w:rPr>
        <w:t>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development,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CODM assesses financial performance for the Company and decides how to allocate resources based on consolidated revenue, gross margin and income from operations. The CODM considers forecasts and actual results on a regular basis </w:t>
      </w:r>
      <w:r>
        <w:rPr>
          <w:rFonts w:ascii="Times New Roman;serif" w:hAnsi="Times New Roman;serif"/>
          <w:b w:val="false"/>
          <w:color w:val="000000"/>
          <w:sz w:val="20"/>
        </w:rPr>
        <w:t xml:space="preserve">when assessing the operating results and making resource decisions. </w:t>
      </w:r>
      <w:r>
        <w:rPr>
          <w:rFonts w:ascii="Times New Roman;serif" w:hAnsi="Times New Roman;serif"/>
          <w:b w:val="false"/>
          <w:color w:val="000000"/>
          <w:sz w:val="20"/>
          <w:shd w:fill="FFFFFF" w:val="clear"/>
        </w:rPr>
        <w:t xml:space="preserve">The allocation decisions include top down targets for research and development, sales and marketing, and general and administration expenses, and also specific budgets for research and development on new product initiatives, or sales and marketing to target specific customer or geographic regions.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expenses within income from operations, as well as within net income, include consolidated cost of revenue, sales and marketing, research and development, and general and administrative, and which are each separately presented in the Company’s condensed consolidated statements of comprehensive income. Other segment items within net income include interest income, interest expense, income (loss) from equity method investments and other expense, net, which are each separately presented on the Company’s condensed consolidated statements of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geographic location is determined by the location of customers’ facilities to which products were shipped. Long-lived assets consist primarily of property, plant and equipment, and right-of-use assets and are attributed to the geographic location in which the respective asset is located.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Long-lived assets by geographic region were as follows:</w:t>
      </w:r>
    </w:p>
    <w:tbl>
      <w:tblPr>
        <w:tblW w:w="5383" w:type="dxa"/>
        <w:jc w:val="left"/>
        <w:tblInd w:w="0" w:type="dxa"/>
        <w:tblLayout w:type="fixed"/>
        <w:tblCellMar>
          <w:top w:w="28" w:type="dxa"/>
          <w:left w:w="28" w:type="dxa"/>
          <w:bottom w:w="28" w:type="dxa"/>
          <w:right w:w="28" w:type="dxa"/>
        </w:tblCellMar>
      </w:tblPr>
      <w:tblGrid>
        <w:gridCol w:w="1004"/>
        <w:gridCol w:w="884"/>
        <w:gridCol w:w="886"/>
        <w:gridCol w:w="237"/>
        <w:gridCol w:w="946"/>
        <w:gridCol w:w="122"/>
        <w:gridCol w:w="228"/>
        <w:gridCol w:w="910"/>
        <w:gridCol w:w="166"/>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geography:</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Mainland China</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304,318 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287,888 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South Korea</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United States</w:t>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8,973 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322,284</w:t>
            </w: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307,219</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19 – STATUTORY SURPLUS RESERVE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$30,514 as of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30, 2025 and December 31, 2024, and is presented as statutory surplus reserve on the Company’s condensed consolidated balance sheets.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2024, or our 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 Annual Report, as well as those discussed below and elsewhere in this report, particularly in the section titled “Item 1A – Risk Factors” in Part II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limited liability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South Korea, and we conduct, through ACM Research, sales and marketing activities focused on sales of ACM Shanghai products in North America, Europe and certain regions in Asia outside mainland China.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74.6%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aforementioned facts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Report on Form 10-K for the year ended December 31, 2024.</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addition, in the ordinary course of business, ACM Shanghai is required to obtain certain operating permits and licenses necessary for us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w:t>
      </w:r>
      <w:r>
        <w:rPr>
          <w:color w:val="000000"/>
        </w:rPr>
        <w:t xml:space="preserve"> </w:t>
      </w:r>
      <w:r>
        <w:rPr>
          <w:rFonts w:ascii="Times New Roman;serif" w:hAnsi="Times New Roman;serif"/>
          <w:b w:val="false"/>
          <w:color w:val="000000"/>
          <w:sz w:val="20"/>
        </w:rPr>
        <w:t>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chart depicts our corporate organization as of September 30, 2025:</w:t>
      </w:r>
    </w:p>
    <w:p>
      <w:pPr>
        <w:pStyle w:val="TextBody"/>
        <w:bidi w:val="0"/>
        <w:spacing w:before="0" w:after="0"/>
        <w:jc w:val="both"/>
        <w:rPr/>
      </w:pPr>
      <w:r>
        <w:rPr/>
      </w:r>
    </w:p>
    <w:p>
      <w:pPr>
        <w:pStyle w:val="TextBody"/>
        <w:bidi w:val="0"/>
        <w:spacing w:before="0" w:after="0"/>
        <w:jc w:val="both"/>
        <w:rPr/>
      </w:pPr>
      <w:r>
        <w:rPr/>
        <w:drawing>
          <wp:inline distT="0" distB="0" distL="0" distR="0">
            <wp:extent cx="6286500" cy="2628900"/>
            <wp:effectExtent l="0" t="0" r="0" b="0"/>
            <wp:docPr id="3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 descr=""/>
                    <pic:cNvPicPr>
                      <a:picLocks noChangeAspect="1" noChangeArrowheads="1"/>
                    </pic:cNvPicPr>
                  </pic:nvPicPr>
                  <pic:blipFill>
                    <a:blip r:embed="rId3"/>
                    <a:stretch>
                      <a:fillRect/>
                    </a:stretch>
                  </pic:blipFill>
                  <pic:spPr bwMode="auto">
                    <a:xfrm>
                      <a:off x="0" y="0"/>
                      <a:ext cx="6286500" cy="2628900"/>
                    </a:xfrm>
                    <a:prstGeom prst="rect">
                      <a:avLst/>
                    </a:prstGeom>
                  </pic:spPr>
                </pic:pic>
              </a:graphicData>
            </a:graphic>
          </wp:inline>
        </w:drawing>
      </w:r>
      <w:bookmarkStart w:id="1" w:name="i-2"/>
      <w:bookmarkEnd w:id="1"/>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detailed description of how cash is transferred through our organization is set forth under “Note 2 – Summary of Significant Accounting Policies – Cash and Cash Equivalents” to our condensed consolidated financial statements included in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Holding Foreign Companies Accountable Act, or the HFCA Act, requires that the Public Company Accounting Oversight Board, or the PCAOB, determine whether it is unable to inspect or completely investigate registered public accounting firms located in a non-U.S. jurisdiction because of a position taken by one or more authorities in any non-U.S. jurisdiction. Under current regulations, if ACM Research were to be included on the U.S. Securities and Exchange Commission’s (“SEC”)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Report on Form 10-K for the year ended December 31, 2024 for more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South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South Korea, including the import of components, technology, and activities of U.S. personnel therein, may be further impacted by the addition of ACM Shanghai, ACM Korea and related entities to the BIS Entity List” in our Report on Form 10-K for the year ended December 31, 2024, for more information.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Committee on Foreign Investment in the United States (“CFIUS”) and OISP requirements, which together will limit cross-border investment opportunities, especially as they relate to China. See “Item 1A. Risk Factors—Regulatory Risks—The U.S. Government has implemented an outbound investment review mechanism, which may prevent us from taking advantage of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opportunities outside the United States that could otherwise be advantageous to our stockholders” in our Report on Form 10-K for the year ended December 31, 2024, for more information.</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Report on Form 10-K for the year ended December 31, 2024, in particular, the risk factors addressing the following issues:</w:t>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operations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jc w:val="both"/>
        <w:rPr/>
      </w:pPr>
      <w:r>
        <w:rPr>
          <w:color w:val="000000"/>
        </w:rPr>
        <w:t xml:space="preserve">• </w:t>
      </w:r>
      <w:r>
        <w:rPr>
          <w:rFonts w:ascii="Times New Roman;serif" w:hAnsi="Times New Roman;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Past statements and regulatory actions by mainland China central government authorities with respect to the use of VIEs and to data security and anti-monopoly concerns have not affected our ability to conduct our business operations in mainland China. For further information, see “Item 1A. Risk Factors —Risks Related to International Aspects of Our Business”</w:t>
      </w:r>
      <w:r>
        <w:rPr>
          <w:color w:val="000000"/>
        </w:rPr>
        <w:t xml:space="preserve"> </w:t>
      </w:r>
      <w:r>
        <w:rPr>
          <w:rFonts w:ascii="Times New Roman;serif" w:hAnsi="Times New Roman;serif"/>
          <w:b w:val="false"/>
          <w:color w:val="000000"/>
          <w:sz w:val="20"/>
        </w:rPr>
        <w:t>in our Report on Form 10-K for the year ended December 31, 2024, for more informa</w:t>
      </w:r>
      <w:r>
        <w:rPr>
          <w:rFonts w:ascii="Times New Roman;serif" w:hAnsi="Times New Roman;serif"/>
          <w:b w:val="false"/>
          <w:color w:val="000000"/>
          <w:sz w:val="24"/>
          <w:shd w:fill="FFFFFF" w:val="clear"/>
        </w:rPr>
        <w:t>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Since 2009 we have</w:t>
      </w:r>
      <w:r>
        <w:rPr>
          <w:color w:val="000000"/>
        </w:rPr>
        <w:t xml:space="preserve"> </w:t>
      </w:r>
      <w:r>
        <w:rPr>
          <w:rFonts w:ascii="Times New Roman;serif" w:hAnsi="Times New Roman;serif"/>
          <w:b w:val="false"/>
          <w:color w:val="000000"/>
          <w:sz w:val="20"/>
        </w:rPr>
        <w:t>delivered more than 1,350 tools to our customers, more than 1,155 of which we</w:t>
      </w:r>
      <w:r>
        <w:rPr>
          <w:rFonts w:ascii="Times New Roman;serif" w:hAnsi="Times New Roman;serif"/>
          <w:b w:val="false"/>
          <w:color w:val="000000"/>
          <w:sz w:val="20"/>
          <w:shd w:fill="FFFFFF" w:val="clear"/>
        </w:rPr>
        <w:t>re repeat orders or acceptances upon contractual performance obligations having been met and thereby generated revenue for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estimate, based on third-party reports and on customer and other information, that our current product portfolio addresses approximately $20 billion of the 2025 global wafer fab equipment, or WFE, market. By product line, we estimate an approximately $7.0 billion market opportunity is addressed by our wafer cleaning equipment, $5.1 billion by our Plasma-Enhanced Chemical Vapor Deposition, or PECVD, equipment, $2.9 billion by our Track equipment, $2.6 billion by our furnace equipment, $1.4 billion by our electro-chemical plating, or ECP, equipment, and more than $1.2 billion by our stress-free polishing, advanced packaging, wafer processing, and other processing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Gartner estimates the total worldwide semiconductor Wafer Fab Equipment ("WFE") market grew by 8.6% from $102.8 billion in 2023 to $111.6 billion in 2024, and estimates will increase by 4.7% to $116.8 billion in 2025. Gartner estimates China WFE grew by 21.1%, from $33.3 billion in 2023 to $40.4 billion in 2024, and is expected to decrease by 17.1% to $33.5 billion in 2025.</w:t>
      </w:r>
      <w:r>
        <w:rPr>
          <w:rFonts w:ascii="Times New Roman;serif" w:hAnsi="Times New Roman;serif"/>
          <w:b w:val="false"/>
          <w:color w:val="000000"/>
          <w:sz w:val="13"/>
        </w:rPr>
        <w:t>1</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ACM Shanghai Completed Private Offering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During the three months ended </w:t>
      </w:r>
      <w:r>
        <w:rPr>
          <w:rFonts w:ascii="Times New Roman;serif" w:hAnsi="Times New Roman;serif"/>
          <w:b w:val="false"/>
          <w:color w:val="000000"/>
          <w:sz w:val="20"/>
          <w:shd w:fill="FFFFFF" w:val="clear"/>
        </w:rPr>
        <w:t>September 30, 2025, ACM Research's principal operating subsidiary, ACM Shanghai issued 38,601,326 ordinary shares at RMB 116.11 per share, raising net proceeds of RMB 4.4 billion (approximately US $623.0 million) after deducting offering</w:t>
      </w:r>
      <w:r>
        <w:rPr>
          <w:rFonts w:ascii="Times New Roman;serif" w:hAnsi="Times New Roman;serif"/>
          <w:b w:val="false"/>
          <w:color w:val="000000"/>
          <w:sz w:val="20"/>
        </w:rPr>
        <w:t>-related expenses ("Private Offering"). The proceeds are intended to be used for research and development, capital expenditures and working capital. It is unlikely that any of such proceeds will be distributed to ACM Research. Following the Private Offering, ACM Research's equity interest in ACM Shanghai is</w:t>
      </w:r>
      <w:r>
        <w:rPr>
          <w:color w:val="000000"/>
          <w:shd w:fill="FFFFFF" w:val="clear"/>
        </w:rPr>
        <w:t xml:space="preserve"> </w:t>
      </w:r>
      <w:r>
        <w:rPr>
          <w:rFonts w:ascii="Times New Roman;serif" w:hAnsi="Times New Roman;serif"/>
          <w:b w:val="false"/>
          <w:color w:val="000000"/>
          <w:sz w:val="20"/>
          <w:shd w:fill="FFFFFF" w:val="clear"/>
        </w:rPr>
        <w:t xml:space="preserve">now 74.6%.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ACM Shanghai Dividend &amp; Share Repurchase</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months ended September 30, 2025, ACM </w:t>
      </w:r>
      <w:r>
        <w:rPr>
          <w:rFonts w:ascii="Times New Roman;serif" w:hAnsi="Times New Roman;serif"/>
          <w:b w:val="false"/>
          <w:color w:val="000000"/>
          <w:sz w:val="20"/>
          <w:shd w:fill="FFFFFF" w:val="clear"/>
        </w:rPr>
        <w:t xml:space="preserve">Research's principal operating subsidiary, ACM Shanghai, paid a cash dividend for a net </w:t>
      </w:r>
      <w:r>
        <w:rPr>
          <w:rFonts w:ascii="Times New Roman;serif" w:hAnsi="Times New Roman;serif"/>
          <w:b w:val="false"/>
          <w:color w:val="000000"/>
          <w:sz w:val="20"/>
        </w:rPr>
        <w:t>total of approximately RMB 264.9 million (approximately USD $36.8 million) to the stockholders of ACM Shanghai, including ACM Research, which owned 81.1% of the outstanding shares of ACM Shanghai at the time. ACM Research intends to use the net proceeds for working capital and general corporate purposes.</w:t>
      </w:r>
      <w:r>
        <w:rPr>
          <w:color w:val="000000"/>
        </w:rPr>
        <w:t xml:space="preserve"> </w:t>
      </w:r>
      <w:r>
        <w:rPr>
          <w:rFonts w:ascii="Times New Roman;serif" w:hAnsi="Times New Roman;serif"/>
          <w:b w:val="false"/>
          <w:color w:val="000000"/>
          <w:sz w:val="20"/>
        </w:rPr>
        <w:t>The cash portion of the dividend paid by ACM Shanghai to non-controlling interests was $7.6 million (note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ACM Shanghai repurchased 443,400 of its shares traded on the Shanghai Stock Exchange for total consideration of $7.0 million. These shares have not been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Mainland China Government Research and Development Funding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Since 2008, ACM Shanghai has received various government grants for the development and commercialization of certain technologies, and the development of the R&amp;D and production center in the Lingang Special Area of Shanghai.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governmental grants contain certain operating conditions, and we are required to complete a government due diligence process once the project is complete. The grants therefore are recorded as long-term liabilities upon receipt, although we are not required to return any funds received by ACM Shanghai.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Grant amounts are recognized in our condensed consolidated statements of comprehensive income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Government subsidies relating to current expenses are recorded as reductions of those expenses in the periods in which the current expenses are recorded. Such subsidies included in our condensed consolidated statements of comprehensive income were $1.7 million and $0.1 million, in the three months ended September 30, 2025 and 2024, respectively, and $2.5 million and $0.7 million in the nine months ended September 30, 2025 and 2024, respectively. We received $1.4 million cash funding from government subsidies in the three and nine months ended September 30, 2025. However, we did not receive any cash funding from government subsidies for the three and nine months ended September 30,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Government subsidies related to depreciable assets are credited to income over the useful lives of the related assets for which the grant was received. Government subsidies related to VAT reduction are credited to income in the period received. Such subsidies included in our condensed consolidated statements of comprehensive income were less than $0.1 million and $0.1 million, in the three months ended September 30, 2025 and 2024, respectively, and $0.7 million and $1.9 million in the nine months ended September 30, 2025 and 2024, respectively.</w:t>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 information contains statistical data and estimates, including forecasts, that are based on information provided by Gartner®, "Forecast: Semiconductor Capital Spending, Wafer Fab Equipment and Capacity, Worldwide, 2Q25 Update, Bob Johnson et al., 29 July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discussion of recent accounting pronouncements is included in our Report on Form 10-K for the year ended December 31, 2024 and is updated in note 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240" w:after="283"/>
        <w:jc w:val="both"/>
        <w:rPr/>
      </w:pPr>
      <w:r>
        <w:rPr>
          <w:rFonts w:ascii="Times New Roman;serif" w:hAnsi="Times New Roman;serif"/>
          <w:b w:val="false"/>
          <w:color w:val="000000"/>
          <w:sz w:val="20"/>
        </w:rPr>
        <w:t>In 2019 ACM Shanghai sold a total number of shares representing 8.3% of its outstanding ACM Shanghai shares, after which ACM Research held the remaining 91.7% of ACM Shanghai’s outstanding shares. In 2021 ACM Shanghai sold a total number of shares representing an additional 10% of its outstanding ACM Shanghai shares in its STAR IPO, after which ACM Research held the remaining 82.5% of ACM Shanghai’s outstanding share</w:t>
      </w:r>
      <w:r>
        <w:rPr>
          <w:rFonts w:ascii="Times New Roman;serif" w:hAnsi="Times New Roman;serif"/>
          <w:b w:val="false"/>
          <w:color w:val="000000"/>
          <w:sz w:val="20"/>
          <w:shd w:fill="FFFFFF" w:val="clear"/>
        </w:rPr>
        <w:t xml:space="preserve">s. ACM Research's ownership has since </w:t>
      </w:r>
      <w:r>
        <w:rPr>
          <w:rFonts w:ascii="Times New Roman;serif" w:hAnsi="Times New Roman;serif"/>
          <w:b w:val="false"/>
          <w:color w:val="000000"/>
          <w:sz w:val="20"/>
        </w:rPr>
        <w:t>declined to 74.6% due to the Private Offering</w:t>
      </w:r>
      <w:r>
        <w:rPr>
          <w:rFonts w:ascii="Times New Roman;serif" w:hAnsi="Times New Roman;serif"/>
          <w:b w:val="false"/>
          <w:color w:val="000000"/>
          <w:sz w:val="20"/>
          <w:shd w:fill="FFFFFF" w:val="clear"/>
        </w:rPr>
        <w:t>. As a result, we reflect the portion of our net income allocable to the minority holders of ACM Shanghai sha</w:t>
      </w:r>
      <w:r>
        <w:rPr>
          <w:rFonts w:ascii="Times New Roman;serif" w:hAnsi="Times New Roman;serif"/>
          <w:b w:val="false"/>
          <w:color w:val="000000"/>
          <w:sz w:val="20"/>
        </w:rPr>
        <w:t>res as net income attributable to non-controlling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our condensed consolidated financial statements in Part I, Item 1 of this report and in note 2 to the Consolidated Financial Statements in Part II, Item 8 in our Report on Form 10-K for the year ended December 31, 2024, which describes the significant accounting policies and methods used in the preparation of the our financial statements. There have been no material changes to the critical accounting estimates included in our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following table sets forth our results of operations for the periods presented,</w:t>
      </w:r>
      <w:r>
        <w:rPr>
          <w:color w:val="000000"/>
        </w:rPr>
        <w:t xml:space="preserve"> </w:t>
      </w:r>
      <w:r>
        <w:rPr>
          <w:rFonts w:ascii="Times New Roman;serif" w:hAnsi="Times New Roman;serif"/>
          <w:b w:val="false"/>
          <w:color w:val="000000"/>
          <w:sz w:val="20"/>
        </w:rPr>
        <w:t>as percentages of revenue:</w:t>
      </w:r>
    </w:p>
    <w:tbl>
      <w:tblPr>
        <w:tblW w:w="10205" w:type="dxa"/>
        <w:jc w:val="left"/>
        <w:tblInd w:w="0" w:type="dxa"/>
        <w:tblLayout w:type="fixed"/>
        <w:tblCellMar>
          <w:top w:w="28" w:type="dxa"/>
          <w:left w:w="28" w:type="dxa"/>
          <w:bottom w:w="28" w:type="dxa"/>
          <w:right w:w="28" w:type="dxa"/>
        </w:tblCellMar>
      </w:tblPr>
      <w:tblGrid>
        <w:gridCol w:w="1464"/>
        <w:gridCol w:w="1290"/>
        <w:gridCol w:w="1316"/>
        <w:gridCol w:w="352"/>
        <w:gridCol w:w="264"/>
        <w:gridCol w:w="520"/>
        <w:gridCol w:w="209"/>
        <w:gridCol w:w="209"/>
        <w:gridCol w:w="209"/>
        <w:gridCol w:w="352"/>
        <w:gridCol w:w="264"/>
        <w:gridCol w:w="520"/>
        <w:gridCol w:w="109"/>
        <w:gridCol w:w="109"/>
        <w:gridCol w:w="109"/>
        <w:gridCol w:w="352"/>
        <w:gridCol w:w="264"/>
        <w:gridCol w:w="496"/>
        <w:gridCol w:w="199"/>
        <w:gridCol w:w="199"/>
        <w:gridCol w:w="199"/>
        <w:gridCol w:w="352"/>
        <w:gridCol w:w="264"/>
        <w:gridCol w:w="584"/>
      </w:tblGrid>
      <w:tr>
        <w:trPr/>
        <w:tc>
          <w:tcPr>
            <w:tcW w:w="146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margin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Three Months Ended September 30, 2025 and 2024</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442"/>
        <w:gridCol w:w="1252"/>
        <w:gridCol w:w="1258"/>
        <w:gridCol w:w="236"/>
        <w:gridCol w:w="926"/>
        <w:gridCol w:w="121"/>
        <w:gridCol w:w="121"/>
        <w:gridCol w:w="121"/>
        <w:gridCol w:w="121"/>
        <w:gridCol w:w="236"/>
        <w:gridCol w:w="926"/>
        <w:gridCol w:w="121"/>
        <w:gridCol w:w="109"/>
        <w:gridCol w:w="109"/>
        <w:gridCol w:w="109"/>
        <w:gridCol w:w="317"/>
        <w:gridCol w:w="299"/>
        <w:gridCol w:w="619"/>
        <w:gridCol w:w="109"/>
        <w:gridCol w:w="109"/>
        <w:gridCol w:w="109"/>
        <w:gridCol w:w="276"/>
        <w:gridCol w:w="947"/>
        <w:gridCol w:w="212"/>
      </w:tblGrid>
      <w:tr>
        <w:trPr/>
        <w:tc>
          <w:tcPr>
            <w:tcW w:w="144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20,585 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25,253 </w:t>
            </w:r>
          </w:p>
        </w:tc>
        <w:tc>
          <w:tcPr>
            <w:tcW w:w="2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6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19,346 </w:t>
            </w:r>
          </w:p>
        </w:tc>
        <w:tc>
          <w:tcPr>
            <w:tcW w:w="2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269,160 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203,976 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6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65,184 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three months ended September 30, 2025 as compared to the same period in 2024 reflects higher sales of single wafer cleaning, Tahoe and semi-critical cleaning equipment, ECP (front-end and packaging), furnace and other technologies, and Advanced packaging (excluding ECP), services and spares. We attribute the increase to a longer term commitment by our mainland China-based customers to increase production capacity to achieve a greater share of the global semiconductor market together with the market share changes and product cycles.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 and Gross Margin</w:t>
      </w:r>
    </w:p>
    <w:tbl>
      <w:tblPr>
        <w:tblW w:w="7971" w:type="dxa"/>
        <w:jc w:val="left"/>
        <w:tblInd w:w="0" w:type="dxa"/>
        <w:tblLayout w:type="fixed"/>
        <w:tblCellMar>
          <w:top w:w="28" w:type="dxa"/>
          <w:left w:w="28" w:type="dxa"/>
          <w:bottom w:w="28" w:type="dxa"/>
          <w:right w:w="28" w:type="dxa"/>
        </w:tblCellMar>
      </w:tblPr>
      <w:tblGrid>
        <w:gridCol w:w="506"/>
        <w:gridCol w:w="444"/>
        <w:gridCol w:w="446"/>
        <w:gridCol w:w="232"/>
        <w:gridCol w:w="908"/>
        <w:gridCol w:w="298"/>
        <w:gridCol w:w="119"/>
        <w:gridCol w:w="119"/>
        <w:gridCol w:w="119"/>
        <w:gridCol w:w="232"/>
        <w:gridCol w:w="792"/>
        <w:gridCol w:w="298"/>
        <w:gridCol w:w="109"/>
        <w:gridCol w:w="109"/>
        <w:gridCol w:w="109"/>
        <w:gridCol w:w="263"/>
        <w:gridCol w:w="263"/>
        <w:gridCol w:w="659"/>
        <w:gridCol w:w="109"/>
        <w:gridCol w:w="109"/>
        <w:gridCol w:w="109"/>
        <w:gridCol w:w="418"/>
        <w:gridCol w:w="215"/>
        <w:gridCol w:w="986"/>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156,011 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99,142 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56,869</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104,834 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8,315</w:t>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2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9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bps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Cost of revenue and gross profit increased due to the increased sales volume, and a decrease in gross margin. The change in gross margin versus the prior-year period was primarily due to revenue mix between product categories and a higher provision for inventory. Gross margin may vary from period to period, primarily related to the level of utilization, the timing and mix of revenue, the impact of foreign currency fluctuations, inventory provisions and other adjustments. We expect gross margin to be between 42.0% and 48.0% for the foreseeable future.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9593" w:type="dxa"/>
        <w:jc w:val="left"/>
        <w:tblInd w:w="0" w:type="dxa"/>
        <w:tblLayout w:type="fixed"/>
        <w:tblCellMar>
          <w:top w:w="28" w:type="dxa"/>
          <w:left w:w="28" w:type="dxa"/>
          <w:bottom w:w="28" w:type="dxa"/>
          <w:right w:w="28" w:type="dxa"/>
        </w:tblCellMar>
      </w:tblPr>
      <w:tblGrid>
        <w:gridCol w:w="1093"/>
        <w:gridCol w:w="960"/>
        <w:gridCol w:w="963"/>
        <w:gridCol w:w="273"/>
        <w:gridCol w:w="934"/>
        <w:gridCol w:w="141"/>
        <w:gridCol w:w="141"/>
        <w:gridCol w:w="141"/>
        <w:gridCol w:w="141"/>
        <w:gridCol w:w="273"/>
        <w:gridCol w:w="934"/>
        <w:gridCol w:w="141"/>
        <w:gridCol w:w="109"/>
        <w:gridCol w:w="109"/>
        <w:gridCol w:w="109"/>
        <w:gridCol w:w="263"/>
        <w:gridCol w:w="263"/>
        <w:gridCol w:w="659"/>
        <w:gridCol w:w="109"/>
        <w:gridCol w:w="109"/>
        <w:gridCol w:w="109"/>
        <w:gridCol w:w="314"/>
        <w:gridCol w:w="1076"/>
        <w:gridCol w:w="229"/>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15,759 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84,226 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60,650 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6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23,576 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Sales and marketing expense</w:t>
      </w:r>
      <w:r>
        <w:rPr>
          <w:color w:val="000000"/>
          <w:shd w:fill="FFFFFF" w:val="clear"/>
        </w:rPr>
        <w:t xml:space="preserve"> </w:t>
      </w:r>
      <w:r>
        <w:rPr>
          <w:rFonts w:ascii="Times New Roman;serif" w:hAnsi="Times New Roman;serif"/>
          <w:b w:val="false"/>
          <w:color w:val="000000"/>
          <w:sz w:val="20"/>
          <w:shd w:fill="FFFFFF" w:val="clear"/>
        </w:rPr>
        <w:t xml:space="preserve">increased </w:t>
      </w:r>
      <w:r>
        <w:rPr>
          <w:rFonts w:ascii="Times New Roman;serif" w:hAnsi="Times New Roman;serif"/>
          <w:b w:val="false"/>
          <w:color w:val="000000"/>
          <w:sz w:val="20"/>
        </w:rPr>
        <w:t>due to a $5.1 million increase in commissions, professional services, travel and entertainment, outside services and other expenses and a $2.5 million increase in personnel costs, offset by a $1.0 million decrease in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compensation of personnel associated with pre-sale and after-sale services and support and other sales and marketing activities, including stock-based compensation;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sales commissions paid to independent sales representatives;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fees paid to sales consultants;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cost of trade shows;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costs of tools built for promotional purposes for potential new customers;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travel and entertainment; and</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rent and utilities.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for the foreseeable future, sales and marketing expenses will increase in dollars, as we incur additional costs associated with growing our customer base in mainland China and regions outside of mainland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pPr>
      <w:r>
        <w:rPr>
          <w:rFonts w:ascii="Times New Roman;serif" w:hAnsi="Times New Roman;serif"/>
          <w:b w:val="false"/>
          <w:i/>
          <w:color w:val="000000"/>
          <w:sz w:val="20"/>
          <w:shd w:fill="FFFFFF" w:val="clear"/>
        </w:rPr>
        <w:t>Res</w:t>
      </w:r>
      <w:r>
        <w:rPr>
          <w:rFonts w:ascii="Times New Roman;serif" w:hAnsi="Times New Roman;serif"/>
          <w:b w:val="false"/>
          <w:i/>
          <w:color w:val="000000"/>
          <w:sz w:val="20"/>
        </w:rPr>
        <w:t>earch and development expense</w:t>
      </w:r>
      <w:r>
        <w:rPr>
          <w:color w:val="000000"/>
        </w:rPr>
        <w:t xml:space="preserve"> </w:t>
      </w:r>
      <w:r>
        <w:rPr>
          <w:rFonts w:ascii="Times New Roman;serif" w:hAnsi="Times New Roman;serif"/>
          <w:b w:val="false"/>
          <w:color w:val="000000"/>
          <w:sz w:val="20"/>
        </w:rPr>
        <w:t>increased due to an increase of $8.4 million in costs of components for tools built for product development purposes, an increase of $4.0 million in personnel and travel and entertainment costs, and a net increase of $0.9 million in depreciation, outside services and other costs, offset by a decrease of $1.5 million in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Research and development expense represented 14.7% and 13.6% of our revenue in the three months ended September 30, 2025 and 2024, respectively. Excluding grant amounts received from mainland China governmental authorities (see "Mainland China Government Research and Development Funding’’), gross research and development expense totaled $41.4 million, or 15.4% of total revenue, in the three months ended September 30, 2025 as compared to $27.9 million, or 13.7% of revenue, in the corresponding period in 2024.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 consists primarily of:</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compensation of personnel associated with our research and development activities, including stock based compensation;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costs of components and other research and development supplies;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costs of tools built for product development purposes;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travel expense associated with the research of technical requirements for product development purposes and testing of concepts under consideration;</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amortization of costs of software used for research and development purposes; and</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rent and utilities.</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erif" w:hAnsi="Times New Roman;serif"/>
          <w:b w:val="false"/>
          <w:color w:val="000000"/>
          <w:sz w:val="20"/>
        </w:rPr>
        <w:t>We expect that, for the foreseeable future, research and development expenses will increase in dollars, as we incur additio</w:t>
      </w:r>
      <w:r>
        <w:rPr>
          <w:rFonts w:ascii="Times New Roman;serif" w:hAnsi="Times New Roman;serif"/>
          <w:b w:val="false"/>
          <w:color w:val="000000"/>
          <w:sz w:val="20"/>
          <w:shd w:fill="FFFFFF" w:val="clear"/>
        </w:rPr>
        <w:t>nal costs to expand our product portfolio to address additional production steps and expand our research and development team to new regions.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General and administrative expense </w:t>
      </w:r>
      <w:r>
        <w:rPr>
          <w:rFonts w:ascii="Times New Roman;serif" w:hAnsi="Times New Roman;serif"/>
          <w:b w:val="false"/>
          <w:color w:val="000000"/>
          <w:sz w:val="20"/>
          <w:shd w:fill="FFFFFF" w:val="clear"/>
        </w:rPr>
        <w:t xml:space="preserve">increased primarily reflecting a $2.7 million net increase in personnel costs, professional services costs, and other costs related to general and administrative expenses and a $4.2 million increase in allowance for credit losses offset by a $1.7 million decrease in stock-based compensation.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 and administrative expense consists primarily of:</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0"/>
          <w:shd w:fill="FFFFFF" w:val="clear"/>
        </w:rPr>
        <w:t>compensation of executive, accounting and finance, human resources, information technology, and other administrative personnel, including stock-based compensation;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professional fees, including accounting and corporate legal and defense fees;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 xml:space="preserve">other corporate expenses including insurance; </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allowance for credit losses; and</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rent and utilities.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that, for the foreseeable future, general and administrative expenses will increase in dollars, as we incur additional costs associated with growing our business, operating ACM Research, as a public company in the United States and operating ACM Shanghai as a public company in mainland China.</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Interest expense, and Other expense, net</w:t>
      </w:r>
    </w:p>
    <w:tbl>
      <w:tblPr>
        <w:tblW w:w="8343" w:type="dxa"/>
        <w:jc w:val="left"/>
        <w:tblInd w:w="0" w:type="dxa"/>
        <w:tblLayout w:type="fixed"/>
        <w:tblCellMar>
          <w:top w:w="28" w:type="dxa"/>
          <w:left w:w="28" w:type="dxa"/>
          <w:bottom w:w="28" w:type="dxa"/>
          <w:right w:w="28" w:type="dxa"/>
        </w:tblCellMar>
      </w:tblPr>
      <w:tblGrid>
        <w:gridCol w:w="619"/>
        <w:gridCol w:w="543"/>
        <w:gridCol w:w="547"/>
        <w:gridCol w:w="280"/>
        <w:gridCol w:w="918"/>
        <w:gridCol w:w="144"/>
        <w:gridCol w:w="144"/>
        <w:gridCol w:w="144"/>
        <w:gridCol w:w="144"/>
        <w:gridCol w:w="280"/>
        <w:gridCol w:w="918"/>
        <w:gridCol w:w="144"/>
        <w:gridCol w:w="109"/>
        <w:gridCol w:w="109"/>
        <w:gridCol w:w="109"/>
        <w:gridCol w:w="293"/>
        <w:gridCol w:w="293"/>
        <w:gridCol w:w="659"/>
        <w:gridCol w:w="109"/>
        <w:gridCol w:w="109"/>
        <w:gridCol w:w="109"/>
        <w:gridCol w:w="348"/>
        <w:gridCol w:w="1017"/>
        <w:gridCol w:w="2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8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14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w:t>
            </w:r>
          </w:p>
        </w:tc>
        <w:tc>
          <w:tcPr>
            <w:tcW w:w="1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income consists of interest earned on our cash and cash equivalents, restricted cash accounts, and time deposits and interest expense is incurred on our borrowings. The change in interest income is a result of changes in balances of cash, cash equivalents, time deposits, while the change in interest expense is due to borrowings, together with changes in interest rates on the respective balances.</w:t>
      </w:r>
    </w:p>
    <w:p>
      <w:pPr>
        <w:pStyle w:val="TextBody"/>
        <w:bidi w:val="0"/>
        <w:spacing w:lineRule="auto" w:line="288" w:before="240" w:after="283"/>
        <w:jc w:val="both"/>
        <w:rPr/>
      </w:pPr>
      <w:r>
        <w:rPr>
          <w:rFonts w:ascii="Times New Roman;serif" w:hAnsi="Times New Roman;serif"/>
          <w:b w:val="false"/>
          <w:color w:val="000000"/>
          <w:sz w:val="20"/>
          <w:shd w:fill="FFFFFF" w:val="clear"/>
        </w:rPr>
        <w:t>Other expense, net primarily reflects (a) loss recognized from the impact of exchange rates on our working-capital whi</w:t>
      </w:r>
      <w:r>
        <w:rPr>
          <w:rFonts w:ascii="Times New Roman;serif" w:hAnsi="Times New Roman;serif"/>
          <w:b w:val="false"/>
          <w:color w:val="000000"/>
          <w:sz w:val="20"/>
        </w:rPr>
        <w:t>ch was $(4.0) million for the three months ended September 30, 2025 compared to $(5.4) million recog</w:t>
      </w:r>
      <w:r>
        <w:rPr>
          <w:rFonts w:ascii="Times New Roman;serif" w:hAnsi="Times New Roman;serif"/>
          <w:b w:val="false"/>
          <w:color w:val="000000"/>
          <w:sz w:val="20"/>
          <w:shd w:fill="FFFFFF" w:val="clear"/>
        </w:rPr>
        <w:t xml:space="preserve">nized from the impact of exchange rates on our working capital for the three months ended September 30, 2024, and (b) government subsidies, as described under “Mainland China Government Research and Development Funding” above, and other factors.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short-term investment, and income from equity method investments</w:t>
      </w:r>
    </w:p>
    <w:tbl>
      <w:tblPr>
        <w:tblW w:w="10205" w:type="dxa"/>
        <w:jc w:val="left"/>
        <w:tblInd w:w="0" w:type="dxa"/>
        <w:tblLayout w:type="fixed"/>
        <w:tblCellMar>
          <w:top w:w="28" w:type="dxa"/>
          <w:left w:w="28" w:type="dxa"/>
          <w:bottom w:w="28" w:type="dxa"/>
          <w:right w:w="28" w:type="dxa"/>
        </w:tblCellMar>
      </w:tblPr>
      <w:tblGrid>
        <w:gridCol w:w="1252"/>
        <w:gridCol w:w="1101"/>
        <w:gridCol w:w="1105"/>
        <w:gridCol w:w="356"/>
        <w:gridCol w:w="679"/>
        <w:gridCol w:w="181"/>
        <w:gridCol w:w="181"/>
        <w:gridCol w:w="181"/>
        <w:gridCol w:w="181"/>
        <w:gridCol w:w="353"/>
        <w:gridCol w:w="779"/>
        <w:gridCol w:w="181"/>
        <w:gridCol w:w="109"/>
        <w:gridCol w:w="109"/>
        <w:gridCol w:w="109"/>
        <w:gridCol w:w="383"/>
        <w:gridCol w:w="383"/>
        <w:gridCol w:w="655"/>
        <w:gridCol w:w="109"/>
        <w:gridCol w:w="109"/>
        <w:gridCol w:w="109"/>
        <w:gridCol w:w="371"/>
        <w:gridCol w:w="952"/>
        <w:gridCol w:w="277"/>
      </w:tblGrid>
      <w:tr>
        <w:trPr/>
        <w:tc>
          <w:tcPr>
            <w:tcW w:w="1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45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 on short term investments</w:t>
            </w:r>
          </w:p>
        </w:tc>
        <w:tc>
          <w:tcPr>
            <w:tcW w:w="35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 term investments</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4,417.2 </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65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Realized gain on short-term investments includes dividends received during the period. The unrealized gain on short-term investments is based on a change in the market value of ACM Shanghai’s short-term investments (note 12). Income from equity investments is due to an increase of net income from investments in affiliates (note 13).</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Income Tax Expense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889" w:type="dxa"/>
        <w:jc w:val="left"/>
        <w:tblInd w:w="0" w:type="dxa"/>
        <w:tblLayout w:type="fixed"/>
        <w:tblCellMar>
          <w:top w:w="28" w:type="dxa"/>
          <w:left w:w="28" w:type="dxa"/>
          <w:bottom w:w="28" w:type="dxa"/>
          <w:right w:w="28" w:type="dxa"/>
        </w:tblCellMar>
      </w:tblPr>
      <w:tblGrid>
        <w:gridCol w:w="625"/>
        <w:gridCol w:w="550"/>
        <w:gridCol w:w="551"/>
        <w:gridCol w:w="279"/>
        <w:gridCol w:w="913"/>
        <w:gridCol w:w="144"/>
        <w:gridCol w:w="144"/>
        <w:gridCol w:w="144"/>
        <w:gridCol w:w="144"/>
        <w:gridCol w:w="279"/>
        <w:gridCol w:w="913"/>
        <w:gridCol w:w="203"/>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tax expense for the three months ended September 30, 2025 primarily resulted from tax effect of a decrease in our effective income tax rate applied to operating profit for the period. The decrease in our effective income tax rate for the nine months ended September 30, 2025 compared to the same period of the prior year was primarily due to a lower estimated effective tax rate for ACM Shanghai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differs from statutory rates of 21% for U.S. federal income tax purposes and 25% for mainland China income tax purposes due to the effects of the valuation allowance and certain permanent differences as it pertains to book-tax differences in the treatment of stock-based compensation and non-U.S. research expenses. Our four mainland China subsidiaries, ACM Shanghai, ACM Wuxi, ACM Beijing, and ACM Lingang, are liable for mainland China corporate income taxes at the rates of 15%, 25%, 25%, and 25%, respectively. Pursuant to the Corporate Income Tax Law of mainland China, our mainland China subsidiaries generally would be liable for mainland China corporate income taxes at a rate of 25%. According to Guoshuihan 2009 No. 203, an entity certified as an “advanced and new technology enterprise” is entitled to a preferential income tax rate of 15%. ACM Shanghai was certified as an “advanced and new technology enterprise” in 2012 and again in 2016, 2018, 2021,and 2024 effective until December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01"/>
        <w:gridCol w:w="1231"/>
        <w:gridCol w:w="1236"/>
        <w:gridCol w:w="273"/>
        <w:gridCol w:w="937"/>
        <w:gridCol w:w="141"/>
        <w:gridCol w:w="141"/>
        <w:gridCol w:w="141"/>
        <w:gridCol w:w="141"/>
        <w:gridCol w:w="273"/>
        <w:gridCol w:w="801"/>
        <w:gridCol w:w="141"/>
        <w:gridCol w:w="109"/>
        <w:gridCol w:w="109"/>
        <w:gridCol w:w="109"/>
        <w:gridCol w:w="263"/>
        <w:gridCol w:w="260"/>
        <w:gridCol w:w="642"/>
        <w:gridCol w:w="109"/>
        <w:gridCol w:w="109"/>
        <w:gridCol w:w="109"/>
        <w:gridCol w:w="327"/>
        <w:gridCol w:w="956"/>
        <w:gridCol w:w="246"/>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8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6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2025, ACM Research owns 74.6% of ACM Shanghai’s (note 1) outstanding shares, which is reflected in our condensed consolidated financial statements. We reflect the portion of net income allocable to the non-controlling interest holders of ACM Shanghai shares as net income attributable to non-controlling interests.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9992" w:type="dxa"/>
        <w:jc w:val="left"/>
        <w:tblInd w:w="0" w:type="dxa"/>
        <w:tblLayout w:type="fixed"/>
        <w:tblCellMar>
          <w:top w:w="28" w:type="dxa"/>
          <w:left w:w="28" w:type="dxa"/>
          <w:bottom w:w="28" w:type="dxa"/>
          <w:right w:w="28" w:type="dxa"/>
        </w:tblCellMar>
      </w:tblPr>
      <w:tblGrid>
        <w:gridCol w:w="1217"/>
        <w:gridCol w:w="1069"/>
        <w:gridCol w:w="1073"/>
        <w:gridCol w:w="285"/>
        <w:gridCol w:w="834"/>
        <w:gridCol w:w="147"/>
        <w:gridCol w:w="147"/>
        <w:gridCol w:w="147"/>
        <w:gridCol w:w="147"/>
        <w:gridCol w:w="285"/>
        <w:gridCol w:w="976"/>
        <w:gridCol w:w="147"/>
        <w:gridCol w:w="109"/>
        <w:gridCol w:w="109"/>
        <w:gridCol w:w="109"/>
        <w:gridCol w:w="293"/>
        <w:gridCol w:w="293"/>
        <w:gridCol w:w="659"/>
        <w:gridCol w:w="109"/>
        <w:gridCol w:w="109"/>
        <w:gridCol w:w="109"/>
        <w:gridCol w:w="323"/>
        <w:gridCol w:w="1060"/>
        <w:gridCol w:w="236"/>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17,089 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foreign currency translation adjustment is primarily based on the net effect of RMB to 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9"/>
        <w:gridCol w:w="1300"/>
        <w:gridCol w:w="1305"/>
        <w:gridCol w:w="253"/>
        <w:gridCol w:w="867"/>
        <w:gridCol w:w="131"/>
        <w:gridCol w:w="131"/>
        <w:gridCol w:w="131"/>
        <w:gridCol w:w="131"/>
        <w:gridCol w:w="253"/>
        <w:gridCol w:w="867"/>
        <w:gridCol w:w="131"/>
        <w:gridCol w:w="109"/>
        <w:gridCol w:w="109"/>
        <w:gridCol w:w="109"/>
        <w:gridCol w:w="263"/>
        <w:gridCol w:w="258"/>
        <w:gridCol w:w="625"/>
        <w:gridCol w:w="109"/>
        <w:gridCol w:w="109"/>
        <w:gridCol w:w="109"/>
        <w:gridCol w:w="305"/>
        <w:gridCol w:w="892"/>
        <w:gridCol w:w="229"/>
      </w:tblGrid>
      <w:tr>
        <w:trPr/>
        <w:tc>
          <w:tcPr>
            <w:tcW w:w="14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08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6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 was comparable period over period.</w:t>
      </w:r>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Comparison of Nine Months Ended September 30, 2025 and 2024</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492"/>
        <w:gridCol w:w="1297"/>
        <w:gridCol w:w="1303"/>
        <w:gridCol w:w="231"/>
        <w:gridCol w:w="906"/>
        <w:gridCol w:w="119"/>
        <w:gridCol w:w="119"/>
        <w:gridCol w:w="119"/>
        <w:gridCol w:w="119"/>
        <w:gridCol w:w="231"/>
        <w:gridCol w:w="906"/>
        <w:gridCol w:w="119"/>
        <w:gridCol w:w="109"/>
        <w:gridCol w:w="109"/>
        <w:gridCol w:w="109"/>
        <w:gridCol w:w="263"/>
        <w:gridCol w:w="258"/>
        <w:gridCol w:w="623"/>
        <w:gridCol w:w="109"/>
        <w:gridCol w:w="109"/>
        <w:gridCol w:w="109"/>
        <w:gridCol w:w="279"/>
        <w:gridCol w:w="958"/>
        <w:gridCol w:w="209"/>
      </w:tblGrid>
      <w:tr>
        <w:trPr/>
        <w:tc>
          <w:tcPr>
            <w:tcW w:w="14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4092"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42,424 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99,362 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36,137 </w:t>
            </w:r>
          </w:p>
        </w:tc>
        <w:tc>
          <w:tcPr>
            <w:tcW w:w="2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19,671 </w:t>
            </w:r>
          </w:p>
        </w:tc>
        <w:tc>
          <w:tcPr>
            <w:tcW w:w="20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558,647 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98,232 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revenue reflects higher sales of single wafer cleaning, Tahoe and semi-critical cleaning equipment, and ECP (front-end and packaging), furnace and other technologies and Advanced packaging (excluding ECP), services and spares. We attribute the increase to a longer-term commitment by our mainland China-based customers to increase production capacity to achieve a greater share of the global semiconductor market together with the market share changes and product cycles.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 and Gross Margin</w:t>
      </w:r>
    </w:p>
    <w:tbl>
      <w:tblPr>
        <w:tblW w:w="7853" w:type="dxa"/>
        <w:jc w:val="left"/>
        <w:tblInd w:w="0" w:type="dxa"/>
        <w:tblLayout w:type="fixed"/>
        <w:tblCellMar>
          <w:top w:w="28" w:type="dxa"/>
          <w:left w:w="28" w:type="dxa"/>
          <w:bottom w:w="28" w:type="dxa"/>
          <w:right w:w="28" w:type="dxa"/>
        </w:tblCellMar>
      </w:tblPr>
      <w:tblGrid>
        <w:gridCol w:w="506"/>
        <w:gridCol w:w="444"/>
        <w:gridCol w:w="446"/>
        <w:gridCol w:w="215"/>
        <w:gridCol w:w="842"/>
        <w:gridCol w:w="276"/>
        <w:gridCol w:w="111"/>
        <w:gridCol w:w="111"/>
        <w:gridCol w:w="111"/>
        <w:gridCol w:w="215"/>
        <w:gridCol w:w="842"/>
        <w:gridCol w:w="276"/>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356,719 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277,908 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78,811 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280,739 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bps)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 xml:space="preserve">Cost of revenue and gross profit increased due to the increased sales volume, partly offset by a decrease in gross margin. The decrease in gross margin versus the prior-year period was primarily due to revenue mix between product categories, </w:t>
      </w:r>
      <w:r>
        <w:rPr>
          <w:rFonts w:ascii="Times New Roman;serif" w:hAnsi="Times New Roman;serif"/>
          <w:b w:val="false"/>
          <w:color w:val="000000"/>
          <w:sz w:val="20"/>
          <w:shd w:fill="FFFFFF" w:val="clear"/>
        </w:rPr>
        <w:t xml:space="preserve">and a higher provision for inventory.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123" w:type="dxa"/>
        <w:jc w:val="left"/>
        <w:tblInd w:w="0" w:type="dxa"/>
        <w:tblLayout w:type="fixed"/>
        <w:tblCellMar>
          <w:top w:w="28" w:type="dxa"/>
          <w:left w:w="28" w:type="dxa"/>
          <w:bottom w:w="28" w:type="dxa"/>
          <w:right w:w="28" w:type="dxa"/>
        </w:tblCellMar>
      </w:tblPr>
      <w:tblGrid>
        <w:gridCol w:w="1093"/>
        <w:gridCol w:w="960"/>
        <w:gridCol w:w="963"/>
        <w:gridCol w:w="241"/>
        <w:gridCol w:w="946"/>
        <w:gridCol w:w="124"/>
        <w:gridCol w:w="124"/>
        <w:gridCol w:w="124"/>
        <w:gridCol w:w="124"/>
        <w:gridCol w:w="241"/>
        <w:gridCol w:w="946"/>
        <w:gridCol w:w="124"/>
        <w:gridCol w:w="109"/>
        <w:gridCol w:w="109"/>
        <w:gridCol w:w="109"/>
        <w:gridCol w:w="263"/>
        <w:gridCol w:w="263"/>
        <w:gridCol w:w="659"/>
        <w:gridCol w:w="109"/>
        <w:gridCol w:w="109"/>
        <w:gridCol w:w="109"/>
        <w:gridCol w:w="319"/>
        <w:gridCol w:w="1091"/>
        <w:gridCol w:w="165"/>
        <w:gridCol w:w="109"/>
        <w:gridCol w:w="109"/>
        <w:gridCol w:w="109"/>
        <w:gridCol w:w="109"/>
        <w:gridCol w:w="109"/>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13,689 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48,940 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173,730 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Sales and marketing expense</w:t>
      </w:r>
      <w:r>
        <w:rPr>
          <w:color w:val="000000"/>
          <w:shd w:fill="FFFFFF" w:val="clear"/>
        </w:rPr>
        <w:t xml:space="preserve"> </w:t>
      </w:r>
      <w:r>
        <w:rPr>
          <w:rFonts w:ascii="Times New Roman;serif" w:hAnsi="Times New Roman;serif"/>
          <w:b w:val="false"/>
          <w:color w:val="000000"/>
          <w:sz w:val="20"/>
          <w:shd w:fill="FFFFFF" w:val="clear"/>
        </w:rPr>
        <w:t>increased due to a</w:t>
      </w:r>
      <w:r>
        <w:rPr>
          <w:color w:val="000000"/>
        </w:rPr>
        <w:t xml:space="preserve"> </w:t>
      </w:r>
      <w:r>
        <w:rPr>
          <w:rFonts w:ascii="Times New Roman;serif" w:hAnsi="Times New Roman;serif"/>
          <w:b w:val="false"/>
          <w:color w:val="000000"/>
          <w:sz w:val="20"/>
        </w:rPr>
        <w:t>$7.9 million in increased personnel costs, an increase of $4.8 million in outside services and other expenses, an increase of $3.5 million for commissions and travel and entertainment, and a $0.3 million increase in promotional tools, offset by a $2.8 million decrease in stock-based compensation.</w:t>
      </w:r>
    </w:p>
    <w:p>
      <w:pPr>
        <w:pStyle w:val="TextBody"/>
        <w:bidi w:val="0"/>
        <w:spacing w:lineRule="auto" w:line="288" w:before="240" w:after="283"/>
        <w:jc w:val="both"/>
        <w:rPr/>
      </w:pPr>
      <w:r>
        <w:rPr>
          <w:rFonts w:ascii="Times New Roman;serif" w:hAnsi="Times New Roman;serif"/>
          <w:b w:val="false"/>
          <w:i/>
          <w:color w:val="000000"/>
          <w:sz w:val="20"/>
          <w:shd w:fill="FFFFFF" w:val="clear"/>
        </w:rPr>
        <w:t>Res</w:t>
      </w:r>
      <w:r>
        <w:rPr>
          <w:rFonts w:ascii="Times New Roman;serif" w:hAnsi="Times New Roman;serif"/>
          <w:b w:val="false"/>
          <w:i/>
          <w:color w:val="000000"/>
          <w:sz w:val="20"/>
        </w:rPr>
        <w:t>earch and development expense</w:t>
      </w:r>
      <w:r>
        <w:rPr>
          <w:color w:val="000000"/>
        </w:rPr>
        <w:t xml:space="preserve"> </w:t>
      </w:r>
      <w:r>
        <w:rPr>
          <w:rFonts w:ascii="Times New Roman;serif" w:hAnsi="Times New Roman;serif"/>
          <w:b w:val="false"/>
          <w:color w:val="000000"/>
          <w:sz w:val="20"/>
        </w:rPr>
        <w:t>increased due to a $15.5 million increase in costs of components for tools built for product development purposes, a $9.1 million increase in personnel costs, and a net increase of $3.4 million in depreciation, outside services and other R&amp;D-related costs, offset by a decrease of $4.8 million in stock-based compensation.</w:t>
      </w:r>
    </w:p>
    <w:p>
      <w:pPr>
        <w:pStyle w:val="TextBody"/>
        <w:bidi w:val="0"/>
        <w:spacing w:lineRule="auto" w:line="288" w:before="240" w:after="283"/>
        <w:jc w:val="both"/>
        <w:rPr/>
      </w:pPr>
      <w:r>
        <w:rPr>
          <w:rFonts w:ascii="Times New Roman;serif" w:hAnsi="Times New Roman;serif"/>
          <w:b w:val="false"/>
          <w:color w:val="000000"/>
          <w:sz w:val="20"/>
          <w:shd w:fill="FFFFFF" w:val="clear"/>
        </w:rPr>
        <w:t>Research and development expense represen</w:t>
      </w:r>
      <w:r>
        <w:rPr>
          <w:rFonts w:ascii="Times New Roman;serif" w:hAnsi="Times New Roman;serif"/>
          <w:b w:val="false"/>
          <w:color w:val="000000"/>
          <w:sz w:val="20"/>
        </w:rPr>
        <w:t xml:space="preserve">ted 15.4% and 13.9% of our revenue in the nine months ended September 30, 2025 and 2024, respectively. Excluding grant amounts received from mainland China governmental authorities (see "Mainland China Government Research and Development Funding"), gross research and development expense totaled $103.5 million, or 15.8% of total revenue, in the nine months ended September 30, 2025 as compared to $78.4 million, or 14.0% of revenue, in the corresponding period in 2024. </w:t>
      </w:r>
    </w:p>
    <w:p>
      <w:pPr>
        <w:pStyle w:val="TextBody"/>
        <w:bidi w:val="0"/>
        <w:spacing w:lineRule="auto" w:line="288" w:before="240" w:after="283"/>
        <w:jc w:val="both"/>
        <w:rPr/>
      </w:pPr>
      <w:r>
        <w:rPr>
          <w:rFonts w:ascii="Times New Roman;serif" w:hAnsi="Times New Roman;serif"/>
          <w:b w:val="false"/>
          <w:i/>
          <w:color w:val="000000"/>
          <w:sz w:val="20"/>
          <w:shd w:fill="FFFFFF" w:val="clear"/>
        </w:rPr>
        <w:t xml:space="preserve">General and administrative expense </w:t>
      </w:r>
      <w:r>
        <w:rPr>
          <w:rFonts w:ascii="Times New Roman;serif" w:hAnsi="Times New Roman;serif"/>
          <w:b w:val="false"/>
          <w:color w:val="000000"/>
          <w:sz w:val="20"/>
          <w:shd w:fill="FFFFFF" w:val="clear"/>
        </w:rPr>
        <w:t>increased primarily reflecting a $6.0 million increase in personnel and professional services costs, and a $3.6 million increase in allowance for credit losses, partially offset by a $1.4 million decrease in other costs related to general and administrative expenses, and a $5.2 million decrease in stock-based compensation.</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Interest expense and Other expense, net</w:t>
      </w:r>
    </w:p>
    <w:tbl>
      <w:tblPr>
        <w:tblW w:w="8251" w:type="dxa"/>
        <w:jc w:val="left"/>
        <w:tblInd w:w="0" w:type="dxa"/>
        <w:tblLayout w:type="fixed"/>
        <w:tblCellMar>
          <w:top w:w="28" w:type="dxa"/>
          <w:left w:w="28" w:type="dxa"/>
          <w:bottom w:w="28" w:type="dxa"/>
          <w:right w:w="28" w:type="dxa"/>
        </w:tblCellMar>
      </w:tblPr>
      <w:tblGrid>
        <w:gridCol w:w="619"/>
        <w:gridCol w:w="543"/>
        <w:gridCol w:w="547"/>
        <w:gridCol w:w="274"/>
        <w:gridCol w:w="939"/>
        <w:gridCol w:w="141"/>
        <w:gridCol w:w="141"/>
        <w:gridCol w:w="141"/>
        <w:gridCol w:w="141"/>
        <w:gridCol w:w="274"/>
        <w:gridCol w:w="802"/>
        <w:gridCol w:w="141"/>
        <w:gridCol w:w="109"/>
        <w:gridCol w:w="109"/>
        <w:gridCol w:w="109"/>
        <w:gridCol w:w="317"/>
        <w:gridCol w:w="299"/>
        <w:gridCol w:w="659"/>
        <w:gridCol w:w="109"/>
        <w:gridCol w:w="109"/>
        <w:gridCol w:w="109"/>
        <w:gridCol w:w="323"/>
        <w:gridCol w:w="1060"/>
        <w:gridCol w:w="236"/>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7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74"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41"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w:t>
            </w:r>
          </w:p>
        </w:tc>
        <w:tc>
          <w:tcPr>
            <w:tcW w:w="141"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(3,292)</w:t>
            </w:r>
          </w:p>
        </w:tc>
        <w:tc>
          <w:tcPr>
            <w:tcW w:w="236"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change in interest income is a result of changes in balances of cash, cash equivalents, time deposits, while the change in interest expense is due to borrowings, together with changes in interest rates on the respective balances.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Other expense, net primarily reflects (a) loss recognized from the impact of exchange rates on our working-capital whi</w:t>
      </w:r>
      <w:r>
        <w:rPr>
          <w:rFonts w:ascii="Times New Roman;serif" w:hAnsi="Times New Roman;serif"/>
          <w:b w:val="false"/>
          <w:color w:val="000000"/>
          <w:sz w:val="20"/>
        </w:rPr>
        <w:t xml:space="preserve">ch was $(4.6) million for the nine months ended September 30, 2025 compared to $(2.6) million </w:t>
      </w:r>
      <w:r>
        <w:rPr>
          <w:rFonts w:ascii="Times New Roman;serif" w:hAnsi="Times New Roman;serif"/>
          <w:b w:val="false"/>
          <w:color w:val="000000"/>
          <w:sz w:val="20"/>
          <w:shd w:fill="FFFFFF" w:val="clear"/>
        </w:rPr>
        <w:t xml:space="preserve">for the nine months ended September 30, 2024, and (b) government subsidies, as described under “Mainland China Government Research and Development Funding” above, and other factors.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(loss) on short-term investments, and income from equity method investments</w:t>
      </w:r>
    </w:p>
    <w:tbl>
      <w:tblPr>
        <w:tblW w:w="10205" w:type="dxa"/>
        <w:jc w:val="left"/>
        <w:tblInd w:w="0" w:type="dxa"/>
        <w:tblLayout w:type="fixed"/>
        <w:tblCellMar>
          <w:top w:w="28" w:type="dxa"/>
          <w:left w:w="28" w:type="dxa"/>
          <w:bottom w:w="28" w:type="dxa"/>
          <w:right w:w="28" w:type="dxa"/>
        </w:tblCellMar>
      </w:tblPr>
      <w:tblGrid>
        <w:gridCol w:w="1341"/>
        <w:gridCol w:w="1178"/>
        <w:gridCol w:w="1181"/>
        <w:gridCol w:w="352"/>
        <w:gridCol w:w="576"/>
        <w:gridCol w:w="173"/>
        <w:gridCol w:w="173"/>
        <w:gridCol w:w="173"/>
        <w:gridCol w:w="173"/>
        <w:gridCol w:w="336"/>
        <w:gridCol w:w="743"/>
        <w:gridCol w:w="173"/>
        <w:gridCol w:w="109"/>
        <w:gridCol w:w="109"/>
        <w:gridCol w:w="109"/>
        <w:gridCol w:w="394"/>
        <w:gridCol w:w="394"/>
        <w:gridCol w:w="646"/>
        <w:gridCol w:w="109"/>
        <w:gridCol w:w="109"/>
        <w:gridCol w:w="109"/>
        <w:gridCol w:w="358"/>
        <w:gridCol w:w="916"/>
        <w:gridCol w:w="271"/>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7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(1864.0)</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6231.7 </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Realized gain on short-term investments includes dividends and net gains from sales of short-term investments during the period. The unrealized gain (loss) is based on a change in market value of ACM Shanghai’s short-term investments</w:t>
      </w:r>
      <w:r>
        <w:rPr>
          <w:color w:val="000000"/>
        </w:rPr>
        <w:t xml:space="preserve"> </w:t>
      </w:r>
      <w:r>
        <w:rPr>
          <w:rFonts w:ascii="Times New Roman;serif" w:hAnsi="Times New Roman;serif"/>
          <w:b w:val="false"/>
          <w:color w:val="000000"/>
          <w:sz w:val="20"/>
        </w:rPr>
        <w:t>(note 12). Income from equity investments is derived from net income from investments in affiliates (note 13).</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Income Tax Expense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767" w:type="dxa"/>
        <w:jc w:val="left"/>
        <w:tblInd w:w="0" w:type="dxa"/>
        <w:tblLayout w:type="fixed"/>
        <w:tblCellMar>
          <w:top w:w="28" w:type="dxa"/>
          <w:left w:w="28" w:type="dxa"/>
          <w:bottom w:w="28" w:type="dxa"/>
          <w:right w:w="28" w:type="dxa"/>
        </w:tblCellMar>
      </w:tblPr>
      <w:tblGrid>
        <w:gridCol w:w="625"/>
        <w:gridCol w:w="550"/>
        <w:gridCol w:w="551"/>
        <w:gridCol w:w="257"/>
        <w:gridCol w:w="842"/>
        <w:gridCol w:w="132"/>
        <w:gridCol w:w="132"/>
        <w:gridCol w:w="132"/>
        <w:gridCol w:w="132"/>
        <w:gridCol w:w="257"/>
        <w:gridCol w:w="970"/>
        <w:gridCol w:w="187"/>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expense for the nine months ended September 30, 2025 primarily resulted from the tax effect of a decrease in our effective income tax rate applied to a decrease in operating profit for the period. The decrease in our effective income tax rate for the nine months ended September 30, 2025 compared to the same period of the prior year was primarily due to a lower estimated effective tax rate for ACM Shanghai and other factors.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22"/>
        <w:gridCol w:w="1249"/>
        <w:gridCol w:w="1255"/>
        <w:gridCol w:w="255"/>
        <w:gridCol w:w="874"/>
        <w:gridCol w:w="131"/>
        <w:gridCol w:w="131"/>
        <w:gridCol w:w="131"/>
        <w:gridCol w:w="131"/>
        <w:gridCol w:w="255"/>
        <w:gridCol w:w="874"/>
        <w:gridCol w:w="131"/>
        <w:gridCol w:w="109"/>
        <w:gridCol w:w="109"/>
        <w:gridCol w:w="109"/>
        <w:gridCol w:w="263"/>
        <w:gridCol w:w="261"/>
        <w:gridCol w:w="644"/>
        <w:gridCol w:w="109"/>
        <w:gridCol w:w="109"/>
        <w:gridCol w:w="109"/>
        <w:gridCol w:w="457"/>
        <w:gridCol w:w="445"/>
        <w:gridCol w:w="642"/>
      </w:tblGrid>
      <w:tr>
        <w:trPr/>
        <w:tc>
          <w:tcPr>
            <w:tcW w:w="142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9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4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9812" w:type="dxa"/>
        <w:jc w:val="left"/>
        <w:tblInd w:w="0" w:type="dxa"/>
        <w:tblLayout w:type="fixed"/>
        <w:tblCellMar>
          <w:top w:w="28" w:type="dxa"/>
          <w:left w:w="28" w:type="dxa"/>
          <w:bottom w:w="28" w:type="dxa"/>
          <w:right w:w="28" w:type="dxa"/>
        </w:tblCellMar>
      </w:tblPr>
      <w:tblGrid>
        <w:gridCol w:w="1217"/>
        <w:gridCol w:w="1069"/>
        <w:gridCol w:w="1073"/>
        <w:gridCol w:w="262"/>
        <w:gridCol w:w="898"/>
        <w:gridCol w:w="135"/>
        <w:gridCol w:w="135"/>
        <w:gridCol w:w="135"/>
        <w:gridCol w:w="135"/>
        <w:gridCol w:w="262"/>
        <w:gridCol w:w="898"/>
        <w:gridCol w:w="135"/>
        <w:gridCol w:w="109"/>
        <w:gridCol w:w="109"/>
        <w:gridCol w:w="109"/>
        <w:gridCol w:w="263"/>
        <w:gridCol w:w="263"/>
        <w:gridCol w:w="659"/>
        <w:gridCol w:w="109"/>
        <w:gridCol w:w="109"/>
        <w:gridCol w:w="109"/>
        <w:gridCol w:w="473"/>
        <w:gridCol w:w="473"/>
        <w:gridCol w:w="673"/>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10,376 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6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foreign currency translation adjustment is primarily based on the net effect of RMB to dollar exchange rate fluctuations for the period on the converted value of ACM Shanghai’s RMB-denominated balances to U.S. dollar equivalents.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02"/>
        <w:gridCol w:w="1320"/>
        <w:gridCol w:w="1326"/>
        <w:gridCol w:w="246"/>
        <w:gridCol w:w="845"/>
        <w:gridCol w:w="127"/>
        <w:gridCol w:w="127"/>
        <w:gridCol w:w="127"/>
        <w:gridCol w:w="127"/>
        <w:gridCol w:w="246"/>
        <w:gridCol w:w="845"/>
        <w:gridCol w:w="127"/>
        <w:gridCol w:w="109"/>
        <w:gridCol w:w="109"/>
        <w:gridCol w:w="109"/>
        <w:gridCol w:w="263"/>
        <w:gridCol w:w="258"/>
        <w:gridCol w:w="627"/>
        <w:gridCol w:w="109"/>
        <w:gridCol w:w="109"/>
        <w:gridCol w:w="109"/>
        <w:gridCol w:w="307"/>
        <w:gridCol w:w="89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1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25,224 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21,458 </w:t>
            </w:r>
          </w:p>
        </w:tc>
        <w:tc>
          <w:tcPr>
            <w:tcW w:w="12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62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Comprehensive income attributable to non-controlling interests </w:t>
      </w:r>
      <w:r>
        <w:rPr>
          <w:rFonts w:ascii="Times New Roman;serif" w:hAnsi="Times New Roman;serif"/>
          <w:b w:val="false"/>
          <w:color w:val="000000"/>
          <w:sz w:val="20"/>
          <w:shd w:fill="FFFFFF" w:val="clear"/>
        </w:rPr>
        <w:t>for the nine months ended September 30, 2025 increased by</w:t>
      </w:r>
      <w:r>
        <w:rPr>
          <w:color w:val="000000"/>
        </w:rPr>
        <w:t xml:space="preserve"> </w:t>
      </w:r>
      <w:r>
        <w:rPr>
          <w:rFonts w:ascii="Times New Roman;serif" w:hAnsi="Times New Roman;serif"/>
          <w:b w:val="false"/>
          <w:color w:val="000000"/>
          <w:sz w:val="20"/>
        </w:rPr>
        <w:t xml:space="preserve">$3.8 million </w:t>
      </w:r>
      <w:r>
        <w:rPr>
          <w:rFonts w:ascii="Times New Roman;serif" w:hAnsi="Times New Roman;serif"/>
          <w:b w:val="false"/>
          <w:color w:val="000000"/>
          <w:sz w:val="20"/>
          <w:shd w:fill="FFFFFF" w:val="clear"/>
        </w:rPr>
        <w:t>as compared to the same period in 2024</w:t>
      </w:r>
      <w:r>
        <w:rPr>
          <w:rFonts w:ascii="Times New Roman;serif" w:hAnsi="Times New Roman;serif"/>
          <w:b w:val="false"/>
          <w:color w:val="000000"/>
          <w:sz w:val="20"/>
        </w:rPr>
        <w:t>, reflecting a change in net income attributable to the non-controlling interests for the period together with the impact of foreign exchange rate fluctuations on the cumulative balance.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first nine months of 2025, we funded our technology development and operations principally through our beginning global cash balances, including the cash balances at ACM Shanghai, borrowings by ACM Shanghai from local financial institutions, and our loan from China CITIC Bank. Cash and cash equivalents, restricted cash, and time deposits were as follows:</w:t>
      </w:r>
    </w:p>
    <w:p>
      <w:pPr>
        <w:pStyle w:val="TextBody"/>
        <w:bidi w:val="0"/>
        <w:spacing w:before="0" w:after="0"/>
        <w:jc w:val="both"/>
        <w:rPr/>
      </w:pPr>
      <w:r>
        <w:rPr/>
      </w:r>
    </w:p>
    <w:tbl>
      <w:tblPr>
        <w:tblW w:w="8109" w:type="dxa"/>
        <w:jc w:val="left"/>
        <w:tblInd w:w="0" w:type="dxa"/>
        <w:tblLayout w:type="fixed"/>
        <w:tblCellMar>
          <w:top w:w="28" w:type="dxa"/>
          <w:left w:w="28" w:type="dxa"/>
          <w:bottom w:w="28" w:type="dxa"/>
          <w:right w:w="28" w:type="dxa"/>
        </w:tblCellMar>
      </w:tblPr>
      <w:tblGrid>
        <w:gridCol w:w="1872"/>
        <w:gridCol w:w="1649"/>
        <w:gridCol w:w="1653"/>
        <w:gridCol w:w="212"/>
        <w:gridCol w:w="983"/>
        <w:gridCol w:w="109"/>
        <w:gridCol w:w="109"/>
        <w:gridCol w:w="109"/>
        <w:gridCol w:w="109"/>
        <w:gridCol w:w="231"/>
        <w:gridCol w:w="905"/>
        <w:gridCol w:w="168"/>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restricted cash, and time deposits: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 and restricted cash</w:t>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time deposits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Long-term time deposits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441,862 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$656.4 million increase in cash and time deposits was primarily driven by $738.1 million net cash provided by financing activities, and a $5.6 million increase from the effect of the exchange rate on cash, cash equivalents, restricted cash and non-cash items, offset by $44.2 million of cash used in operations, and</w:t>
      </w:r>
      <w:r>
        <w:rPr>
          <w:color w:val="000000"/>
        </w:rPr>
        <w:t xml:space="preserve"> </w:t>
      </w:r>
      <w:r>
        <w:rPr>
          <w:rFonts w:ascii="Times New Roman;serif" w:hAnsi="Times New Roman;serif"/>
          <w:b w:val="false"/>
          <w:color w:val="000000"/>
          <w:sz w:val="20"/>
        </w:rPr>
        <w:t>$43.0 million of net cash used in investing activities, excluding the change in net cash related to time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future working capital needs beyond the next twelve months will depend on many factors, including the rate of our business and revenue growth, the payment schedules of our customers, the timing and magnitude of our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shd w:fill="FFFFFF" w:val="clear"/>
        </w:rPr>
        <w:t>expenditures, and the timing of investment in our research and development as well as sales and marketing costs. We believe our existing cash and cash equivalents, time deposits,</w:t>
      </w:r>
      <w:r>
        <w:rPr>
          <w:color w:val="000000"/>
        </w:rPr>
        <w:t xml:space="preserve"> </w:t>
      </w:r>
      <w:r>
        <w:rPr>
          <w:rFonts w:ascii="Times New Roman;serif" w:hAnsi="Times New Roman;serif"/>
          <w:b w:val="false"/>
          <w:color w:val="000000"/>
          <w:sz w:val="20"/>
          <w:shd w:fill="FFFFFF" w:val="clear"/>
        </w:rPr>
        <w:t>cash flow from operating activities, and bank borrowings will be sufficient to meet our anticipated cash needs for at least the next 12 months from the issuance of this report.</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 the extent our cash and cash equivalents, cash flow from operating activities and short-term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Report on Form 10-K for the year ended December 31,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 with the exception of sales and services-related transfer-pricing payments in the ordinary course of business, and dividends paid by ACM Shanghai to the stockholders of ACM Shanghai (including ACM Research),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cash and cash equivalents at September 30, 2025 were held for working capital purposes and other potential investments. ACM Shanghai, our only direct mainland China subsidiary, is, however, subject to mainland China restrictions on distributions to equity holders. The use of proceeds raised by the STAR Market IPO and Private Offering, without further approvals, are limited to specific usage.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pPr>
      <w:r>
        <w:rPr>
          <w:rFonts w:ascii="Times New Roman;serif" w:hAnsi="Times New Roman;serif"/>
          <w:b w:val="false"/>
          <w:color w:val="000000"/>
          <w:sz w:val="20"/>
          <w:shd w:fill="FFFFFF" w:val="clear"/>
        </w:rPr>
        <w:t>ACM Research has never declared or paid cash dividends on our capital stock</w:t>
      </w:r>
      <w:r>
        <w:rPr>
          <w:rFonts w:ascii="Times New Roman;serif" w:hAnsi="Times New Roman;serif"/>
          <w:b w:val="false"/>
          <w:color w:val="000000"/>
          <w:sz w:val="20"/>
        </w:rPr>
        <w:t xml:space="preserve">. ACM Research intends to retain all available funds and any future earnings to support the operation of and to finance the growth and development of our business and do not anticipate paying any cash dividends in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pPr>
      <w:r>
        <w:rPr>
          <w:rFonts w:ascii="Times New Roman;serif" w:hAnsi="Times New Roman;serif"/>
          <w:b/>
          <w:i/>
          <w:color w:val="000000"/>
          <w:sz w:val="20"/>
        </w:rPr>
        <w:t xml:space="preserve">Cash Flow (Used in) Provided by Operating Activities. </w:t>
      </w:r>
      <w:r>
        <w:rPr>
          <w:rFonts w:ascii="Times New Roman;serif" w:hAnsi="Times New Roman;serif"/>
          <w:b w:val="false"/>
          <w:color w:val="000000"/>
          <w:sz w:val="20"/>
        </w:rPr>
        <w:t>Net cash (used in) provided by operating activities during the nine months ended September 30, 2025 and 2024 consisted of:</w:t>
      </w:r>
    </w:p>
    <w:tbl>
      <w:tblPr>
        <w:tblW w:w="7662" w:type="dxa"/>
        <w:jc w:val="left"/>
        <w:tblInd w:w="0" w:type="dxa"/>
        <w:tblLayout w:type="fixed"/>
        <w:tblCellMar>
          <w:top w:w="28" w:type="dxa"/>
          <w:left w:w="28" w:type="dxa"/>
          <w:bottom w:w="28" w:type="dxa"/>
          <w:right w:w="28" w:type="dxa"/>
        </w:tblCellMar>
      </w:tblPr>
      <w:tblGrid>
        <w:gridCol w:w="1674"/>
        <w:gridCol w:w="1467"/>
        <w:gridCol w:w="1479"/>
        <w:gridCol w:w="251"/>
        <w:gridCol w:w="983"/>
        <w:gridCol w:w="129"/>
        <w:gridCol w:w="129"/>
        <w:gridCol w:w="129"/>
        <w:gridCol w:w="129"/>
        <w:gridCol w:w="251"/>
        <w:gridCol w:w="858"/>
        <w:gridCol w:w="183"/>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inventory </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short-term investments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from unconsolidated affiliates </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 on short-term investment </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(98,044)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in) provided by operating activities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Significant net changes in operating asset and liability accounts primarily include the following:</w:t>
      </w:r>
    </w:p>
    <w:p>
      <w:pPr>
        <w:pStyle w:val="TextBody"/>
        <w:bidi w:val="0"/>
        <w:spacing w:lineRule="auto" w:line="288" w:before="240" w:after="283"/>
        <w:jc w:val="both"/>
        <w:rPr/>
      </w:pPr>
      <w:r>
        <w:rPr>
          <w:color w:val="000000"/>
          <w:shd w:fill="FFFFFF" w:val="clear"/>
        </w:rPr>
        <w:t>•</w:t>
      </w:r>
      <w:r>
        <w:rPr>
          <w:rFonts w:ascii="Times New Roman;serif" w:hAnsi="Times New Roman;serif"/>
          <w:b w:val="false"/>
          <w:color w:val="000000"/>
          <w:sz w:val="20"/>
        </w:rPr>
        <w:t>uses of cash: a $80.7 million increase in inventories, net, a $91.3 million net increase in accounts receivable, net, a $43.3 million decrease in advances from customers, and a $14.1million</w:t>
      </w:r>
      <w:r>
        <w:rPr>
          <w:color w:val="000000"/>
          <w:shd w:fill="FFFFFF" w:val="clear"/>
        </w:rPr>
        <w:t xml:space="preserve"> </w:t>
      </w:r>
      <w:r>
        <w:rPr>
          <w:rFonts w:ascii="Times New Roman;serif" w:hAnsi="Times New Roman;serif"/>
          <w:b w:val="false"/>
          <w:color w:val="000000"/>
          <w:sz w:val="20"/>
          <w:shd w:fill="FFFFFF" w:val="clear"/>
        </w:rPr>
        <w:t>increase</w:t>
      </w:r>
      <w:r>
        <w:rPr>
          <w:color w:val="000000"/>
        </w:rPr>
        <w:t xml:space="preserve"> </w:t>
      </w:r>
      <w:r>
        <w:rPr>
          <w:rFonts w:ascii="Times New Roman;serif" w:hAnsi="Times New Roman;serif"/>
          <w:b w:val="false"/>
          <w:color w:val="000000"/>
          <w:sz w:val="20"/>
        </w:rPr>
        <w:t>in other receivables and other assets.</w:t>
      </w:r>
    </w:p>
    <w:p>
      <w:pPr>
        <w:pStyle w:val="TextBody"/>
        <w:bidi w:val="0"/>
        <w:spacing w:lineRule="auto" w:line="288" w:before="240" w:after="283"/>
        <w:jc w:val="both"/>
        <w:rPr/>
      </w:pPr>
      <w:r>
        <w:rPr>
          <w:color w:val="000000"/>
        </w:rPr>
        <w:t>•</w:t>
      </w:r>
      <w:r>
        <w:rPr>
          <w:color w:val="000000"/>
        </w:rPr>
        <w:t xml:space="preserve"> </w:t>
      </w:r>
      <w:r>
        <w:rPr>
          <w:rFonts w:ascii="Times New Roman;serif" w:hAnsi="Times New Roman;serif"/>
          <w:b w:val="false"/>
          <w:color w:val="000000"/>
          <w:sz w:val="20"/>
        </w:rPr>
        <w:t>sources of cash: a $44.5 million increase in accounts payable and related party accounts payable, a $9.9 million net increase in other liabilities which includes long-term operating lease liabilities, other long-term liabilities, other payables and accrued expenses, and deferred revenue.</w:t>
      </w:r>
    </w:p>
    <w:p>
      <w:pPr>
        <w:pStyle w:val="TextBody"/>
        <w:bidi w:val="0"/>
        <w:spacing w:lineRule="auto" w:line="288" w:before="240" w:after="283"/>
        <w:jc w:val="both"/>
        <w:rPr/>
      </w:pPr>
      <w:r>
        <w:rPr>
          <w:rFonts w:ascii="Times New Roman;serif" w:hAnsi="Times New Roman;serif"/>
          <w:b/>
          <w:i/>
          <w:color w:val="000000"/>
          <w:sz w:val="20"/>
        </w:rPr>
        <w:t xml:space="preserve">Cash Flow Used in Investing Activities. </w:t>
      </w:r>
      <w:r>
        <w:rPr>
          <w:rFonts w:ascii="Times New Roman;serif" w:hAnsi="Times New Roman;serif"/>
          <w:b w:val="false"/>
          <w:color w:val="000000"/>
          <w:sz w:val="20"/>
        </w:rPr>
        <w:t>Net cash used in inves</w:t>
      </w:r>
      <w:r>
        <w:rPr>
          <w:rFonts w:ascii="Times New Roman;serif" w:hAnsi="Times New Roman;serif"/>
          <w:b w:val="false"/>
          <w:color w:val="000000"/>
          <w:sz w:val="20"/>
          <w:shd w:fill="FFFFFF" w:val="clear"/>
        </w:rPr>
        <w:t>ting activities, excluding the change in net cash related to time deposits, for the nine months ended September 30, 2025 was ($43.0) million, pr</w:t>
      </w:r>
      <w:r>
        <w:rPr>
          <w:rFonts w:ascii="Times New Roman;serif" w:hAnsi="Times New Roman;serif"/>
          <w:b w:val="false"/>
          <w:color w:val="000000"/>
          <w:sz w:val="20"/>
        </w:rPr>
        <w:t>imarily consisting of purchase of property, plant and equipment, and intangible assets for ($43.3 million), and $(0.5) million for purchase of long-term investments, net of a $0.7 million deposit return for land use right.</w:t>
      </w:r>
    </w:p>
    <w:p>
      <w:pPr>
        <w:pStyle w:val="TextBody"/>
        <w:bidi w:val="0"/>
        <w:spacing w:lineRule="auto" w:line="288" w:before="240" w:after="283"/>
        <w:jc w:val="both"/>
        <w:rPr/>
      </w:pPr>
      <w:r>
        <w:rPr>
          <w:rFonts w:ascii="Times New Roman;serif" w:hAnsi="Times New Roman;serif"/>
          <w:b/>
          <w:i/>
          <w:color w:val="000000"/>
          <w:sz w:val="20"/>
          <w:shd w:fill="FFFFFF" w:val="clear"/>
        </w:rPr>
        <w:t xml:space="preserve">Cash Flow Provided by Financing Activities. </w:t>
      </w:r>
      <w:r>
        <w:rPr>
          <w:rFonts w:ascii="Times New Roman;serif" w:hAnsi="Times New Roman;serif"/>
          <w:b w:val="false"/>
          <w:color w:val="000000"/>
          <w:sz w:val="20"/>
          <w:shd w:fill="FFFFFF" w:val="clear"/>
        </w:rPr>
        <w:t>Net cash provided by financing activities</w:t>
      </w:r>
      <w:r>
        <w:rPr>
          <w:color w:val="000000"/>
          <w:shd w:fill="FFFFFF" w:val="clear"/>
        </w:rPr>
        <w:t xml:space="preserve"> </w:t>
      </w:r>
      <w:r>
        <w:rPr>
          <w:rFonts w:ascii="Times New Roman;serif" w:hAnsi="Times New Roman;serif"/>
          <w:b w:val="false"/>
          <w:color w:val="000000"/>
          <w:sz w:val="20"/>
          <w:shd w:fill="FFFFFF" w:val="clear"/>
        </w:rPr>
        <w:t>for the nine months ended September 30, 2025</w:t>
      </w:r>
      <w:r>
        <w:rPr>
          <w:color w:val="000000"/>
        </w:rPr>
        <w:t xml:space="preserve"> </w:t>
      </w:r>
      <w:r>
        <w:rPr>
          <w:rFonts w:ascii="Times New Roman;serif" w:hAnsi="Times New Roman;serif"/>
          <w:b w:val="false"/>
          <w:color w:val="000000"/>
          <w:sz w:val="20"/>
        </w:rPr>
        <w:t>was $738.1 million, primarily consisting of $623.0 million in net proceeds from Private Offering by ACM Shanghai</w:t>
      </w:r>
      <w:r>
        <w:rPr>
          <w:rFonts w:ascii="Times New Roman;serif" w:hAnsi="Times New Roman;serif"/>
          <w:b w:val="false"/>
          <w:color w:val="000000"/>
          <w:sz w:val="20"/>
          <w:shd w:fill="FFFFFF" w:val="clear"/>
        </w:rPr>
        <w:t>, $101.6 million in</w:t>
      </w:r>
      <w:r>
        <w:rPr>
          <w:color w:val="000000"/>
        </w:rPr>
        <w:t xml:space="preserve"> </w:t>
      </w:r>
      <w:r>
        <w:rPr>
          <w:rFonts w:ascii="Times New Roman;serif" w:hAnsi="Times New Roman;serif"/>
          <w:b w:val="false"/>
          <w:color w:val="000000"/>
          <w:sz w:val="20"/>
        </w:rPr>
        <w:t>net proceeds from short-term and long-term borrowing (notes 8 and 10), and $27.9 million in proceeds from exercise of stock options, partly offset by $(7.0) million used for the repurchase of shares held by ACM Shanghai, and $(7.6) million payme</w:t>
      </w:r>
      <w:r>
        <w:rPr>
          <w:rFonts w:ascii="Times New Roman;serif" w:hAnsi="Times New Roman;serif"/>
          <w:b w:val="false"/>
          <w:color w:val="000000"/>
          <w:sz w:val="20"/>
          <w:shd w:fill="FFFFFF" w:val="clear"/>
        </w:rPr>
        <w:t>nt of ACM Shanghai dividend</w:t>
      </w:r>
      <w:r>
        <w:rPr>
          <w:rFonts w:ascii="Times New Roman;serif" w:hAnsi="Times New Roman;serif"/>
          <w:b w:val="false"/>
          <w:color w:val="000000"/>
          <w:sz w:val="20"/>
        </w:rPr>
        <w:t xml:space="preserve">. </w:t>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and ACM Shanghai, together with the subsidiaries of ACM Shanghai, have short-term and long-term borrowings with </w:t>
      </w:r>
      <w:r>
        <w:rPr>
          <w:rFonts w:ascii="Times New Roman;serif" w:hAnsi="Times New Roman;serif"/>
          <w:b w:val="false"/>
          <w:color w:val="000000"/>
          <w:sz w:val="20"/>
        </w:rPr>
        <w:t>the following banks:</w:t>
      </w:r>
    </w:p>
    <w:tbl>
      <w:tblPr>
        <w:tblW w:w="10205" w:type="dxa"/>
        <w:jc w:val="left"/>
        <w:tblInd w:w="0" w:type="dxa"/>
        <w:tblLayout w:type="fixed"/>
        <w:tblCellMar>
          <w:top w:w="28" w:type="dxa"/>
          <w:left w:w="28" w:type="dxa"/>
          <w:bottom w:w="28" w:type="dxa"/>
          <w:right w:w="28" w:type="dxa"/>
        </w:tblCellMar>
      </w:tblPr>
      <w:tblGrid>
        <w:gridCol w:w="1119"/>
        <w:gridCol w:w="306"/>
        <w:gridCol w:w="308"/>
        <w:gridCol w:w="109"/>
        <w:gridCol w:w="109"/>
        <w:gridCol w:w="109"/>
        <w:gridCol w:w="356"/>
        <w:gridCol w:w="356"/>
        <w:gridCol w:w="357"/>
        <w:gridCol w:w="109"/>
        <w:gridCol w:w="109"/>
        <w:gridCol w:w="109"/>
        <w:gridCol w:w="580"/>
        <w:gridCol w:w="522"/>
        <w:gridCol w:w="450"/>
        <w:gridCol w:w="109"/>
        <w:gridCol w:w="109"/>
        <w:gridCol w:w="109"/>
        <w:gridCol w:w="262"/>
        <w:gridCol w:w="262"/>
        <w:gridCol w:w="263"/>
        <w:gridCol w:w="109"/>
        <w:gridCol w:w="109"/>
        <w:gridCol w:w="109"/>
        <w:gridCol w:w="361"/>
        <w:gridCol w:w="952"/>
        <w:gridCol w:w="115"/>
        <w:gridCol w:w="109"/>
        <w:gridCol w:w="109"/>
        <w:gridCol w:w="109"/>
        <w:gridCol w:w="327"/>
        <w:gridCol w:w="837"/>
        <w:gridCol w:w="127"/>
        <w:gridCol w:w="109"/>
        <w:gridCol w:w="109"/>
        <w:gridCol w:w="109"/>
        <w:gridCol w:w="109"/>
        <w:gridCol w:w="109"/>
        <w:gridCol w:w="165"/>
      </w:tblGrid>
      <w:tr>
        <w:trPr/>
        <w:tc>
          <w:tcPr>
            <w:tcW w:w="111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Amount Outstanding</w:t>
              <w:br/>
              <w:t>at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RMB99,765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January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RMB199,980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RMB399,207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84,420 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China Merchants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RMB200,000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RMB120,069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28,140 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16,894 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2.30%-2.62%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RMB400,000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RMB342,195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RMB299,676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RMB58,550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Bank of 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November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November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RMB1,000,000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RMB47,452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140,700 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6,678 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RMB128,500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RMB72,949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Agricultural Bank of China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Repayable by installments and the last installments repayable in April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2.53%-2.78%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RMB300,187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42,210 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42,236 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Shanghai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51"/>
        <w:gridCol w:w="486"/>
        <w:gridCol w:w="488"/>
        <w:gridCol w:w="109"/>
        <w:gridCol w:w="109"/>
        <w:gridCol w:w="109"/>
        <w:gridCol w:w="365"/>
        <w:gridCol w:w="365"/>
        <w:gridCol w:w="367"/>
        <w:gridCol w:w="109"/>
        <w:gridCol w:w="109"/>
        <w:gridCol w:w="109"/>
        <w:gridCol w:w="455"/>
        <w:gridCol w:w="455"/>
        <w:gridCol w:w="457"/>
        <w:gridCol w:w="109"/>
        <w:gridCol w:w="109"/>
        <w:gridCol w:w="109"/>
        <w:gridCol w:w="469"/>
        <w:gridCol w:w="469"/>
        <w:gridCol w:w="477"/>
        <w:gridCol w:w="109"/>
        <w:gridCol w:w="109"/>
        <w:gridCol w:w="109"/>
        <w:gridCol w:w="226"/>
        <w:gridCol w:w="887"/>
        <w:gridCol w:w="118"/>
        <w:gridCol w:w="109"/>
        <w:gridCol w:w="109"/>
        <w:gridCol w:w="109"/>
        <w:gridCol w:w="226"/>
        <w:gridCol w:w="887"/>
        <w:gridCol w:w="118"/>
        <w:gridCol w:w="109"/>
        <w:gridCol w:w="109"/>
        <w:gridCol w:w="109"/>
        <w:gridCol w:w="109"/>
        <w:gridCol w:w="109"/>
        <w:gridCol w:w="159"/>
      </w:tblGrid>
      <w:tr>
        <w:trPr/>
        <w:tc>
          <w:tcPr>
            <w:tcW w:w="5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China CITIC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September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RMB100,053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14,070 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14,077 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color w:val="000000"/>
                <w:sz w:val="20"/>
              </w:rPr>
              <w:t>Total US Dollars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637,160 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287,042 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Converted from RMB to dollars as of </w:t>
      </w:r>
      <w:r>
        <w:rPr>
          <w:rFonts w:ascii="Times New Roman;serif" w:hAnsi="Times New Roman;serif"/>
          <w:b w:val="false"/>
          <w:color w:val="000000"/>
          <w:sz w:val="20"/>
          <w:shd w:fill="FFFFFF" w:val="clear"/>
        </w:rPr>
        <w:t>September 30, 2025</w:t>
      </w:r>
      <w:r>
        <w:rPr>
          <w:rFonts w:ascii="Times New Roman;serif" w:hAnsi="Times New Roman;serif"/>
          <w:b w:val="false"/>
          <w:color w:val="000000"/>
          <w:sz w:val="20"/>
        </w:rPr>
        <w:t xml:space="preserve">. </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(2)These China CITIC bank facility agreements are with ACM Research, Inc.</w:t>
      </w:r>
    </w:p>
    <w:p>
      <w:pPr>
        <w:pStyle w:val="TextBody"/>
        <w:bidi w:val="0"/>
        <w:spacing w:lineRule="auto" w:line="288" w:before="240" w:after="283"/>
        <w:ind w:left="0" w:right="0" w:hanging="540"/>
        <w:jc w:val="both"/>
        <w:rPr/>
      </w:pPr>
      <w:r>
        <w:rPr>
          <w:rFonts w:ascii="Times New Roman;serif" w:hAnsi="Times New Roman;serif"/>
          <w:b w:val="false"/>
          <w:color w:val="000000"/>
          <w:sz w:val="20"/>
          <w:shd w:fill="FFFFFF" w:val="clear"/>
        </w:rPr>
        <w:t>(3)</w:t>
      </w:r>
      <w:r>
        <w:rPr>
          <w:rFonts w:ascii="Times New Roman;serif" w:hAnsi="Times New Roman;serif"/>
          <w:b w:val="false"/>
          <w:color w:val="000000"/>
          <w:sz w:val="20"/>
        </w:rPr>
        <w:t>The loan from China Merchants Bank is secured by a pledge of the property of ACM Lingang and guaranteed by ACM Shanghai, as described above under “—Contractual Obligations.”</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Loan Covenants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2025, ACM Shanghai secured long-term loan facilities with China Merchants Bank (note 10) for ACM Shanghai’s project expenditures. The facilities contain certain covenants, which require ACM Shanghai to either repay 50% of the outstanding principal within two months, or repay the loan in accordance with an accelerated payment schedule, if ACM Shanghai does not </w:t>
      </w:r>
      <w:r>
        <w:rPr>
          <w:rFonts w:ascii="Times New Roman;serif" w:hAnsi="Times New Roman;serif"/>
          <w:b w:val="false"/>
          <w:color w:val="000000"/>
          <w:sz w:val="20"/>
        </w:rPr>
        <w:t xml:space="preserve">complete, within three years after then initial drawdown, or before January 2028, a Private Offering </w:t>
      </w:r>
      <w:r>
        <w:rPr>
          <w:rFonts w:ascii="Times New Roman;serif" w:hAnsi="Times New Roman;serif"/>
          <w:b w:val="false"/>
          <w:color w:val="000000"/>
          <w:sz w:val="20"/>
          <w:shd w:fill="FFFFFF" w:val="clear"/>
        </w:rPr>
        <w:t>with more than RMB 900 million of proceeds.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2025, ACM Shanghai secured long-term loan facilities with the Bank of China (note 10) and in April 2025, ACM Shanghai secured a short-term loan facility with the Bank of China for ACM Shanghai’s project expenditures (notes 6 and 8). The facility requires ACM Shanghai’s year-end outstanding interest-bearing debt not to exceed five times of its annual EBITDA, and to comply with other non-financial covenants, or Bank of China has the right to suspend the facility, or request ACM Shanghai to accelerate repayment or provide </w:t>
      </w:r>
      <w:r>
        <w:rPr>
          <w:rFonts w:ascii="Times New Roman;serif" w:hAnsi="Times New Roman;serif"/>
          <w:b w:val="false"/>
          <w:color w:val="000000"/>
          <w:sz w:val="20"/>
        </w:rPr>
        <w:t xml:space="preserve">credit enhancement.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Grant Contract for State-owned Construction Land Use Right in Shanghai City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w:t>
      </w:r>
      <w:r>
        <w:rPr>
          <w:rFonts w:ascii="Times New Roman;serif" w:hAnsi="Times New Roman;serif"/>
          <w:b w:val="false"/>
          <w:color w:val="000000"/>
          <w:sz w:val="20"/>
        </w:rPr>
        <w:t>East China Silicon Hub</w:t>
      </w:r>
      <w:r>
        <w:rPr>
          <w:color w:val="000000"/>
          <w:shd w:fill="FFFFFF" w:val="clear"/>
        </w:rPr>
        <w:t xml:space="preserve"> </w:t>
      </w:r>
      <w:r>
        <w:rPr>
          <w:rFonts w:ascii="Times New Roman;serif" w:hAnsi="Times New Roman;serif"/>
          <w:b w:val="false"/>
          <w:color w:val="000000"/>
          <w:sz w:val="20"/>
          <w:shd w:fill="FFFFFF" w:val="clear"/>
        </w:rPr>
        <w:t xml:space="preserve">of Lin-gang Special Area of China (Shanghai) Pilot Free Trade Zone, or the Land Use Right, for a period of fifty years, commencing on the date of delivery of the land in July 2020, which we refer to as the Delivery Date. In exchange for its land use rights, ACM Lingang paid aggregate grant fees of RMB 61.7 million ($9.5 million), or the Grant Fees, and a </w:t>
      </w:r>
      <w:r>
        <w:rPr>
          <w:rFonts w:ascii="Times New Roman;serif" w:hAnsi="Times New Roman;serif"/>
          <w:b w:val="false"/>
          <w:color w:val="000000"/>
          <w:sz w:val="20"/>
        </w:rPr>
        <w:t xml:space="preserve">performance deposit of RMB 12.3 million ($1.9 million), related to the achievement of the certain performance milestones. As of September 30, 2025, ACM Lingang had officially achieved the milestones, and the performance deposit has been refunded in full (note 7).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In addition to the milestones, covenants in the Grant Agreement require that, among other things, ACM Lingang will be required to pay liquidated damages in the event that </w:t>
      </w:r>
      <w:r>
        <w:rPr>
          <w:rFonts w:ascii="Times New Roman;serif" w:hAnsi="Times New Roman;serif"/>
          <w:b w:val="false"/>
          <w:color w:val="000000"/>
          <w:sz w:val="20"/>
        </w:rPr>
        <w:t>within seven years after the Delivery Date, or prior to July 9, 2027, it does</w:t>
      </w:r>
      <w:r>
        <w:rPr>
          <w:color w:val="000000"/>
          <w:shd w:fill="FFFFFF" w:val="clear"/>
        </w:rPr>
        <w:t xml:space="preserve"> </w:t>
      </w:r>
      <w:r>
        <w:rPr>
          <w:rFonts w:ascii="Times New Roman;serif" w:hAnsi="Times New Roman;serif"/>
          <w:b w:val="false"/>
          <w:color w:val="000000"/>
          <w:sz w:val="20"/>
          <w:shd w:fill="FFFFFF" w:val="clear"/>
        </w:rPr>
        <w:t>not (i) generate a minimum specified amount of annual sales of products manufactured on the granted land or (ii) pay at least RMB 157.6 million ($22.2 million) in annual total taxes (including value-added taxes, corporate income tax, personal income taxes, urban maintenance and construction taxes, education surcharges, stamp taxes, and vehicle and shipping taxes) as a result of operations in connection with the granted land.</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If the total tax revenue of the project fails to reach, but is no less than, 80% of the standard amount </w:t>
      </w:r>
      <w:r>
        <w:rPr>
          <w:rFonts w:ascii="Times New Roman;serif" w:hAnsi="Times New Roman;serif"/>
          <w:b w:val="false"/>
          <w:color w:val="000000"/>
          <w:sz w:val="20"/>
        </w:rPr>
        <w:t xml:space="preserve">agreed </w:t>
      </w:r>
      <w:r>
        <w:rPr>
          <w:rFonts w:ascii="Times New Roman;serif" w:hAnsi="Times New Roman;serif"/>
          <w:b w:val="false"/>
          <w:color w:val="000000"/>
          <w:sz w:val="20"/>
          <w:shd w:fill="FFFFFF" w:val="clear"/>
        </w:rPr>
        <w:t xml:space="preserve">under the Grant Agreement, ACM Lingang shall pay 20% of the actual shortfall amount of the tax revenue as liquidated damages. If the total tax revenue of the project fails to reach 80% of the standard agreed under the Grant Agreement within 1 month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agreed date of reaching target production, the Grantor is entitled to terminate the Grant Agreement, take back the Land Use Right, and shall refund the Grant Fees for the remaining land use term to ACM Lingang.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Grant Agreement is terminated because of breach of any terms above, the Grantor shall take back the buildings, fixtures and auxiliary facilities on the land area and provide ACM Lingang with corresponding compensation according to the residual value of the buildings, fixtures and auxiliary facilities when they are taken back.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How We Evaluate Our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We define “adjusted EBITDA” as net income excluding interest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Shipments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Shipments consist of two components: </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Shipments in the nine months ended September 30, 2025 totaled $626.2 million, as compared to $709.6 million for the same period in 2024. Repeat tool shipments in the nine months ended September 30, 2025 totaled $336.4 million, as compared to $353.5 million for same period in 2024. First tool shipments in the nine months ended September 30, 2025 totaled $289.8 million, as compared to $356.2 million for the same period in 2024.</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Adjusted </w:t>
      </w:r>
      <w:bookmarkStart w:id="2" w:name="i6a52688d938d4152b9e95d98c093bb45_10534"/>
      <w:bookmarkEnd w:id="2"/>
      <w:r>
        <w:rPr>
          <w:rFonts w:ascii="Times New Roman;serif" w:hAnsi="Times New Roman;serif"/>
          <w:b/>
          <w:i/>
          <w:color w:val="000000"/>
          <w:sz w:val="20"/>
          <w:shd w:fill="FFFFFF" w:val="clear"/>
        </w:rPr>
        <w:t xml:space="preserve">EBITDA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rPr/>
      </w:pPr>
      <w:r>
        <w:rPr>
          <w:color w:val="000000"/>
          <w:shd w:fill="FFFFFF" w:val="clear"/>
        </w:rPr>
        <w:t>•</w:t>
      </w:r>
      <w:r>
        <w:rPr>
          <w:rFonts w:ascii="Times New Roman;serif" w:hAnsi="Times New Roman;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720"/>
        <w:jc w:val="both"/>
        <w:rPr/>
      </w:pPr>
      <w:r>
        <w:rPr>
          <w:color w:val="000000"/>
          <w:shd w:fill="FFFFFF" w:val="clear"/>
        </w:rPr>
        <w:t>•</w:t>
      </w:r>
      <w:r>
        <w:rPr>
          <w:rFonts w:ascii="Times New Roman;serif" w:hAnsi="Times New Roman;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financial measure, to adjusted EBITDA:</w:t>
      </w:r>
    </w:p>
    <w:tbl>
      <w:tblPr>
        <w:tblW w:w="10205" w:type="dxa"/>
        <w:jc w:val="left"/>
        <w:tblInd w:w="0" w:type="dxa"/>
        <w:tblLayout w:type="fixed"/>
        <w:tblCellMar>
          <w:top w:w="28" w:type="dxa"/>
          <w:left w:w="28" w:type="dxa"/>
          <w:bottom w:w="28" w:type="dxa"/>
          <w:right w:w="28" w:type="dxa"/>
        </w:tblCellMar>
      </w:tblPr>
      <w:tblGrid>
        <w:gridCol w:w="1452"/>
        <w:gridCol w:w="1276"/>
        <w:gridCol w:w="1280"/>
        <w:gridCol w:w="211"/>
        <w:gridCol w:w="826"/>
        <w:gridCol w:w="109"/>
        <w:gridCol w:w="109"/>
        <w:gridCol w:w="109"/>
        <w:gridCol w:w="109"/>
        <w:gridCol w:w="211"/>
        <w:gridCol w:w="826"/>
        <w:gridCol w:w="109"/>
        <w:gridCol w:w="109"/>
        <w:gridCol w:w="109"/>
        <w:gridCol w:w="109"/>
        <w:gridCol w:w="368"/>
        <w:gridCol w:w="368"/>
        <w:gridCol w:w="643"/>
        <w:gridCol w:w="109"/>
        <w:gridCol w:w="109"/>
        <w:gridCol w:w="109"/>
        <w:gridCol w:w="281"/>
        <w:gridCol w:w="1055"/>
        <w:gridCol w:w="209"/>
      </w:tblGrid>
      <w:tr>
        <w:trPr/>
        <w:tc>
          <w:tcPr>
            <w:tcW w:w="145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4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(10,979)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(13,643)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loss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(1864.0</w:t>
            </w:r>
          </w:p>
        </w:tc>
        <w:tc>
          <w:tcPr>
            <w:tcW w:w="6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(21,455)</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6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(28,259)</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erif" w:hAnsi="Times New Roman;serif"/>
          <w:b w:val="false"/>
          <w:color w:val="000000"/>
          <w:sz w:val="20"/>
        </w:rPr>
        <w:t>M</w:t>
      </w:r>
      <w:r>
        <w:rPr>
          <w:rFonts w:ascii="Times New Roman;serif" w:hAnsi="Times New Roman;serif"/>
          <w:b w:val="false"/>
          <w:color w:val="000000"/>
          <w:sz w:val="20"/>
          <w:shd w:fill="FFFFFF" w:val="clear"/>
        </w:rPr>
        <w:t>ainland China Government Research and Development Funding.”</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Free Cash Flow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cash provided by (used in)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94"/>
        <w:gridCol w:w="1306"/>
        <w:gridCol w:w="1310"/>
        <w:gridCol w:w="211"/>
        <w:gridCol w:w="793"/>
        <w:gridCol w:w="109"/>
        <w:gridCol w:w="109"/>
        <w:gridCol w:w="109"/>
        <w:gridCol w:w="109"/>
        <w:gridCol w:w="211"/>
        <w:gridCol w:w="793"/>
        <w:gridCol w:w="109"/>
        <w:gridCol w:w="109"/>
        <w:gridCol w:w="109"/>
        <w:gridCol w:w="109"/>
        <w:gridCol w:w="315"/>
        <w:gridCol w:w="316"/>
        <w:gridCol w:w="653"/>
        <w:gridCol w:w="109"/>
        <w:gridCol w:w="109"/>
        <w:gridCol w:w="109"/>
        <w:gridCol w:w="267"/>
        <w:gridCol w:w="1138"/>
        <w:gridCol w:w="199"/>
      </w:tblGrid>
      <w:tr>
        <w:trPr/>
        <w:tc>
          <w:tcPr>
            <w:tcW w:w="149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2025 v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2025 v 2024</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Free Cash Flow Data:</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(108,099)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28,574 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and long-term investments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6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(15,961)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446.3</w:t>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(71,234)</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decrease in free cash flow for the nine months ended September 30, 2025 as compared to the same period in 2024 reflected the factors driving net cash used in operating activities, a decrease of purchases of property and equipment, and long-term investment.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Operating Income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of the stock-based instruments we utilize involves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however.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tbl>
      <w:tblPr>
        <w:tblW w:w="10927"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w:t>
              <w:b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(Non-GAAP)</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(275,888)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market risks and the ways we manage them are summarized in the section captioned “Part II, Item 7A. Quantitative and Qualitative Disclosures About Market Risk” in our Annual Report. There have been no material changes in the first nine months of 2025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September 30, 2025. </w:t>
      </w:r>
      <w:r>
        <w:rPr>
          <w:rFonts w:ascii="Times New Roman;serif" w:hAnsi="Times New Roman;serif"/>
          <w:b w:val="false"/>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Based on such evaluation, our Chief Executive Officer and Chief Financial Officer concluded that, as of September 30, 2025, our disclosure controls and procedures were effective </w:t>
      </w:r>
      <w:r>
        <w:rPr>
          <w:rFonts w:ascii="Times New Roman;serif" w:hAnsi="Times New Roman;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that occurred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material changes to the risk factors discussed in Item 1A. “Risk Factors” of Part I in our Annual Report for the fiscal year ended December 31, 2024, as amended and supplemented by the information in “Item 1A. Risk Factors” of Part II in our Quarterly Report on Form 10-Q for the quarterly period ended March 31, 2025.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ACM Research issued, pursuant to the exercise of stock options at a per share exercise price of $0.50 per share, an aggregate of 349,743 shares of Class A common stock that were not registered under the Securities Act of 1933, as amended. We believe the offer and sale of those shares were exempt from registration under the Securities Act of 1933, as amended, by virtue of Section 4(a)(2) thereof (or Regulation D promulgated thereunder) because they did not involve a public offering. The recipients of the shares acquired the securities for investment only and not with a view to or for sale in connection with any distribution thereof, and appropriate legends were recorded with respect to the shares. The recipients of the shares were accredited investors under Rule 501 of Regulation D:</w:t>
      </w:r>
    </w:p>
    <w:p>
      <w:pPr>
        <w:pStyle w:val="TextBody"/>
        <w:bidi w:val="0"/>
        <w:spacing w:before="0" w:after="0"/>
        <w:jc w:val="both"/>
        <w:rPr/>
      </w:pPr>
      <w:r>
        <w:rPr/>
      </w:r>
    </w:p>
    <w:tbl>
      <w:tblPr>
        <w:tblW w:w="3028" w:type="dxa"/>
        <w:jc w:val="left"/>
        <w:tblInd w:w="0" w:type="dxa"/>
        <w:tblLayout w:type="fixed"/>
        <w:tblCellMar>
          <w:top w:w="28" w:type="dxa"/>
          <w:left w:w="28" w:type="dxa"/>
          <w:bottom w:w="28" w:type="dxa"/>
          <w:right w:w="28" w:type="dxa"/>
        </w:tblCellMar>
      </w:tblPr>
      <w:tblGrid>
        <w:gridCol w:w="353"/>
        <w:gridCol w:w="309"/>
        <w:gridCol w:w="312"/>
        <w:gridCol w:w="601"/>
        <w:gridCol w:w="601"/>
        <w:gridCol w:w="85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Sale Date</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Exercised Shares (Net)</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1/3/2025</w:t>
            </w:r>
          </w:p>
        </w:tc>
        <w:tc>
          <w:tcPr>
            <w:tcW w:w="2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26,884</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2/4/2025</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18,525</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2/26/2025</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9,782</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3/3/2025</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27,241</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3/3/2025</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24,519</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3/3/2025</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205,952</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4/1/2025</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4,892</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4/7/2025</w:t>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4,876</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5/6/2025</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27,072</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7/2/2025</w:t>
            </w:r>
          </w:p>
        </w:tc>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27,268</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7/16/2025</w:t>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4,915</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5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381,926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4, 2025, Howard Chen, Legal Counsel, adopted a Rule 10b5-1 trading arrangement (the “Chen Plan”) that is intended to satisfy the affirmative defense of Rule 10b5-1(c) of the Exchange Act. The Chen Plan allows for the contemporaneous exercise of options and sale of up to 50,000 shares of Class A Common Stock, at specific market prices, commencing on December 5, 2025, and continuing until (i) all such options are exercised and the underlying shares are sold, (ii) November 13, 2026, or (iii) such date that the Chen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28, 2025, Fuping Chen, Vice President, Sales—China of ACM Research (Shanghai), Inc., adopted a Rule 10b5-1 trading arrangement (the “Fuping Chen Plan”) that is intended to satisfy the affirmative defense of Rule 10b5-1(c) of the Exchange Act. The Fuping Chen Plan allows for the contemporaneous exercise of options and sale of up to 120,000 shares of Class A Common Stock, at specific market prices, commencing on December 2, 2025, and continuing until (i) all such options are exercised and the underlying shares are sold, (ii) November 20, 2026, or (iii) such date that the Fuping Chen Plan is otherwise terminated according to its terms, whichever comes first.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27, 2025, Mark McKechnie, Chief Financial Officer, adopted a Rule 10b5-1 trading arrangement (the “McKechnie Plan”) that is intended to satisfy the affirmative defense of Rule 10b5-1(c) of the Exchange Act. The McKechnie Plan allows for the contemporaneous exercise of options and sale of up to 129,801 shares of Class A Common Stock, at specific market prices, commencing on December 4, 2025, and continuing until (i) all such options are exercised and the underlying shares are sold, (ii) May 10, 2027, or (iii) such date that the McKechnie Plan is otherwise terminated according to its terms, whichever comes first.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13, 2025, Haiping Dun, Board Member of ACM Research, adopted a Rule 10b5-1 trading arrangement (the “Dun Plan”) that is intended to satisfy the affirmative defense of Rule 10b5-1(c) of the Exchange Act. The Dun Plan allows for the contemporaneous exercise of options and sale of up to 30,000 shares of Class A Common Stock, at specific market prices, commencing on March 9, 2026, and continuing until (i) all such options are exercised and the underlying shares are sold, (ii) August 13, 2027, or (iii) such date that the Dun Plan is otherwise terminated according to its terms, whichever comes first.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13, 2025, Lisa Feng, Chief Financial Officer of ACM Shanghai, adopted a Rule 10b5-1 trading arrangement (the “Feng Plan”) that is intended to satisfy the affirmative defense of Rule 10b5-1(c) of the Exchange Act. The Feng Plan allows for the contemporaneous exercise of options and sale of up to 30,000 shares of Class A Common Stock, at specific market prices, commencing on November 12, 2025, and continuing until (i) all such options are exercised and the underlying shares are sold, (ii) November 13, 2026, or (iii) such date that the Feng Plan is otherwise terminated according to its terms, whichever comes first.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shd w:fill="FFFFFF" w:val="clear"/>
        </w:rPr>
        <w:t>I</w:t>
      </w:r>
      <w:r>
        <w:rPr>
          <w:rFonts w:ascii="Times New Roman;serif" w:hAnsi="Times New Roman;serif"/>
          <w:b/>
          <w:color w:val="000000"/>
          <w:sz w:val="20"/>
        </w:rPr>
        <w:t>tem 6.    Exhibits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644"/>
        <w:gridCol w:w="2644"/>
        <w:gridCol w:w="378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acmr-2025930xex3101.htm">
              <w:r>
                <w:rPr>
                  <w:rStyle w:val="InternetLink"/>
                  <w:rFonts w:ascii="Times New Roman;serif" w:hAnsi="Times New Roman;serif"/>
                  <w:b w:val="false"/>
                  <w:color w:val="0000FF"/>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mr-20250930xex3102.htm">
              <w:r>
                <w:rPr>
                  <w:rStyle w:val="InternetLink"/>
                  <w:rFonts w:ascii="Times New Roman;serif" w:hAnsi="Times New Roman;serif"/>
                  <w:b w:val="false"/>
                  <w:color w:val="0000FF"/>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50930xex3201.htm">
              <w:r>
                <w:rPr>
                  <w:rStyle w:val="InternetLink"/>
                  <w:rFonts w:ascii="Times New Roman;serif" w:hAnsi="Times New Roman;serif"/>
                  <w:b w:val="false"/>
                  <w:color w:val="0000EE"/>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18 U.S.C. Section 1350, as Adopted Pursuant to Section 906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both"/>
        <w:rPr/>
      </w:pPr>
      <w:hyperlink w:anchor="i9746fa7245204a1e99e02350bd02a662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577" w:type="dxa"/>
        <w:jc w:val="left"/>
        <w:tblInd w:w="0" w:type="dxa"/>
        <w:tblLayout w:type="fixed"/>
        <w:tblCellMar>
          <w:top w:w="28" w:type="dxa"/>
          <w:left w:w="28" w:type="dxa"/>
          <w:bottom w:w="28" w:type="dxa"/>
          <w:right w:w="28" w:type="dxa"/>
        </w:tblCellMar>
      </w:tblPr>
      <w:tblGrid>
        <w:gridCol w:w="759"/>
        <w:gridCol w:w="668"/>
        <w:gridCol w:w="672"/>
        <w:gridCol w:w="331"/>
        <w:gridCol w:w="331"/>
        <w:gridCol w:w="331"/>
        <w:gridCol w:w="1307"/>
        <w:gridCol w:w="1307"/>
        <w:gridCol w:w="187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INC.</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H. Wang,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759"/>
        <w:gridCol w:w="668"/>
        <w:gridCol w:w="672"/>
        <w:gridCol w:w="939"/>
        <w:gridCol w:w="939"/>
        <w:gridCol w:w="133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10"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Mark McKechnie,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78" w:type="dxa"/>
        <w:jc w:val="left"/>
        <w:tblInd w:w="0" w:type="dxa"/>
        <w:tblLayout w:type="fixed"/>
        <w:tblCellMar>
          <w:top w:w="28" w:type="dxa"/>
          <w:left w:w="28" w:type="dxa"/>
          <w:bottom w:w="28" w:type="dxa"/>
          <w:right w:w="28" w:type="dxa"/>
        </w:tblCellMar>
      </w:tblPr>
      <w:tblGrid>
        <w:gridCol w:w="759"/>
        <w:gridCol w:w="668"/>
        <w:gridCol w:w="672"/>
        <w:gridCol w:w="1546"/>
        <w:gridCol w:w="1546"/>
        <w:gridCol w:w="218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ACM Research, Inc. for the quarterly period ended June 30, 2025,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ACM Research, Inc. for the period presented therein.</w:t>
      </w:r>
    </w:p>
    <w:tbl>
      <w:tblPr>
        <w:tblW w:w="7378" w:type="dxa"/>
        <w:jc w:val="left"/>
        <w:tblInd w:w="0" w:type="dxa"/>
        <w:tblLayout w:type="fixed"/>
        <w:tblCellMar>
          <w:top w:w="28" w:type="dxa"/>
          <w:left w:w="28" w:type="dxa"/>
          <w:bottom w:w="28" w:type="dxa"/>
          <w:right w:w="28" w:type="dxa"/>
        </w:tblCellMar>
      </w:tblPr>
      <w:tblGrid>
        <w:gridCol w:w="759"/>
        <w:gridCol w:w="668"/>
        <w:gridCol w:w="672"/>
        <w:gridCol w:w="1544"/>
        <w:gridCol w:w="1544"/>
        <w:gridCol w:w="219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Date:November 6, 2025</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25164</Words>
  <Characters>139610</Characters>
  <CharactersWithSpaces>163258</CharactersWithSpaces>
  <Paragraphs>3660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