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2" w:lineRule="exact"/>
        <w:rPr>
          <w:sz w:val="24"/>
          <w:szCs w:val="24"/>
          <w:color w:val="auto"/>
        </w:rPr>
      </w:pPr>
    </w:p>
    <w:p>
      <w:pPr>
        <w:ind w:left="500" w:right="1600" w:hanging="492"/>
        <w:spacing w:after="0" w:line="253"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500" w:right="1580" w:hanging="492"/>
        <w:spacing w:after="0" w:line="266"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_____________</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001-38273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171450</wp:posOffset>
            </wp:positionV>
            <wp:extent cx="52260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260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520" w:type="dxa"/>
        <w:tblCellMar>
          <w:top w:w="0" w:type="dxa"/>
          <w:left w:w="0" w:type="dxa"/>
          <w:bottom w:w="0" w:type="dxa"/>
          <w:right w:w="0" w:type="dxa"/>
        </w:tblCellMar>
      </w:tblPr>
      <w:tr>
        <w:trPr>
          <w:trHeight w:val="220"/>
        </w:trPr>
        <w:tc>
          <w:tcPr>
            <w:tcW w:w="55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770"/>
              <w:spacing w:after="0"/>
              <w:rPr>
                <w:sz w:val="20"/>
                <w:szCs w:val="20"/>
                <w:color w:val="auto"/>
              </w:rPr>
            </w:pPr>
            <w:r>
              <w:rPr>
                <w:rFonts w:ascii="Arial" w:cs="Arial" w:eastAsia="Arial" w:hAnsi="Arial"/>
                <w:sz w:val="18"/>
                <w:szCs w:val="18"/>
                <w:b w:val="1"/>
                <w:bCs w:val="1"/>
                <w:color w:val="auto"/>
              </w:rPr>
              <w:t>94-3290283</w:t>
            </w:r>
          </w:p>
        </w:tc>
      </w:tr>
      <w:tr>
        <w:trPr>
          <w:trHeight w:val="230"/>
        </w:trPr>
        <w:tc>
          <w:tcPr>
            <w:tcW w:w="5580" w:type="dxa"/>
            <w:vAlign w:val="bottom"/>
          </w:tcPr>
          <w:p>
            <w:pPr>
              <w:jc w:val="center"/>
              <w:ind w:right="99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80" w:type="dxa"/>
            <w:vAlign w:val="bottom"/>
          </w:tcPr>
          <w:p>
            <w:pPr>
              <w:jc w:val="center"/>
              <w:ind w:left="10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4"/>
        </w:trPr>
        <w:tc>
          <w:tcPr>
            <w:tcW w:w="5580" w:type="dxa"/>
            <w:vAlign w:val="bottom"/>
          </w:tcPr>
          <w:p>
            <w:pPr>
              <w:jc w:val="center"/>
              <w:ind w:right="1010"/>
              <w:spacing w:after="0"/>
              <w:rPr>
                <w:sz w:val="20"/>
                <w:szCs w:val="20"/>
                <w:color w:val="auto"/>
              </w:rPr>
            </w:pPr>
            <w:r>
              <w:rPr>
                <w:rFonts w:ascii="Arial" w:cs="Arial" w:eastAsia="Arial" w:hAnsi="Arial"/>
                <w:sz w:val="18"/>
                <w:szCs w:val="18"/>
                <w:b w:val="1"/>
                <w:bCs w:val="1"/>
                <w:color w:val="auto"/>
                <w:w w:val="89"/>
              </w:rPr>
              <w:t>42307 Osgood Road, Suite I</w:t>
            </w:r>
          </w:p>
        </w:tc>
        <w:tc>
          <w:tcPr>
            <w:tcW w:w="3680" w:type="dxa"/>
            <w:vAlign w:val="bottom"/>
          </w:tcPr>
          <w:p>
            <w:pPr>
              <w:spacing w:after="0"/>
              <w:rPr>
                <w:sz w:val="24"/>
                <w:szCs w:val="24"/>
                <w:color w:val="auto"/>
              </w:rPr>
            </w:pPr>
          </w:p>
        </w:tc>
      </w:tr>
      <w:tr>
        <w:trPr>
          <w:trHeight w:val="220"/>
        </w:trPr>
        <w:tc>
          <w:tcPr>
            <w:tcW w:w="55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4"/>
              </w:rPr>
              <w:t>Fremont, California</w:t>
            </w:r>
          </w:p>
        </w:tc>
        <w:tc>
          <w:tcPr>
            <w:tcW w:w="3680" w:type="dxa"/>
            <w:vAlign w:val="bottom"/>
          </w:tcPr>
          <w:p>
            <w:pPr>
              <w:jc w:val="right"/>
              <w:ind w:right="970"/>
              <w:spacing w:after="0"/>
              <w:rPr>
                <w:sz w:val="20"/>
                <w:szCs w:val="20"/>
                <w:color w:val="auto"/>
              </w:rPr>
            </w:pPr>
            <w:r>
              <w:rPr>
                <w:rFonts w:ascii="Arial" w:cs="Arial" w:eastAsia="Arial" w:hAnsi="Arial"/>
                <w:sz w:val="18"/>
                <w:szCs w:val="18"/>
                <w:b w:val="1"/>
                <w:bCs w:val="1"/>
                <w:color w:val="auto"/>
              </w:rPr>
              <w:t>94539</w:t>
            </w:r>
          </w:p>
        </w:tc>
      </w:tr>
      <w:tr>
        <w:trPr>
          <w:trHeight w:val="230"/>
        </w:trPr>
        <w:tc>
          <w:tcPr>
            <w:tcW w:w="5580" w:type="dxa"/>
            <w:vAlign w:val="bottom"/>
          </w:tcPr>
          <w:p>
            <w:pPr>
              <w:jc w:val="center"/>
              <w:ind w:right="99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80" w:type="dxa"/>
            <w:vAlign w:val="bottom"/>
          </w:tcPr>
          <w:p>
            <w:pPr>
              <w:jc w:val="center"/>
              <w:ind w:left="1010"/>
              <w:spacing w:after="0"/>
              <w:rPr>
                <w:sz w:val="20"/>
                <w:szCs w:val="20"/>
                <w:color w:val="auto"/>
              </w:rPr>
            </w:pPr>
            <w:r>
              <w:rPr>
                <w:rFonts w:ascii="Arial" w:cs="Arial" w:eastAsia="Arial" w:hAnsi="Arial"/>
                <w:sz w:val="18"/>
                <w:szCs w:val="18"/>
                <w:i w:val="1"/>
                <w:iCs w:val="1"/>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 xml:space="preserve">Registrant’s telephone number, including area code: </w:t>
      </w:r>
      <w:r>
        <w:rPr>
          <w:rFonts w:ascii="Arial" w:cs="Arial" w:eastAsia="Arial" w:hAnsi="Arial"/>
          <w:sz w:val="18"/>
          <w:szCs w:val="18"/>
          <w:b w:val="1"/>
          <w:bCs w:val="1"/>
          <w:color w:val="auto"/>
        </w:rPr>
        <w:t>(510) 445-3700</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20" w:type="dxa"/>
            <w:vAlign w:val="bottom"/>
            <w:gridSpan w:val="3"/>
          </w:tcPr>
          <w:p>
            <w:pPr>
              <w:ind w:left="4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466"/>
        </w:trPr>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35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Trading Symbol</w:t>
            </w:r>
          </w:p>
        </w:tc>
        <w:tc>
          <w:tcPr>
            <w:tcW w:w="42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4"/>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Class A Common Stock, $0.0001 par value</w:t>
            </w:r>
          </w:p>
        </w:tc>
        <w:tc>
          <w:tcPr>
            <w:tcW w:w="120" w:type="dxa"/>
            <w:vAlign w:val="bottom"/>
          </w:tcPr>
          <w:p>
            <w:pPr>
              <w:spacing w:after="0"/>
              <w:rPr>
                <w:sz w:val="20"/>
                <w:szCs w:val="20"/>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ACMR</w:t>
            </w:r>
          </w:p>
        </w:tc>
        <w:tc>
          <w:tcPr>
            <w:tcW w:w="120" w:type="dxa"/>
            <w:vAlign w:val="bottom"/>
          </w:tcPr>
          <w:p>
            <w:pPr>
              <w:spacing w:after="0"/>
              <w:rPr>
                <w:sz w:val="20"/>
                <w:szCs w:val="20"/>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NASDAQ Global Market</w:t>
            </w:r>
          </w:p>
        </w:tc>
      </w:tr>
    </w:tbl>
    <w:p>
      <w:pPr>
        <w:spacing w:after="0" w:line="21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2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8"/>
              </w:rPr>
              <w:t>Non-accelerated filer</w:t>
            </w:r>
          </w:p>
        </w:tc>
        <w:tc>
          <w:tcPr>
            <w:tcW w:w="2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2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060" w:type="dxa"/>
            <w:vAlign w:val="bottom"/>
          </w:tcPr>
          <w:p>
            <w:pPr>
              <w:ind w:left="272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8"/>
                <w:szCs w:val="18"/>
                <w:color w:val="auto"/>
              </w:rPr>
            </w:pPr>
          </w:p>
        </w:tc>
        <w:tc>
          <w:tcPr>
            <w:tcW w:w="2900" w:type="dxa"/>
            <w:vAlign w:val="bottom"/>
            <w:gridSpan w:val="2"/>
          </w:tcPr>
          <w:p>
            <w:pPr>
              <w:jc w:val="center"/>
              <w:ind w:right="2500"/>
              <w:spacing w:after="0"/>
              <w:rPr>
                <w:sz w:val="20"/>
                <w:szCs w:val="20"/>
                <w:color w:val="auto"/>
              </w:rPr>
            </w:pPr>
            <w:r>
              <w:rPr>
                <w:rFonts w:ascii="Arial" w:cs="Arial" w:eastAsia="Arial" w:hAnsi="Arial"/>
                <w:sz w:val="18"/>
                <w:szCs w:val="18"/>
                <w:b w:val="1"/>
                <w:bCs w:val="1"/>
                <w:color w:val="auto"/>
                <w:w w:val="83"/>
              </w:rPr>
              <w:t>Class</w:t>
            </w:r>
          </w:p>
        </w:tc>
        <w:tc>
          <w:tcPr>
            <w:tcW w:w="1720" w:type="dxa"/>
            <w:vAlign w:val="bottom"/>
          </w:tcPr>
          <w:p>
            <w:pPr>
              <w:spacing w:after="0"/>
              <w:rPr>
                <w:sz w:val="18"/>
                <w:szCs w:val="18"/>
                <w:color w:val="auto"/>
              </w:rPr>
            </w:pPr>
          </w:p>
        </w:tc>
        <w:tc>
          <w:tcPr>
            <w:tcW w:w="400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0"/>
              </w:rPr>
              <w:t>Number of Shares Outstanding</w:t>
            </w:r>
          </w:p>
        </w:tc>
      </w:tr>
      <w:tr>
        <w:trPr>
          <w:trHeight w:val="20"/>
        </w:trPr>
        <w:tc>
          <w:tcPr>
            <w:tcW w:w="2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2"/>
        </w:trPr>
        <w:tc>
          <w:tcPr>
            <w:tcW w:w="552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Class A Common Stock, $0.0001 par value</w:t>
            </w:r>
          </w:p>
        </w:tc>
        <w:tc>
          <w:tcPr>
            <w:tcW w:w="572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17,268,562 shares outstanding as of May 4, 2021</w:t>
            </w:r>
          </w:p>
        </w:tc>
      </w:tr>
      <w:tr>
        <w:trPr>
          <w:trHeight w:val="230"/>
        </w:trPr>
        <w:tc>
          <w:tcPr>
            <w:tcW w:w="552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Class B Common Stock, $0.0001 par value</w:t>
            </w:r>
          </w:p>
        </w:tc>
        <w:tc>
          <w:tcPr>
            <w:tcW w:w="572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1,714,272 shares outstanding as of May 4, 2021</w:t>
            </w:r>
          </w:p>
        </w:tc>
      </w:tr>
      <w:tr>
        <w:trPr>
          <w:trHeight w:val="324"/>
        </w:trPr>
        <w:tc>
          <w:tcPr>
            <w:tcW w:w="2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63"/>
        </w:trPr>
        <w:tc>
          <w:tcPr>
            <w:tcW w:w="2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r>
      <w:tr>
        <w:trPr>
          <w:trHeight w:val="817"/>
        </w:trPr>
        <w:tc>
          <w:tcPr>
            <w:tcW w:w="2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63"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w:t>
            </w:r>
          </w:p>
        </w:tc>
        <w:tc>
          <w:tcPr>
            <w:tcW w:w="80" w:type="dxa"/>
            <w:vAlign w:val="bottom"/>
            <w:shd w:val="clear" w:color="auto" w:fill="CCEEFF"/>
          </w:tcPr>
          <w:p>
            <w:pPr>
              <w:spacing w:after="0"/>
              <w:rPr>
                <w:sz w:val="17"/>
                <w:szCs w:val="17"/>
                <w:color w:val="auto"/>
              </w:rPr>
            </w:pPr>
          </w:p>
        </w:tc>
        <w:tc>
          <w:tcPr>
            <w:tcW w:w="9700" w:type="dxa"/>
            <w:vAlign w:val="bottom"/>
            <w:gridSpan w:val="18"/>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Item 1.</w:t>
            </w:r>
          </w:p>
        </w:tc>
        <w:tc>
          <w:tcPr>
            <w:tcW w:w="80" w:type="dxa"/>
            <w:vAlign w:val="bottom"/>
          </w:tcPr>
          <w:p>
            <w:pPr>
              <w:spacing w:after="0"/>
              <w:rPr>
                <w:sz w:val="15"/>
                <w:szCs w:val="15"/>
                <w:color w:val="auto"/>
              </w:rPr>
            </w:pPr>
          </w:p>
        </w:tc>
        <w:tc>
          <w:tcPr>
            <w:tcW w:w="9700" w:type="dxa"/>
            <w:vAlign w:val="bottom"/>
            <w:gridSpan w:val="18"/>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70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2021 and December 31, 2020</w:t>
              </w:r>
            </w:hyperlink>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00" w:type="dxa"/>
            <w:vAlign w:val="bottom"/>
            <w:gridSpan w:val="18"/>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Operations and Comprehensive Income for the Three Months Ended March 31, 2021 and</w:t>
              </w:r>
            </w:hyperlink>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600" w:type="dxa"/>
            <w:vAlign w:val="bottom"/>
            <w:tcBorders>
              <w:top w:val="single" w:sz="8" w:color="0000EE"/>
            </w:tcBorders>
            <w:gridSpan w:val="2"/>
            <w:vMerge w:val="restart"/>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2020</w:t>
              </w:r>
            </w:hyperlink>
          </w:p>
        </w:tc>
        <w:tc>
          <w:tcPr>
            <w:tcW w:w="3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62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90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240" w:type="dxa"/>
            <w:vAlign w:val="bottom"/>
            <w:tcBorders>
              <w:top w:val="single" w:sz="8" w:color="0000EE"/>
            </w:tcBorders>
          </w:tcPr>
          <w:p>
            <w:pPr>
              <w:spacing w:after="0"/>
              <w:rPr>
                <w:sz w:val="11"/>
                <w:szCs w:val="11"/>
                <w:color w:val="auto"/>
              </w:rPr>
            </w:pPr>
          </w:p>
        </w:tc>
        <w:tc>
          <w:tcPr>
            <w:tcW w:w="1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Changes in Stockholders’ Equity for the Three Months Ended March 31, 2021 and 2020</w:t>
              </w:r>
            </w:hyperlink>
          </w:p>
        </w:tc>
        <w:tc>
          <w:tcPr>
            <w:tcW w:w="4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80" w:type="dxa"/>
            <w:vAlign w:val="bottom"/>
            <w:gridSpan w:val="19"/>
          </w:tcPr>
          <w:p>
            <w:pPr>
              <w:ind w:left="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March 31, 2021 and 2020</w:t>
              </w:r>
            </w:hyperlink>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5700" w:type="dxa"/>
            <w:vAlign w:val="bottom"/>
            <w:tcBorders>
              <w:bottom w:val="single" w:sz="8" w:color="CCEEFF"/>
            </w:tcBorders>
            <w:gridSpan w:val="8"/>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Item 2.</w:t>
            </w:r>
          </w:p>
        </w:tc>
        <w:tc>
          <w:tcPr>
            <w:tcW w:w="9780" w:type="dxa"/>
            <w:vAlign w:val="bottom"/>
            <w:gridSpan w:val="19"/>
          </w:tcPr>
          <w:p>
            <w:pPr>
              <w:ind w:left="8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Item 3.</w:t>
            </w:r>
          </w:p>
        </w:tc>
        <w:tc>
          <w:tcPr>
            <w:tcW w:w="80" w:type="dxa"/>
            <w:vAlign w:val="bottom"/>
            <w:shd w:val="clear" w:color="auto" w:fill="CCEEFF"/>
          </w:tcPr>
          <w:p>
            <w:pPr>
              <w:spacing w:after="0"/>
              <w:rPr>
                <w:sz w:val="17"/>
                <w:szCs w:val="17"/>
                <w:color w:val="auto"/>
              </w:rPr>
            </w:pPr>
          </w:p>
        </w:tc>
        <w:tc>
          <w:tcPr>
            <w:tcW w:w="9700" w:type="dxa"/>
            <w:vAlign w:val="bottom"/>
            <w:gridSpan w:val="18"/>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Risks</w:t>
              </w:r>
            </w:hyperlink>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80" w:type="dxa"/>
            <w:vAlign w:val="bottom"/>
            <w:tcBorders>
              <w:top w:val="single" w:sz="8" w:color="CCEEFF"/>
            </w:tcBorders>
            <w:gridSpan w:val="2"/>
          </w:tcPr>
          <w:p>
            <w:pPr>
              <w:ind w:left="140"/>
              <w:spacing w:after="0" w:line="176" w:lineRule="exact"/>
              <w:rPr>
                <w:sz w:val="20"/>
                <w:szCs w:val="20"/>
                <w:color w:val="auto"/>
              </w:rPr>
            </w:pPr>
            <w:r>
              <w:rPr>
                <w:rFonts w:ascii="Arial" w:cs="Arial" w:eastAsia="Arial" w:hAnsi="Arial"/>
                <w:sz w:val="18"/>
                <w:szCs w:val="18"/>
                <w:color w:val="auto"/>
              </w:rPr>
              <w:t>Item 4.</w:t>
            </w:r>
          </w:p>
        </w:tc>
        <w:tc>
          <w:tcPr>
            <w:tcW w:w="80" w:type="dxa"/>
            <w:vAlign w:val="bottom"/>
            <w:tcBorders>
              <w:top w:val="single" w:sz="8" w:color="CCEEFF"/>
            </w:tcBorders>
          </w:tcPr>
          <w:p>
            <w:pPr>
              <w:spacing w:after="0"/>
              <w:rPr>
                <w:sz w:val="15"/>
                <w:szCs w:val="15"/>
                <w:color w:val="auto"/>
              </w:rPr>
            </w:pPr>
          </w:p>
        </w:tc>
        <w:tc>
          <w:tcPr>
            <w:tcW w:w="438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5320" w:type="dxa"/>
            <w:vAlign w:val="bottom"/>
            <w:tcBorders>
              <w:top w:val="single" w:sz="8" w:color="CCEEFF"/>
            </w:tcBorders>
            <w:gridSpan w:val="6"/>
          </w:tcPr>
          <w:p>
            <w:pPr>
              <w:spacing w:after="0"/>
              <w:rPr>
                <w:sz w:val="15"/>
                <w:szCs w:val="15"/>
                <w:color w:val="auto"/>
              </w:rPr>
            </w:pPr>
          </w:p>
        </w:tc>
        <w:tc>
          <w:tcPr>
            <w:tcW w:w="5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OTHER INFORMATION</w:t>
              </w:r>
            </w:hyperlink>
          </w:p>
        </w:tc>
        <w:tc>
          <w:tcPr>
            <w:tcW w:w="7800" w:type="dxa"/>
            <w:vAlign w:val="bottom"/>
            <w:tcBorders>
              <w:bottom w:val="single" w:sz="8" w:color="CCEEFF"/>
            </w:tcBorders>
            <w:gridSpan w:val="11"/>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Item 1.</w:t>
            </w:r>
          </w:p>
        </w:tc>
        <w:tc>
          <w:tcPr>
            <w:tcW w:w="9780" w:type="dxa"/>
            <w:vAlign w:val="bottom"/>
            <w:gridSpan w:val="19"/>
          </w:tcPr>
          <w:p>
            <w:pPr>
              <w:ind w:left="8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Item 1A.</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Risk Factors</w:t>
              </w:r>
            </w:hyperlink>
          </w:p>
        </w:tc>
        <w:tc>
          <w:tcPr>
            <w:tcW w:w="8780" w:type="dxa"/>
            <w:vAlign w:val="bottom"/>
            <w:tcBorders>
              <w:bottom w:val="single" w:sz="8" w:color="CCEEFF"/>
            </w:tcBorders>
            <w:gridSpan w:val="15"/>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Item 2.</w:t>
            </w:r>
          </w:p>
        </w:tc>
        <w:tc>
          <w:tcPr>
            <w:tcW w:w="9780" w:type="dxa"/>
            <w:vAlign w:val="bottom"/>
            <w:gridSpan w:val="19"/>
          </w:tcPr>
          <w:p>
            <w:pPr>
              <w:ind w:left="8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Item 5.</w:t>
            </w:r>
          </w:p>
        </w:tc>
        <w:tc>
          <w:tcPr>
            <w:tcW w:w="80" w:type="dxa"/>
            <w:vAlign w:val="bottom"/>
            <w:shd w:val="clear" w:color="auto" w:fill="CCEEFF"/>
          </w:tcPr>
          <w:p>
            <w:pPr>
              <w:spacing w:after="0"/>
              <w:rPr>
                <w:sz w:val="17"/>
                <w:szCs w:val="17"/>
                <w:color w:val="auto"/>
              </w:rPr>
            </w:pPr>
          </w:p>
        </w:tc>
        <w:tc>
          <w:tcPr>
            <w:tcW w:w="9700" w:type="dxa"/>
            <w:vAlign w:val="bottom"/>
            <w:gridSpan w:val="18"/>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80" w:type="dxa"/>
            <w:vAlign w:val="bottom"/>
            <w:tcBorders>
              <w:top w:val="single" w:sz="8" w:color="CCEEFF"/>
            </w:tcBorders>
            <w:gridSpan w:val="2"/>
          </w:tcPr>
          <w:p>
            <w:pPr>
              <w:ind w:left="140"/>
              <w:spacing w:after="0" w:line="176" w:lineRule="exact"/>
              <w:rPr>
                <w:sz w:val="20"/>
                <w:szCs w:val="20"/>
                <w:color w:val="auto"/>
              </w:rPr>
            </w:pPr>
            <w:r>
              <w:rPr>
                <w:rFonts w:ascii="Arial" w:cs="Arial" w:eastAsia="Arial" w:hAnsi="Arial"/>
                <w:sz w:val="18"/>
                <w:szCs w:val="18"/>
                <w:color w:val="auto"/>
              </w:rPr>
              <w:t>Item 6.</w:t>
            </w: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8380" w:type="dxa"/>
            <w:vAlign w:val="bottom"/>
            <w:tcBorders>
              <w:top w:val="single" w:sz="8" w:color="CCEEFF"/>
            </w:tcBorders>
            <w:gridSpan w:val="14"/>
          </w:tcPr>
          <w:p>
            <w:pPr>
              <w:spacing w:after="0"/>
              <w:rPr>
                <w:sz w:val="15"/>
                <w:szCs w:val="15"/>
                <w:color w:val="auto"/>
              </w:rPr>
            </w:pPr>
          </w:p>
        </w:tc>
        <w:tc>
          <w:tcPr>
            <w:tcW w:w="5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gridSpan w:val="2"/>
            <w:shd w:val="clear" w:color="auto" w:fill="CCEEFF"/>
          </w:tcPr>
          <w:p>
            <w:pPr>
              <w:spacing w:after="0" w:line="176"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Signatures</w:t>
              </w:r>
            </w:hyperlink>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and its subsidiaries, including ACM Shanghai, collectively.</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SAPS, TEBO, ULTRA C and ULTRA FURNACE are our trademarks. For convenience, these trademarks appear in this report without ™ symbols, but that practice does not mean that we will not assert, to the fullest extent under applicable law, our rights to the trademarks. This report also contains other companies’ trademarks, registered marks and trade names, which are the property of those companies.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STATISTICAL DATA</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information included under the heading “Item 2. Management’s Discussion and Analysis of Financial Condition and Results of Operations – Overview,” of Part I of this report contains statistical data and estimates, including forecasts, that are based on information provided by Gartner, Inc., or Gartner, in “Forecast: Semiconductor Wafer Fab Equipment, Worldwide, 4Q20 Update” (December 22, 2020),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080" w:type="dxa"/>
            <w:vAlign w:val="bottom"/>
          </w:tcPr>
          <w:p>
            <w:pPr>
              <w:ind w:left="48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600" w:type="dxa"/>
            <w:vAlign w:val="bottom"/>
          </w:tcPr>
          <w:p>
            <w:pPr>
              <w:spacing w:after="0"/>
              <w:rPr>
                <w:sz w:val="24"/>
                <w:szCs w:val="24"/>
                <w:color w:val="auto"/>
              </w:rPr>
            </w:pPr>
          </w:p>
        </w:tc>
        <w:tc>
          <w:tcPr>
            <w:tcW w:w="8080" w:type="dxa"/>
            <w:vAlign w:val="bottom"/>
          </w:tcPr>
          <w:p>
            <w:pPr>
              <w:jc w:val="center"/>
              <w:ind w:left="1890"/>
              <w:spacing w:after="0"/>
              <w:rPr>
                <w:sz w:val="20"/>
                <w:szCs w:val="20"/>
                <w:color w:val="auto"/>
              </w:rPr>
            </w:pPr>
            <w:r>
              <w:rPr>
                <w:rFonts w:ascii="Arial" w:cs="Arial" w:eastAsia="Arial" w:hAnsi="Arial"/>
                <w:sz w:val="18"/>
                <w:szCs w:val="18"/>
                <w:b w:val="1"/>
                <w:bCs w:val="1"/>
                <w:color w:val="auto"/>
              </w:rPr>
              <w:t>ACM RESEARCH,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600" w:type="dxa"/>
            <w:vAlign w:val="bottom"/>
          </w:tcPr>
          <w:p>
            <w:pPr>
              <w:spacing w:after="0"/>
              <w:rPr>
                <w:sz w:val="19"/>
                <w:szCs w:val="19"/>
                <w:color w:val="auto"/>
              </w:rPr>
            </w:pPr>
          </w:p>
        </w:tc>
        <w:tc>
          <w:tcPr>
            <w:tcW w:w="8080" w:type="dxa"/>
            <w:vAlign w:val="bottom"/>
          </w:tcPr>
          <w:p>
            <w:pPr>
              <w:jc w:val="center"/>
              <w:ind w:left="18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00" w:type="dxa"/>
            <w:vAlign w:val="bottom"/>
          </w:tcPr>
          <w:p>
            <w:pPr>
              <w:spacing w:after="0"/>
              <w:rPr>
                <w:sz w:val="18"/>
                <w:szCs w:val="18"/>
                <w:color w:val="auto"/>
              </w:rPr>
            </w:pPr>
          </w:p>
        </w:tc>
        <w:tc>
          <w:tcPr>
            <w:tcW w:w="8080" w:type="dxa"/>
            <w:vAlign w:val="bottom"/>
          </w:tcPr>
          <w:p>
            <w:pPr>
              <w:jc w:val="center"/>
              <w:ind w:left="1870"/>
              <w:spacing w:after="0"/>
              <w:rPr>
                <w:sz w:val="20"/>
                <w:szCs w:val="20"/>
                <w:color w:val="auto"/>
              </w:rPr>
            </w:pPr>
            <w:r>
              <w:rPr>
                <w:rFonts w:ascii="Arial" w:cs="Arial" w:eastAsia="Arial" w:hAnsi="Arial"/>
                <w:sz w:val="18"/>
                <w:szCs w:val="18"/>
                <w:i w:val="1"/>
                <w:iCs w:val="1"/>
                <w:color w:val="auto"/>
                <w:w w:val="89"/>
              </w:rPr>
              <w:t>(In thousands, except per share data)</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8080" w:type="dxa"/>
            <w:vAlign w:val="bottom"/>
          </w:tcPr>
          <w:p>
            <w:pPr>
              <w:jc w:val="center"/>
              <w:ind w:left="1870"/>
              <w:spacing w:after="0"/>
              <w:rPr>
                <w:sz w:val="20"/>
                <w:szCs w:val="20"/>
                <w:color w:val="auto"/>
              </w:rPr>
            </w:pPr>
            <w:r>
              <w:rPr>
                <w:rFonts w:ascii="Arial" w:cs="Arial" w:eastAsia="Arial" w:hAnsi="Arial"/>
                <w:sz w:val="18"/>
                <w:szCs w:val="18"/>
                <w:i w:val="1"/>
                <w:iCs w:val="1"/>
                <w:color w:val="auto"/>
                <w:w w:val="93"/>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0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60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2"/>
        </w:trPr>
        <w:tc>
          <w:tcPr>
            <w:tcW w:w="600" w:type="dxa"/>
            <w:vAlign w:val="bottom"/>
          </w:tcPr>
          <w:p>
            <w:pPr>
              <w:spacing w:after="0"/>
              <w:rPr>
                <w:sz w:val="17"/>
                <w:szCs w:val="17"/>
                <w:color w:val="auto"/>
              </w:rPr>
            </w:pPr>
          </w:p>
        </w:tc>
        <w:tc>
          <w:tcPr>
            <w:tcW w:w="8080" w:type="dxa"/>
            <w:vAlign w:val="bottom"/>
          </w:tcPr>
          <w:p>
            <w:pPr>
              <w:jc w:val="center"/>
              <w:ind w:right="630"/>
              <w:spacing w:after="0" w:line="201" w:lineRule="exact"/>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71,766</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Trading securities (note 15)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27,003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28,239</w:t>
            </w: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Accounts receivable, less allowance for doubtful accounts of $0 as of March 31, 2021 and December 31, 2020 (note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w:t>
            </w:r>
          </w:p>
        </w:tc>
        <w:tc>
          <w:tcPr>
            <w:tcW w:w="8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60,394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56,441</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9,679</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 (note 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88,639</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5,892</w:t>
            </w:r>
          </w:p>
        </w:tc>
      </w:tr>
      <w:tr>
        <w:trPr>
          <w:trHeight w:val="216"/>
        </w:trPr>
        <w:tc>
          <w:tcPr>
            <w:tcW w:w="8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286,552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260,656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Property, plant and equipment, net (note 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8,192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use right, net (note 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9,646</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Operating lease right-of-use assets, net (note 11)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4,297</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tax assets (note 20)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13,908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11,076</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investments (note 14)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6,340</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Other long-term assets (note 8)</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40,475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40,496</w:t>
            </w:r>
          </w:p>
        </w:tc>
      </w:tr>
      <w:tr>
        <w:trPr>
          <w:trHeight w:val="257"/>
        </w:trPr>
        <w:tc>
          <w:tcPr>
            <w:tcW w:w="60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371,819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341,257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600" w:type="dxa"/>
            <w:vAlign w:val="bottom"/>
          </w:tcPr>
          <w:p>
            <w:pPr>
              <w:spacing w:after="0"/>
              <w:rPr>
                <w:sz w:val="18"/>
                <w:szCs w:val="18"/>
                <w:color w:val="auto"/>
              </w:rPr>
            </w:pPr>
          </w:p>
        </w:tc>
        <w:tc>
          <w:tcPr>
            <w:tcW w:w="808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Liabilities and 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Short-term borrowings (note 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23,490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26,147</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portion of long-term borrowings (note 12)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44,721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35,603</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Advances from customers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17,888</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1,343</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taxes payable (note 20)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FIN-48 payable (note 20)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payables and accrued expenses (note 10)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18,805</w:t>
            </w:r>
          </w:p>
        </w:tc>
      </w:tr>
      <w:tr>
        <w:trPr>
          <w:trHeight w:val="223"/>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Current portion of operating lease liability (note 11)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r>
      <w:tr>
        <w:trPr>
          <w:trHeight w:val="216"/>
        </w:trPr>
        <w:tc>
          <w:tcPr>
            <w:tcW w:w="8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128,035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102,908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Long-term borrowings (note 12)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17,444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17,979</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operating lease liability (note 11)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tax liability (note 20)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long-term liabilities (note 13)</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600" w:type="dxa"/>
            <w:vAlign w:val="bottom"/>
          </w:tcPr>
          <w:p>
            <w:pPr>
              <w:spacing w:after="0"/>
              <w:rPr>
                <w:sz w:val="19"/>
                <w:szCs w:val="19"/>
                <w:color w:val="auto"/>
              </w:rPr>
            </w:pP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156,572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133,087</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21)</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 Class A, par value $0.0001: 50,000,000 shares authorized as of March 31, 2021 and December 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2020; 17,239,967 shares issued and outstanding as of March 31, 2021 and 16,896,693 shares issued and outstanding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 of December 31, 2020 (note 17)</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5"/>
              </w:rPr>
              <w:t>Common stock–Class B, par value $0.0001: 2,409,738 shares authorized as of March 31, 2021 and December 31,</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w w:val="90"/>
              </w:rPr>
              <w:t>2020; 1,769,272 shares issued and outstanding as of March 31, 2021 and 1,802,606 shares issued and outstanding as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of December 31, 2020 (note 17)</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102,004</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Accumulated surplus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39,757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34,287</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ACM Research, Inc. stockholders’ equity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148,311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141,150</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66,936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67,020</w:t>
            </w:r>
          </w:p>
        </w:tc>
      </w:tr>
      <w:tr>
        <w:trPr>
          <w:trHeight w:val="223"/>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215,247</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208,170</w:t>
            </w:r>
          </w:p>
        </w:tc>
        <w:tc>
          <w:tcPr>
            <w:tcW w:w="100" w:type="dxa"/>
            <w:vAlign w:val="bottom"/>
            <w:tcBorders>
              <w:top w:val="single" w:sz="8" w:color="CCEEFF"/>
            </w:tcBorders>
          </w:tcPr>
          <w:p>
            <w:pPr>
              <w:spacing w:after="0"/>
              <w:rPr>
                <w:sz w:val="19"/>
                <w:szCs w:val="19"/>
                <w:color w:val="auto"/>
              </w:rPr>
            </w:pPr>
          </w:p>
        </w:tc>
      </w:tr>
      <w:tr>
        <w:trPr>
          <w:trHeight w:val="256"/>
        </w:trPr>
        <w:tc>
          <w:tcPr>
            <w:tcW w:w="60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371,819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341,257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2" w:right="339" w:bottom="926"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926" w:gutter="0" w:footer="0" w:header="0"/>
          <w:type w:val="continuous"/>
        </w:sectPr>
      </w:pPr>
    </w:p>
    <w:bookmarkStart w:id="4" w:name="page5"/>
    <w:bookmarkEnd w:id="4"/>
    <w:p>
      <w:pPr>
        <w:ind w:left="10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256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 (note 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25,687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14,120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18,045</w:t>
            </w:r>
          </w:p>
        </w:tc>
        <w:tc>
          <w:tcPr>
            <w:tcW w:w="20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 net</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14,595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Unrealized loss on trading securities</w:t>
            </w:r>
          </w:p>
        </w:tc>
        <w:tc>
          <w:tcPr>
            <w:tcW w:w="20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(1,047)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Equity income in net income of affiliates</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Income tax benefit (expense) (note 20)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 and redeemable non-controlling interests</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income attributable to ACM Research, Inc.</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5,470</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(1,332)</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w w:val="98"/>
              </w:rPr>
              <w:t>Less: Comprehensive income attributable to non-controlling interests and redeemable non-controlling interests</w:t>
            </w:r>
          </w:p>
        </w:tc>
        <w:tc>
          <w:tcPr>
            <w:tcW w:w="20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Comprehensive income attributable to ACM Research, Inc.</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ACM Research, Inc. per common share (note 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0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computing per share amounts (note 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18,786,870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18,120,363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21,868,280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21,066,636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Common</w:t>
            </w:r>
          </w:p>
        </w:tc>
        <w:tc>
          <w:tcPr>
            <w:tcW w:w="380" w:type="dxa"/>
            <w:vAlign w:val="bottom"/>
          </w:tcPr>
          <w:p>
            <w:pPr>
              <w:spacing w:after="0"/>
              <w:rPr>
                <w:sz w:val="18"/>
                <w:szCs w:val="18"/>
                <w:color w:val="auto"/>
              </w:rPr>
            </w:pPr>
          </w:p>
        </w:tc>
        <w:tc>
          <w:tcPr>
            <w:tcW w:w="16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Common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1"/>
        </w:trPr>
        <w:tc>
          <w:tcPr>
            <w:tcW w:w="1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Stock Class A</w:t>
            </w:r>
          </w:p>
        </w:tc>
        <w:tc>
          <w:tcPr>
            <w:tcW w:w="3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Stock Class B</w:t>
            </w:r>
          </w:p>
        </w:tc>
        <w:tc>
          <w:tcPr>
            <w:tcW w:w="14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8"/>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center"/>
              <w:ind w:left="70"/>
              <w:spacing w:after="0"/>
              <w:rPr>
                <w:sz w:val="20"/>
                <w:szCs w:val="20"/>
                <w:color w:val="auto"/>
              </w:rPr>
            </w:pPr>
            <w:r>
              <w:rPr>
                <w:rFonts w:ascii="Arial" w:cs="Arial" w:eastAsia="Arial" w:hAnsi="Arial"/>
                <w:sz w:val="18"/>
                <w:szCs w:val="18"/>
                <w:b w:val="1"/>
                <w:bCs w:val="1"/>
                <w:color w:val="auto"/>
                <w:w w:val="95"/>
              </w:rPr>
              <w:t>Other</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Non-</w:t>
            </w:r>
          </w:p>
        </w:tc>
        <w:tc>
          <w:tcPr>
            <w:tcW w:w="240" w:type="dxa"/>
            <w:vAlign w:val="bottom"/>
          </w:tcPr>
          <w:p>
            <w:pPr>
              <w:spacing w:after="0"/>
              <w:rPr>
                <w:sz w:val="18"/>
                <w:szCs w:val="18"/>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Additional Paid-</w:t>
            </w: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Accumulated</w:t>
            </w:r>
          </w:p>
        </w:tc>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controlling</w:t>
            </w: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Stockholders’</w:t>
            </w: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10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Shares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4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in Capital</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5"/>
              </w:rPr>
              <w:t>Surplus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interests</w:t>
            </w:r>
          </w:p>
        </w:tc>
        <w:tc>
          <w:tcPr>
            <w:tcW w:w="24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Equity</w:t>
            </w:r>
          </w:p>
        </w:tc>
      </w:tr>
      <w:tr>
        <w:trPr>
          <w:trHeight w:val="198"/>
        </w:trPr>
        <w:tc>
          <w:tcPr>
            <w:tcW w:w="12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1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December</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1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31, 2020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16,896,693</w:t>
            </w:r>
          </w:p>
        </w:tc>
        <w:tc>
          <w:tcPr>
            <w:tcW w:w="66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2"/>
              </w:rPr>
              <w:t>1,802,606</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7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102,004</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34,287</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4,857</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67,020</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208,170</w:t>
            </w:r>
          </w:p>
        </w:tc>
      </w:tr>
      <w:tr>
        <w:trPr>
          <w:trHeight w:val="202"/>
        </w:trPr>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1280" w:type="dxa"/>
            <w:vAlign w:val="bottom"/>
            <w:gridSpan w:val="2"/>
          </w:tcPr>
          <w:p>
            <w:pPr>
              <w:ind w:left="180"/>
              <w:spacing w:after="0"/>
              <w:rPr>
                <w:sz w:val="20"/>
                <w:szCs w:val="20"/>
                <w:color w:val="auto"/>
              </w:rPr>
            </w:pPr>
            <w:r>
              <w:rPr>
                <w:rFonts w:ascii="Arial" w:cs="Arial" w:eastAsia="Arial" w:hAnsi="Arial"/>
                <w:sz w:val="18"/>
                <w:szCs w:val="18"/>
                <w:color w:val="auto"/>
                <w:w w:val="98"/>
              </w:rPr>
              <w:t>attributable to</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ACM</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Research,</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Inc.</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5,470</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5,822</w:t>
            </w:r>
          </w:p>
        </w:tc>
      </w:tr>
      <w:tr>
        <w:trPr>
          <w:trHeight w:val="202"/>
        </w:trPr>
        <w:tc>
          <w:tcPr>
            <w:tcW w:w="1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1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translation</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1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(896)</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r>
      <w:tr>
        <w:trPr>
          <w:trHeight w:val="202"/>
        </w:trPr>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rPr>
              <w:t>Exercise of</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stock options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309,940</w:t>
            </w:r>
          </w:p>
        </w:tc>
        <w:tc>
          <w:tcPr>
            <w:tcW w:w="660" w:type="dxa"/>
            <w:vAlign w:val="bottom"/>
          </w:tcPr>
          <w:p>
            <w:pPr>
              <w:spacing w:after="0"/>
              <w:rPr>
                <w:sz w:val="20"/>
                <w:szCs w:val="20"/>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7"/>
              </w:rPr>
              <w:t>1,377</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1,377</w:t>
            </w:r>
          </w:p>
        </w:tc>
      </w:tr>
      <w:tr>
        <w:trPr>
          <w:trHeight w:val="202"/>
        </w:trPr>
        <w:tc>
          <w:tcPr>
            <w:tcW w:w="1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1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compensation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1,210</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1,210</w:t>
            </w:r>
          </w:p>
        </w:tc>
      </w:tr>
      <w:tr>
        <w:trPr>
          <w:trHeight w:val="202"/>
        </w:trPr>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rPr>
              <w:t>Conversion of</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Class B</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common</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80" w:type="dxa"/>
            <w:vAlign w:val="bottom"/>
            <w:gridSpan w:val="2"/>
          </w:tcPr>
          <w:p>
            <w:pPr>
              <w:ind w:left="180"/>
              <w:spacing w:after="0"/>
              <w:rPr>
                <w:sz w:val="20"/>
                <w:szCs w:val="20"/>
                <w:color w:val="auto"/>
              </w:rPr>
            </w:pPr>
            <w:r>
              <w:rPr>
                <w:rFonts w:ascii="Arial" w:cs="Arial" w:eastAsia="Arial" w:hAnsi="Arial"/>
                <w:sz w:val="18"/>
                <w:szCs w:val="18"/>
                <w:color w:val="auto"/>
                <w:w w:val="96"/>
              </w:rPr>
              <w:t>stock to Class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A common</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7"/>
        </w:trPr>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stock</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33,334</w:t>
            </w:r>
          </w:p>
        </w:tc>
        <w:tc>
          <w:tcPr>
            <w:tcW w:w="6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(33,334)</w:t>
            </w: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74"/>
              </w:rPr>
              <w:t>-</w:t>
            </w: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198"/>
        </w:trPr>
        <w:tc>
          <w:tcPr>
            <w:tcW w:w="12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1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March 31,</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75"/>
        </w:trPr>
        <w:tc>
          <w:tcPr>
            <w:tcW w:w="11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17,239,967</w:t>
            </w:r>
          </w:p>
        </w:tc>
        <w:tc>
          <w:tcPr>
            <w:tcW w:w="6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2"/>
              </w:rPr>
              <w:t>1,769,272</w:t>
            </w:r>
          </w:p>
        </w:tc>
        <w:tc>
          <w:tcPr>
            <w:tcW w:w="7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7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104,591</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39,757</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3,961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66,936</w:t>
            </w: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215,247</w:t>
            </w:r>
          </w:p>
        </w:tc>
      </w:tr>
      <w:tr>
        <w:trPr>
          <w:trHeight w:val="434"/>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Common</w:t>
            </w:r>
          </w:p>
        </w:tc>
        <w:tc>
          <w:tcPr>
            <w:tcW w:w="860" w:type="dxa"/>
            <w:vAlign w:val="bottom"/>
          </w:tcPr>
          <w:p>
            <w:pPr>
              <w:spacing w:after="0"/>
              <w:rPr>
                <w:sz w:val="24"/>
                <w:szCs w:val="24"/>
                <w:color w:val="auto"/>
              </w:rPr>
            </w:pPr>
          </w:p>
        </w:tc>
        <w:tc>
          <w:tcPr>
            <w:tcW w:w="1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1"/>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w w:val="96"/>
              </w:rPr>
              <w:t>Stock Class A</w:t>
            </w: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Stock Class B</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8"/>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8"/>
                <w:szCs w:val="18"/>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Arial" w:cs="Arial" w:eastAsia="Arial" w:hAnsi="Arial"/>
                <w:sz w:val="18"/>
                <w:szCs w:val="18"/>
                <w:b w:val="1"/>
                <w:bCs w:val="1"/>
                <w:color w:val="auto"/>
                <w:w w:val="96"/>
              </w:rPr>
              <w:t>Additional Paid-</w:t>
            </w:r>
          </w:p>
        </w:tc>
        <w:tc>
          <w:tcPr>
            <w:tcW w:w="1140" w:type="dxa"/>
            <w:vAlign w:val="bottom"/>
            <w:gridSpan w:val="3"/>
          </w:tcPr>
          <w:p>
            <w:pPr>
              <w:ind w:left="120"/>
              <w:spacing w:after="0"/>
              <w:rPr>
                <w:sz w:val="20"/>
                <w:szCs w:val="20"/>
                <w:color w:val="auto"/>
              </w:rPr>
            </w:pPr>
            <w:r>
              <w:rPr>
                <w:rFonts w:ascii="Arial" w:cs="Arial" w:eastAsia="Arial" w:hAnsi="Arial"/>
                <w:sz w:val="18"/>
                <w:szCs w:val="18"/>
                <w:b w:val="1"/>
                <w:bCs w:val="1"/>
                <w:color w:val="auto"/>
                <w:w w:val="88"/>
              </w:rPr>
              <w:t>Accumulated</w:t>
            </w:r>
          </w:p>
        </w:tc>
        <w:tc>
          <w:tcPr>
            <w:tcW w:w="1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Stockholders’</w:t>
            </w: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760" w:type="dxa"/>
            <w:vAlign w:val="bottom"/>
          </w:tcPr>
          <w:p>
            <w:pPr>
              <w:ind w:left="6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760" w:type="dxa"/>
            <w:vAlign w:val="bottom"/>
          </w:tcPr>
          <w:p>
            <w:pPr>
              <w:ind w:left="140"/>
              <w:spacing w:after="0"/>
              <w:rPr>
                <w:sz w:val="20"/>
                <w:szCs w:val="20"/>
                <w:color w:val="auto"/>
              </w:rPr>
            </w:pPr>
            <w:r>
              <w:rPr>
                <w:rFonts w:ascii="Arial" w:cs="Arial" w:eastAsia="Arial" w:hAnsi="Arial"/>
                <w:sz w:val="18"/>
                <w:szCs w:val="18"/>
                <w:b w:val="1"/>
                <w:bCs w:val="1"/>
                <w:color w:val="auto"/>
                <w:w w:val="88"/>
              </w:rPr>
              <w:t>Amount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in Capital</w:t>
            </w:r>
          </w:p>
        </w:tc>
        <w:tc>
          <w:tcPr>
            <w:tcW w:w="24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8"/>
              </w:rPr>
              <w:t>Surplus</w:t>
            </w:r>
          </w:p>
        </w:tc>
        <w:tc>
          <w:tcPr>
            <w:tcW w:w="460" w:type="dxa"/>
            <w:vAlign w:val="bottom"/>
          </w:tcPr>
          <w:p>
            <w:pPr>
              <w:spacing w:after="0"/>
              <w:rPr>
                <w:sz w:val="20"/>
                <w:szCs w:val="20"/>
                <w:color w:val="auto"/>
              </w:rPr>
            </w:pPr>
          </w:p>
        </w:tc>
        <w:tc>
          <w:tcPr>
            <w:tcW w:w="10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0"/>
              </w:rPr>
              <w:t>Loss</w:t>
            </w:r>
          </w:p>
        </w:tc>
        <w:tc>
          <w:tcPr>
            <w:tcW w:w="24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Equity</w:t>
            </w:r>
          </w:p>
        </w:tc>
      </w:tr>
      <w:tr>
        <w:trPr>
          <w:trHeight w:val="198"/>
        </w:trPr>
        <w:tc>
          <w:tcPr>
            <w:tcW w:w="220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December</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1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31, 2019</w:t>
            </w:r>
          </w:p>
        </w:tc>
        <w:tc>
          <w:tcPr>
            <w:tcW w:w="10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16,182,151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1,862,608</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83,487</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15,507</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(1,675)</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97,321</w:t>
            </w:r>
          </w:p>
        </w:tc>
      </w:tr>
      <w:tr>
        <w:trPr>
          <w:trHeight w:val="202"/>
        </w:trPr>
        <w:tc>
          <w:tcPr>
            <w:tcW w:w="2200" w:type="dxa"/>
            <w:vAlign w:val="bottom"/>
            <w:gridSpan w:val="4"/>
          </w:tcPr>
          <w:p>
            <w:pPr>
              <w:spacing w:after="0" w:line="201" w:lineRule="exact"/>
              <w:rPr>
                <w:sz w:val="20"/>
                <w:szCs w:val="20"/>
                <w:color w:val="auto"/>
              </w:rPr>
            </w:pPr>
            <w:r>
              <w:rPr>
                <w:rFonts w:ascii="Arial" w:cs="Arial" w:eastAsia="Arial" w:hAnsi="Arial"/>
                <w:sz w:val="18"/>
                <w:szCs w:val="18"/>
                <w:color w:val="auto"/>
              </w:rPr>
              <w:t>Net income attributable</w:t>
            </w: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200" w:type="dxa"/>
            <w:vAlign w:val="bottom"/>
            <w:gridSpan w:val="4"/>
          </w:tcPr>
          <w:p>
            <w:pPr>
              <w:ind w:left="180"/>
              <w:spacing w:after="0"/>
              <w:rPr>
                <w:sz w:val="20"/>
                <w:szCs w:val="20"/>
                <w:color w:val="auto"/>
              </w:rPr>
            </w:pPr>
            <w:r>
              <w:rPr>
                <w:rFonts w:ascii="Arial" w:cs="Arial" w:eastAsia="Arial" w:hAnsi="Arial"/>
                <w:sz w:val="18"/>
                <w:szCs w:val="18"/>
                <w:color w:val="auto"/>
              </w:rPr>
              <w:t>to ACM Research,</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Inc.</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1,705</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1,705</w:t>
            </w:r>
          </w:p>
        </w:tc>
      </w:tr>
      <w:tr>
        <w:trPr>
          <w:trHeight w:val="202"/>
        </w:trPr>
        <w:tc>
          <w:tcPr>
            <w:tcW w:w="1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Foreign currency</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22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translation adjustment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r>
      <w:tr>
        <w:trPr>
          <w:trHeight w:val="202"/>
        </w:trPr>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w w:val="92"/>
              </w:rPr>
              <w:t>Exercise of stock</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options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70,478</w:t>
            </w:r>
          </w:p>
        </w:tc>
        <w:tc>
          <w:tcPr>
            <w:tcW w:w="38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02"/>
        </w:trPr>
        <w:tc>
          <w:tcPr>
            <w:tcW w:w="1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1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compensation</w:t>
            </w: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w:t>
            </w:r>
          </w:p>
        </w:tc>
      </w:tr>
      <w:tr>
        <w:trPr>
          <w:trHeight w:val="202"/>
        </w:trPr>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w w:val="92"/>
              </w:rPr>
              <w:t>Exercise of stock</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7"/>
        </w:trPr>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warrants</w:t>
            </w: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64,717</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198"/>
        </w:trPr>
        <w:tc>
          <w:tcPr>
            <w:tcW w:w="220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March 31,</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75"/>
        </w:trPr>
        <w:tc>
          <w:tcPr>
            <w:tcW w:w="11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16,317,346</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1,862,608</w:t>
            </w: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84,351</w:t>
            </w:r>
          </w:p>
        </w:tc>
        <w:tc>
          <w:tcPr>
            <w:tcW w:w="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17,212</w:t>
            </w:r>
          </w:p>
        </w:tc>
        <w:tc>
          <w:tcPr>
            <w:tcW w:w="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(2,623)</w:t>
            </w: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98,942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from operations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Loss on disposals of property, plant and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income in net income of affiliates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Unrealized loss on trading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(4,602)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(6,902)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(15,276)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(931)</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5,617</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Advances from customers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 payables and accrued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1,779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(1,865)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r>
      <w:tr>
        <w:trPr>
          <w:trHeight w:val="223"/>
        </w:trPr>
        <w:tc>
          <w:tcPr>
            <w:tcW w:w="8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(1,466)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(1,578)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Repayments of short-term borrowings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(6,744)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(12,415)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long-term borrowings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stock option exercise to common stock</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r>
      <w:tr>
        <w:trPr>
          <w:trHeight w:val="223"/>
        </w:trPr>
        <w:tc>
          <w:tcPr>
            <w:tcW w:w="86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(9,559)</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 cash equivalents and restricted cash</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(1,002)</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7,030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(6,850)</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71,766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117,859</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78,796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Interest paid, net of capitalized interest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57"/>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Reconciliation of cash, cash equivalents and restricted cash in condensed consolidated statements of cash flows: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78,796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52,283</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Cash, cash equivalents and restricted cash</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78,796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111,009</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used in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 conversion to common stock</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Cashless exercise of stock options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ACM Research, Inc. (“ACM”) and its subsidiaries (collectively with ACM, the “Company”) develop, manufacture and sell wet cleaning and other equipment used to improve the manufacturing process and yield for advanced integrated chips. The Company markets and sells its wet-cleaning equipment under the brand name “Ultra C,” based on the Company’s proprietary Space Alternated Phase Shift (“SAPS”), Timely Energized Bubble Oscillation (“TEBO”), and Tahoe technologies. These tools are designed to remove random defects from a wafer surface efficiently, without damaging the wafer or its features, even at increasingly advanced process nodes.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Based on its electro-chemical plating (“ECP”) technology, in 2019 the Company introduced its Ultra ECP ap, or “Advanced Packaging,” tool for bumping, or applying copper, tin and nickel to semiconductor wafers at the die-level, and its Ultra ECP map, or “Multi-Anode Partial Plating,” tool to deliver advanced electrochemical copper plating for copper interconnect applications in front-end wafer fabrication processes. The Company also offers a range of custom-made equipment, including cleaners, coaters and developers, to back-end wafer assembly and packaging factories, principally in the PRC.</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2011 ACM Shanghai formed a wholly owned subsidiary in the PRC, ACM Research (Wuxi), Inc. (“ACM Wuxi”), to manage sales and service operations.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2016 ACM redomesticated from California to Delaware pursuant to a merger in which ACM Research, Inc., a California corporation, was merged into a newly formed, wholly owned Delaware subsidiary, also named ACM Research, Inc.</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2017 ACM purchased 18.77% of ACM Shanghai’s equity interests held by Shanghai Science and Technology Venture Capital Co., Ltd. On November 8, 2017, ACM purchased the remaining 18.36% of ACM Shanghai’s equity interest held by third parties, Shanghai Pudong High-Tech Investment Co., Ltd. (“PDHTI”) and Shanghai Zhangjiang Science &amp; Technology Venture Capital Co., Ltd. (“ZSTVC”). At December 31, 2017, ACM owned all of the outstanding equity interests of ACM Shanghai, and indirectly through ACM Shanghai, owned all of the outstanding equity interests of ACM Wuxi.</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13, 2017, ACM effectuated a 1-for-3 reverse stock split of Class A and Class B common stock. Unless otherwise indicated, all share numbers, per share amount, share prices, exercise prices and conversion rates set forth in these notes and the accompanying consolidated financial statements have been adjusted retrospectively to reflect the reverse stock split.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2, 2017, the Registration Statement on Form S-1 (File No. 333- 220451) for ACM’s initial public offering of Class A common stock (the “IPO”) was declared effective by the U.S. Securities and Exchange Commission. Shares of Class A common stock began trading on the Nasdaq Global Market on November 3, 2017, and the closing for the IPO was held on November 7, 2017.</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December 2017 ACM formed a wholly owned subsidiary in the Republic of Korea, ACM Research Korea CO., LTD. (“ACM Korea”), to serve customers based in Republic of Korea and perform sales, marketing, research and development activities for new products and solutions.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2019 ACM Shanghai formed a wholly owned subsidiary in the PRC, Shengwei Research (Shanghai), Inc. (“ACM Shengwei”), to manage activities related to addition of future long-term production capacity.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2019 Cleanchip formed a wholly owned subsidiary in California, ACM Research (CA), Inc. (“ACM California”), to provide procurement services on behalf of ACM Shanghai.</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2019 ACM announced plans to complete, over the following three years, a listing (the “STAR Listing”) of shares of ACM Shanghai on the Shanghai Stock Exchange’s new Sci-Tech innovAtion boaRd, known as the STAR Market, and a concurrent initial public offering (the “STAR IPO”) of ACM Shanghai shares in the PRC. ACM Shanghai is currently ACM’s primary operating subsidiary, and at the time of announcement, was wholly owned by ACM. To meet a STAR Listing requirement that it have multiple independent stockholders in the PRC, ACM Shanghai completed private placements of its shares in June and November 2019, following which, as of September 30, 2020, the private placement investors held a total of 8.3% of the outstanding shares of ACM Shanghai and ACM Research held the remaining 91.7%. As part of the STAR Listing process, in June 2020 the ownership interests held by the private investors were reclassified from redeemable non-controlling interests to non-controlling interests as the redemption feature was terminated (note 18).</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preparation for the STAR IPO, ACM completed a reorganization in December 2019 that included the sale of all of the shares of Cleanchip by ACM to ACM Shanghai for $3,500. The reorganization and sale had no impact on ACM’s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direct or indirect interests in the following subsidiaries: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Effective interest held as at</w:t>
            </w:r>
          </w:p>
        </w:tc>
        <w:tc>
          <w:tcPr>
            <w:tcW w:w="560" w:type="dxa"/>
            <w:vAlign w:val="bottom"/>
          </w:tcPr>
          <w:p>
            <w:pPr>
              <w:spacing w:after="0"/>
              <w:rPr>
                <w:sz w:val="18"/>
                <w:szCs w:val="18"/>
                <w:color w:val="auto"/>
              </w:rPr>
            </w:pPr>
          </w:p>
        </w:tc>
      </w:tr>
      <w:tr>
        <w:trPr>
          <w:trHeight w:val="241"/>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subsidiaries</w:t>
            </w:r>
          </w:p>
        </w:tc>
        <w:tc>
          <w:tcPr>
            <w:tcW w:w="34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Place and date of incorporation</w:t>
            </w:r>
          </w:p>
        </w:tc>
        <w:tc>
          <w:tcPr>
            <w:tcW w:w="36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March 31, 2021   December 31, 2020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ACM Research (Shanghai), Inc.</w:t>
            </w:r>
          </w:p>
        </w:tc>
        <w:tc>
          <w:tcPr>
            <w:tcW w:w="3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PRC, May 2005</w:t>
            </w:r>
          </w:p>
        </w:tc>
        <w:tc>
          <w:tcPr>
            <w:tcW w:w="310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91.7%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91.7%</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ACM Research (Wuxi), Inc.</w:t>
            </w:r>
          </w:p>
        </w:tc>
        <w:tc>
          <w:tcPr>
            <w:tcW w:w="3440" w:type="dxa"/>
            <w:vAlign w:val="bottom"/>
          </w:tcPr>
          <w:p>
            <w:pPr>
              <w:ind w:left="400"/>
              <w:spacing w:after="0"/>
              <w:rPr>
                <w:sz w:val="20"/>
                <w:szCs w:val="20"/>
                <w:color w:val="auto"/>
              </w:rPr>
            </w:pPr>
            <w:r>
              <w:rPr>
                <w:rFonts w:ascii="Arial" w:cs="Arial" w:eastAsia="Arial" w:hAnsi="Arial"/>
                <w:sz w:val="18"/>
                <w:szCs w:val="18"/>
                <w:color w:val="auto"/>
              </w:rPr>
              <w:t>PRC, July 2011</w:t>
            </w:r>
          </w:p>
        </w:tc>
        <w:tc>
          <w:tcPr>
            <w:tcW w:w="3100" w:type="dxa"/>
            <w:vAlign w:val="bottom"/>
          </w:tcPr>
          <w:p>
            <w:pPr>
              <w:jc w:val="right"/>
              <w:ind w:right="1050"/>
              <w:spacing w:after="0"/>
              <w:rPr>
                <w:sz w:val="20"/>
                <w:szCs w:val="20"/>
                <w:color w:val="auto"/>
              </w:rPr>
            </w:pPr>
            <w:r>
              <w:rPr>
                <w:rFonts w:ascii="Arial" w:cs="Arial" w:eastAsia="Arial" w:hAnsi="Arial"/>
                <w:sz w:val="18"/>
                <w:szCs w:val="18"/>
                <w:color w:val="auto"/>
              </w:rPr>
              <w:t>91.7%</w:t>
            </w:r>
          </w:p>
        </w:tc>
        <w:tc>
          <w:tcPr>
            <w:tcW w:w="560" w:type="dxa"/>
            <w:vAlign w:val="bottom"/>
          </w:tcPr>
          <w:p>
            <w:pPr>
              <w:jc w:val="right"/>
              <w:spacing w:after="0"/>
              <w:rPr>
                <w:sz w:val="20"/>
                <w:szCs w:val="20"/>
                <w:color w:val="auto"/>
              </w:rPr>
            </w:pPr>
            <w:r>
              <w:rPr>
                <w:rFonts w:ascii="Arial" w:cs="Arial" w:eastAsia="Arial" w:hAnsi="Arial"/>
                <w:sz w:val="18"/>
                <w:szCs w:val="18"/>
                <w:color w:val="0D0D0D"/>
              </w:rPr>
              <w:t>91.7%</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CleanChip Technologies Limited</w:t>
            </w:r>
          </w:p>
        </w:tc>
        <w:tc>
          <w:tcPr>
            <w:tcW w:w="3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Hong Kong, June 2017</w:t>
            </w:r>
          </w:p>
        </w:tc>
        <w:tc>
          <w:tcPr>
            <w:tcW w:w="310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91.7%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91.7%</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ACM Research Korea CO., LTD.</w:t>
            </w:r>
          </w:p>
        </w:tc>
        <w:tc>
          <w:tcPr>
            <w:tcW w:w="3440" w:type="dxa"/>
            <w:vAlign w:val="bottom"/>
          </w:tcPr>
          <w:p>
            <w:pPr>
              <w:ind w:left="400"/>
              <w:spacing w:after="0"/>
              <w:rPr>
                <w:sz w:val="20"/>
                <w:szCs w:val="20"/>
                <w:color w:val="auto"/>
              </w:rPr>
            </w:pPr>
            <w:r>
              <w:rPr>
                <w:rFonts w:ascii="Arial" w:cs="Arial" w:eastAsia="Arial" w:hAnsi="Arial"/>
                <w:sz w:val="18"/>
                <w:szCs w:val="18"/>
                <w:color w:val="auto"/>
              </w:rPr>
              <w:t>Korea, December 2017</w:t>
            </w:r>
          </w:p>
        </w:tc>
        <w:tc>
          <w:tcPr>
            <w:tcW w:w="3100" w:type="dxa"/>
            <w:vAlign w:val="bottom"/>
          </w:tcPr>
          <w:p>
            <w:pPr>
              <w:jc w:val="right"/>
              <w:ind w:right="1050"/>
              <w:spacing w:after="0"/>
              <w:rPr>
                <w:sz w:val="20"/>
                <w:szCs w:val="20"/>
                <w:color w:val="auto"/>
              </w:rPr>
            </w:pPr>
            <w:r>
              <w:rPr>
                <w:rFonts w:ascii="Arial" w:cs="Arial" w:eastAsia="Arial" w:hAnsi="Arial"/>
                <w:sz w:val="18"/>
                <w:szCs w:val="18"/>
                <w:color w:val="auto"/>
              </w:rPr>
              <w:t>91.7%</w:t>
            </w:r>
          </w:p>
        </w:tc>
        <w:tc>
          <w:tcPr>
            <w:tcW w:w="560" w:type="dxa"/>
            <w:vAlign w:val="bottom"/>
          </w:tcPr>
          <w:p>
            <w:pPr>
              <w:jc w:val="right"/>
              <w:spacing w:after="0"/>
              <w:rPr>
                <w:sz w:val="20"/>
                <w:szCs w:val="20"/>
                <w:color w:val="auto"/>
              </w:rPr>
            </w:pPr>
            <w:r>
              <w:rPr>
                <w:rFonts w:ascii="Arial" w:cs="Arial" w:eastAsia="Arial" w:hAnsi="Arial"/>
                <w:sz w:val="18"/>
                <w:szCs w:val="18"/>
                <w:color w:val="0D0D0D"/>
              </w:rPr>
              <w:t>91.7%</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Shengwei Research (Shanghai), Inc.</w:t>
            </w:r>
          </w:p>
        </w:tc>
        <w:tc>
          <w:tcPr>
            <w:tcW w:w="3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PRC, March 2019</w:t>
            </w:r>
          </w:p>
        </w:tc>
        <w:tc>
          <w:tcPr>
            <w:tcW w:w="310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91.7%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91.7%</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ACM Research (CA), Inc.</w:t>
            </w:r>
          </w:p>
        </w:tc>
        <w:tc>
          <w:tcPr>
            <w:tcW w:w="3440" w:type="dxa"/>
            <w:vAlign w:val="bottom"/>
          </w:tcPr>
          <w:p>
            <w:pPr>
              <w:ind w:left="400"/>
              <w:spacing w:after="0"/>
              <w:rPr>
                <w:sz w:val="20"/>
                <w:szCs w:val="20"/>
                <w:color w:val="auto"/>
              </w:rPr>
            </w:pPr>
            <w:r>
              <w:rPr>
                <w:rFonts w:ascii="Arial" w:cs="Arial" w:eastAsia="Arial" w:hAnsi="Arial"/>
                <w:sz w:val="18"/>
                <w:szCs w:val="18"/>
                <w:color w:val="auto"/>
              </w:rPr>
              <w:t>USA, June 2019</w:t>
            </w:r>
          </w:p>
        </w:tc>
        <w:tc>
          <w:tcPr>
            <w:tcW w:w="3100" w:type="dxa"/>
            <w:vAlign w:val="bottom"/>
          </w:tcPr>
          <w:p>
            <w:pPr>
              <w:jc w:val="right"/>
              <w:ind w:right="1050"/>
              <w:spacing w:after="0"/>
              <w:rPr>
                <w:sz w:val="20"/>
                <w:szCs w:val="20"/>
                <w:color w:val="auto"/>
              </w:rPr>
            </w:pPr>
            <w:r>
              <w:rPr>
                <w:rFonts w:ascii="Arial" w:cs="Arial" w:eastAsia="Arial" w:hAnsi="Arial"/>
                <w:sz w:val="18"/>
                <w:szCs w:val="18"/>
                <w:color w:val="auto"/>
              </w:rPr>
              <w:t>91.7%</w:t>
            </w:r>
          </w:p>
        </w:tc>
        <w:tc>
          <w:tcPr>
            <w:tcW w:w="560" w:type="dxa"/>
            <w:vAlign w:val="bottom"/>
          </w:tcPr>
          <w:p>
            <w:pPr>
              <w:jc w:val="right"/>
              <w:spacing w:after="0"/>
              <w:rPr>
                <w:sz w:val="20"/>
                <w:szCs w:val="20"/>
                <w:color w:val="auto"/>
              </w:rPr>
            </w:pPr>
            <w:r>
              <w:rPr>
                <w:rFonts w:ascii="Arial" w:cs="Arial" w:eastAsia="Arial" w:hAnsi="Arial"/>
                <w:sz w:val="18"/>
                <w:szCs w:val="18"/>
                <w:color w:val="0D0D0D"/>
              </w:rPr>
              <w:t>91.7%</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ACM Research (Cayman), Inc.</w:t>
            </w:r>
          </w:p>
        </w:tc>
        <w:tc>
          <w:tcPr>
            <w:tcW w:w="3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Cayman Islands, April 2019</w:t>
            </w:r>
          </w:p>
        </w:tc>
        <w:tc>
          <w:tcPr>
            <w:tcW w:w="310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0D0D0D"/>
                <w:w w:val="88"/>
              </w:rPr>
              <w:t>100.0%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condensed consolidated financial statements include the accounts of ACM and its subsidiaries, including ACM Shanghai and its subsidiaries, which include ACM Wuxi, ACM Shengwei and CleanChip (the subsidiaries of which include ACM California and ACM Korea). ACM’s subsidiaries are those entities in which ACM, directly or indirectly, controls a majority of the voting power. All significant intercompany transactions and balances have been eliminated upon consolidation.</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condensed consolidated financial statements of the Company have been prepared in accordance with accounting principles generally accepted in the United States of America (“GAAP”) for interim financial information and the rules and regulations of the Securities and Exchange Commission for reporting on Form 10-Q. Accordingly, they do not include all the information and footnotes required by GAAP for complete financial statements. The accompanying condensed consolidated financial statements should be read in conjunction with the historical consolidated financial statements of the Company for the year ended December 31, 2020 included in ACM’s Annual Report on Form 10-K for the year ended December 31, 2020.</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condensed consolidated balance sheet as of March 31, 2021, condensed consolidated statements of operations and comprehensive income for the three months ended March 31, 2021 and 2020, condensed consolidated statements of changes in stockholders’ equity for the three months ended March 31, 2021 and 2020, and condensed consolidated statements of cash flows for the three months ended March 31, 2021 and 2020 are unaudited. In the opinion of management, these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March 31, 2021 and the results of operations for the three months ended March 31, 2021 are not necessarily indicative of the results to be expected for any future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 Assessment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outbreak of COVID-19, the coronavirus, has grown both in the United States and globally, and related government and private sector responsive actions have adversely affected the Company’s business operations. In December 2019 a series of emergency quarantine measures taken by the PRC government disrupted domestic business activities during the weeks after the initial outbreak of COVID-19. Since that time, an increasing number of countries, including the United States, have imposed restrictions on travel to and from the PRC and elsewhere, as well as general movement restrictions, business closures and other measures imposed to slow the spread of COVID-19. The situation continues to develop, and it is impossible to predict the effect and ultimate impact of the COVID-19 outbreak on the Company’s business operations and results. While the quarantine, social distancing and other regulatory measures instituted or recommended in response to COVID-19 are expected to be temporary, the duration of the business disruptions, and related financial impact, cannot be estimated at this time. The COVID-19 outbreak has been declared a worldwide health pandemic that could adversely affect the economies and financial markets of many countries, resulting in an economic downturn and changes in global economic policy that could reduce demand for the Company’s products and its customers’ chips and have a material adverse impact on the Company’s business, operating results and financial condition. Through March 31, 2021 the Company had not experienced a significant negative impact of COVID-19 on its operations, capital and financial resources, including overall liquidity position.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conducts substantially all of its product development, manufacturing, support and services in the PRC, and those activities have been directly impacted by the COVID-19 outbreak and related restrictions on transportation and public appearances. In February 2020 ACM Shanghai’s headquarters were closed for an additional six days beyond the normal Lunar New Year Holiday in accordance with Shanghai government restrictions related to the outbreak. The Company cannot assure that further closures or reductions of its PRC operations or production may not be necessary in upcoming months as the result of business interruptions arising from protective measures being taken by the PRC and other governmental agencies or of other consequences of the COVID-19 outbreak.</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corporate headquarters are located in Alameda County in the San Francisco Bay Area of California. In order to attempt to mitigate the COVID-19 pandemic, in March 2020 (a) the State of California declared a state of emergency related to the spread of COVID-19, (b) the San Francisco Department of Public Health announced aggressive recommendations to reduce the spread of the virus, (c) the health officers of six San Francisco Bay Area counties, including Alameda County, issued shelter-in-place orders, which (i) direct all individuals living in those counties to shelter at their places of residence (subject to limited exceptions), (ii) direct all businesses and governmental agencies to cease non-essential operations at physical locations in those counties, (iii) prohibit all non-essential gatherings of any number of individuals, (iv) order cessation of all non-essential travel, and (d) the Governor of California and the State Public Health Officer and Director of the California Department of Public Health ordered all individuals living in the State of California to stay at their place of residence for an indefinite period of time (subject to limited exceptions). The effects of these types of actions in the future may negatively impact productivity, disrupt the business of the Company and delay timelines, the magnitude of which will depend, in part, on the length and severity of the restrictions and other limitations on the Company’s ability to conduct its business in the ordinary course.</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prolonged and broad-based shift to a remote working environment continues to create inherent productivity, connectivity, and oversight challenges and could affect our ability to enhance, develop and support existing products and services, detect and prevent spam and problematic content, hold product sales and marketing events, and generate new sales leads, among others. In addition, the changed environment under which the Company is operating could have an effect on its internal controls over financial reporting as well as the Company’s ability to meet a number of its compliance requirements in a timely or quality manner. Additional and/or extended, governmental lockdowns, restrictions or new regulations could significantly impact the ability of our employees and vendors to work productively. Governmental restrictions have been globally inconsistent and it remains unclear when a return to worksite locations or travel will be permitted or what restrictions will be in place in those environments. As the Company continues to return its workforce in more office locations in 2021, it may experience increased costs as it prepares its facilities for a safe return to work environment and experiment with hybrid work models, in addition to potential effects on its ability to compete effectively and maintain its corporate culture.</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Extended periods of interruption to the Company’s corporate, development or manufacturing facilities due to the COVID-19 outbreak could cause the Company to lose revenue and market share, which would depress its financial performance and could be difficult to recapture. The Company’s business may also be harmed if travel to or from the PRC or the United States continues to be restricted or inadvisable or if members of management and other employees are absent because they contract the coronavirus, they elect not to come to work due to the illness affecting others in the Company’s office or laboratory facilities, or they are subject to quarantines or other governmentally imposed restrictions.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are not limited to, those used for the valuation and recognition of fair value of trading securities,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Management evaluates these estimates and assumptions on a regular basis. Actual results could differ from those estimates and assumptions.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Basic and Diluted Net Income per Common Share</w:t>
            </w:r>
          </w:p>
        </w:tc>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460" w:type="dxa"/>
            <w:vAlign w:val="bottom"/>
            <w:gridSpan w:val="3"/>
          </w:tcPr>
          <w:p>
            <w:pPr>
              <w:spacing w:after="0"/>
              <w:rPr>
                <w:sz w:val="20"/>
                <w:szCs w:val="20"/>
                <w:color w:val="auto"/>
              </w:rPr>
            </w:pPr>
            <w:r>
              <w:rPr>
                <w:rFonts w:ascii="Arial" w:cs="Arial" w:eastAsia="Arial" w:hAnsi="Arial"/>
                <w:sz w:val="18"/>
                <w:szCs w:val="18"/>
                <w:color w:val="auto"/>
              </w:rPr>
              <w:t>Basic and diluted net income per common share are calculated as follows: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60" w:type="dxa"/>
            <w:vAlign w:val="bottom"/>
            <w:gridSpan w:val="7"/>
          </w:tcPr>
          <w:p>
            <w:pPr>
              <w:ind w:left="14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gridSpan w:val="3"/>
          </w:tcPr>
          <w:p>
            <w:pPr>
              <w:ind w:left="1140"/>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32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Net income attributable to non-controlling interests and redeemable non-controlling</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320" w:type="dxa"/>
            <w:vAlign w:val="bottom"/>
            <w:gridSpan w:val="2"/>
          </w:tcPr>
          <w:p>
            <w:pPr>
              <w:ind w:left="300"/>
              <w:spacing w:after="0"/>
              <w:rPr>
                <w:sz w:val="20"/>
                <w:szCs w:val="20"/>
                <w:color w:val="auto"/>
              </w:rPr>
            </w:pPr>
            <w:r>
              <w:rPr>
                <w:rFonts w:ascii="Arial" w:cs="Arial" w:eastAsia="Arial" w:hAnsi="Arial"/>
                <w:sz w:val="18"/>
                <w:szCs w:val="18"/>
                <w:color w:val="auto"/>
              </w:rPr>
              <w:t>interests</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6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stockholders, basic and diluted</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4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basic</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18,786,870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18,120,363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320" w:type="dxa"/>
            <w:vAlign w:val="bottom"/>
            <w:gridSpan w:val="2"/>
          </w:tcPr>
          <w:p>
            <w:pPr>
              <w:ind w:left="12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3,081,410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2,946,273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6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 diluted</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21,868,280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21,066,636</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4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32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three months ended March 31, 2021 and 2020, the net income per common share attributable to each class is the same under the “two-class” method. As such, the two classes of common stock have been presented on a combined basis in the consolidated statements of operations and comprehensive income and in the above computation of net income per common share.</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Diluted net income per common share reflects the potential dilution from securities, including stock options and issued warrants, that could share in ACM’s earnings. Certain potential dilutive securities were excluded from the net income per share calculation because the impact would be anti-dilutive. ACM’s potential dilutive securities consist of warrants and stock options for the three months ended March 31, 2021 and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and cash equivalents, restricted cash and accounts receivable. The Company deposits and invests its cash with financial institutions that management believes are creditworthy.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potentially subject to concentrations of credit risks in its accounts receivable. For the three months ended March 31, 2021 and 2020, the Company’s three largest customers accounted for 60.1% and 97.4%, respectively, of revenue. As of March 31, 2021 and December 31, 2020, the Company’s three largest customers accounted for 77.3% and 76.1%, respectively, of the Company’s accounts receivables. The Company believes that the receivable balances from these largest customers do not represent a significant credit risk based on past collection experience.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Financial Accounting Standards Board (the “FASB”) issued Accounting Standards Update (“ASU”) No.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740): Simplifying the Accounting for Income Taxes</w:t>
      </w:r>
      <w:r>
        <w:rPr>
          <w:rFonts w:ascii="Arial" w:cs="Arial" w:eastAsia="Arial" w:hAnsi="Arial"/>
          <w:sz w:val="18"/>
          <w:szCs w:val="18"/>
          <w:color w:val="auto"/>
        </w:rPr>
        <w:t>. ASU 2019-12 simplifies the accounting for income taxes by removing certain exceptions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principles in Topic 740. It also improves consistent application of and simplifies GAAP for other areas of Topic 740 by clarifying and amending existing guidance. The Company adopted ASU 2019-12 on January 1, 2021. The adoption of ASU 2019-12 did not have a material impact on the Company’s condensed consolidated financial statements.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ASU 2020-04 provide optional expedients and exceptions for applying GAAP to contracts, hedging relationships, and other transactions affected by reference rate reform. The Company adopted ASU 2020-04 on January 1, 2021. The adoption of ASU 2020-04 did not have a material impact on the Company’s condensed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 Instruments</w:t>
      </w:r>
      <w:r>
        <w:rPr>
          <w:rFonts w:ascii="Arial" w:cs="Arial" w:eastAsia="Arial" w:hAnsi="Arial"/>
          <w:sz w:val="18"/>
          <w:szCs w:val="18"/>
          <w:color w:val="auto"/>
        </w:rPr>
        <w:t>. ASU 2016-13 replaced the pre-existing incurred loss impairment methodology with a methodology that reflects expected credit losses and requires consideration of a broader range of reasonable and supportable information to inform credit loss estimates. ASU 2016-13 requires use of a forward-looking expected credit loss model for accounts receivables, loans and other financial instruments. ASU 2016-13 is effective for fiscal years beginning after December 15, 2019, with early adoption permitted.</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October 2019, the FASB issued ASU 2019-10, </w:t>
      </w:r>
      <w:r>
        <w:rPr>
          <w:rFonts w:ascii="Arial" w:cs="Arial" w:eastAsia="Arial" w:hAnsi="Arial"/>
          <w:sz w:val="17"/>
          <w:szCs w:val="17"/>
          <w:i w:val="1"/>
          <w:iCs w:val="1"/>
          <w:color w:val="auto"/>
        </w:rPr>
        <w:t>Financial Instruments – Credit Losses (Topic 326), Derivatives and Hedging (Topic 815) and Leases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842)</w:t>
      </w:r>
      <w:r>
        <w:rPr>
          <w:rFonts w:ascii="Arial" w:cs="Arial" w:eastAsia="Arial" w:hAnsi="Arial"/>
          <w:sz w:val="17"/>
          <w:szCs w:val="17"/>
          <w:color w:val="auto"/>
        </w:rPr>
        <w:t>, which defers the effective date for public filers that are considered small reporting companies (“SRC”) as defined by the U.S. Securities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Commission (“SEC”) to fiscal years beginning after December 15, 2022, including interim periods within those fiscal years. Since the Company was eligible to be an SRC based on its SRC determination as of November 15, 2019 (which is the issuance date of ASU 2019-10) in accordance with SEC regulations, the Company will adopt the standards for the year beginning January 1, 2023. Adoption of the standard requires using a modified retrospective approach through a cumulative-effect adjustment to retained earnings as of the effective date to align existing credit loss methodology with the new standard. The Company is evaluating the impact of this standard on its consolidated financial statements, including accounting policies, processes and systems and expects the standard will have a minor impact on its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assesses revenues based upon the nature or type of goods or services it provides and the geographic location of the related businesses. The following tables present disaggregated revenue information: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87"/>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Single Wafer Cleaning, Tahoe and Semi-Critical Cleaning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ECP (front-end and packaging), Furnace and Other Technologies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Advanced Packaging (excluding ECP), Services &amp; Spares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Revenue By Product Category</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43,732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24,348</w:t>
            </w:r>
          </w:p>
        </w:tc>
        <w:tc>
          <w:tcPr>
            <w:tcW w:w="10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Wet cleaning and other front-end processing tools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31,900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22,784</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Advanced packaging, other back-end processing tools, services and spares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11,832</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Revenue Front-end and Back-End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43,732</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24,348</w:t>
            </w:r>
          </w:p>
        </w:tc>
        <w:tc>
          <w:tcPr>
            <w:tcW w:w="10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87"/>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Mainland China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Regions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43,732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24,348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NOTE 4 – ACCOUNTS RECEIVABLE</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500" w:type="dxa"/>
            <w:vAlign w:val="bottom"/>
            <w:gridSpan w:val="2"/>
          </w:tcPr>
          <w:p>
            <w:pPr>
              <w:spacing w:after="0"/>
              <w:rPr>
                <w:sz w:val="20"/>
                <w:szCs w:val="20"/>
                <w:color w:val="auto"/>
              </w:rPr>
            </w:pPr>
            <w:r>
              <w:rPr>
                <w:rFonts w:ascii="Arial" w:cs="Arial" w:eastAsia="Arial" w:hAnsi="Arial"/>
                <w:sz w:val="18"/>
                <w:szCs w:val="18"/>
                <w:color w:val="auto"/>
              </w:rPr>
              <w:t>At March 31, 2021 and December 31, 2020 accounts receivable consisted of the following:</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70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March 31,</w:t>
            </w:r>
          </w:p>
        </w:tc>
        <w:tc>
          <w:tcPr>
            <w:tcW w:w="1240" w:type="dxa"/>
            <w:vAlign w:val="bottom"/>
            <w:gridSpan w:val="4"/>
          </w:tcPr>
          <w:p>
            <w:pPr>
              <w:ind w:left="12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17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56,441</w:t>
            </w:r>
          </w:p>
        </w:tc>
        <w:tc>
          <w:tcPr>
            <w:tcW w:w="80" w:type="dxa"/>
            <w:vAlign w:val="bottom"/>
            <w:shd w:val="clear" w:color="auto" w:fill="CCEEFF"/>
          </w:tcPr>
          <w:p>
            <w:pPr>
              <w:spacing w:after="0"/>
              <w:rPr>
                <w:sz w:val="18"/>
                <w:szCs w:val="18"/>
                <w:color w:val="auto"/>
              </w:rPr>
            </w:pPr>
          </w:p>
        </w:tc>
      </w:tr>
      <w:tr>
        <w:trPr>
          <w:trHeight w:val="223"/>
        </w:trPr>
        <w:tc>
          <w:tcPr>
            <w:tcW w:w="170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7"/>
        </w:trPr>
        <w:tc>
          <w:tcPr>
            <w:tcW w:w="1700" w:type="dxa"/>
            <w:vAlign w:val="bottom"/>
          </w:tcPr>
          <w:p>
            <w:pPr>
              <w:spacing w:after="0"/>
              <w:rPr>
                <w:sz w:val="22"/>
                <w:szCs w:val="22"/>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56,441</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reviews accounts receivable on a periodic basis and makes general and specific allowances when there is doubt as to the collectability of individual balances. No allowance for doubtful accounts was considered necessary at March 31, 2021 and December 31, 2020.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NOTE 5 – INVENTORIES</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At March 31, 2021 and December 31, 2020 inventory consisted of the following:</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5"/>
              </w:rPr>
              <w:t>December 31,</w:t>
            </w:r>
          </w:p>
        </w:tc>
      </w:tr>
      <w:tr>
        <w:trPr>
          <w:trHeight w:val="241"/>
        </w:trPr>
        <w:tc>
          <w:tcPr>
            <w:tcW w:w="58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32,391</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Work in process</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21,461</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23,871</w:t>
            </w:r>
          </w:p>
        </w:tc>
      </w:tr>
      <w:tr>
        <w:trPr>
          <w:trHeight w:val="216"/>
        </w:trPr>
        <w:tc>
          <w:tcPr>
            <w:tcW w:w="5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47,134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32,377</w:t>
            </w:r>
          </w:p>
        </w:tc>
      </w:tr>
      <w:tr>
        <w:trPr>
          <w:trHeight w:val="27"/>
        </w:trPr>
        <w:tc>
          <w:tcPr>
            <w:tcW w:w="580" w:type="dxa"/>
            <w:vAlign w:val="bottom"/>
          </w:tcPr>
          <w:p>
            <w:pPr>
              <w:spacing w:after="0"/>
              <w:rPr>
                <w:sz w:val="2"/>
                <w:szCs w:val="2"/>
                <w:color w:val="auto"/>
              </w:rPr>
            </w:pPr>
          </w:p>
        </w:tc>
        <w:tc>
          <w:tcPr>
            <w:tcW w:w="77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Total inventory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103,226</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88,639</w:t>
            </w:r>
          </w:p>
        </w:tc>
      </w:tr>
      <w:tr>
        <w:trPr>
          <w:trHeight w:val="20"/>
        </w:trPr>
        <w:tc>
          <w:tcPr>
            <w:tcW w:w="5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2021 and December 31, 2020, the Company held an inventory reserve of $1,124 and $1,140, respectively. System shipments of first-tools to an existing or prospective customer, for which ownership does not transfer until customer acceptance, are classified as finished goods inventory and carried at cost until ownership is transferred.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3"/>
          </w:tcPr>
          <w:p>
            <w:pPr>
              <w:spacing w:after="0"/>
              <w:rPr>
                <w:sz w:val="20"/>
                <w:szCs w:val="20"/>
                <w:color w:val="auto"/>
              </w:rPr>
            </w:pPr>
            <w:r>
              <w:rPr>
                <w:rFonts w:ascii="Arial" w:cs="Arial" w:eastAsia="Arial" w:hAnsi="Arial"/>
                <w:sz w:val="18"/>
                <w:szCs w:val="18"/>
                <w:b w:val="1"/>
                <w:bCs w:val="1"/>
                <w:color w:val="auto"/>
              </w:rPr>
              <w:t>NOTE 6 – PROPERTY, PLANT AND EQUIPMENT, NET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60" w:type="dxa"/>
            <w:vAlign w:val="bottom"/>
            <w:gridSpan w:val="3"/>
          </w:tcPr>
          <w:p>
            <w:pPr>
              <w:spacing w:after="0"/>
              <w:rPr>
                <w:sz w:val="20"/>
                <w:szCs w:val="20"/>
                <w:color w:val="auto"/>
              </w:rPr>
            </w:pPr>
            <w:r>
              <w:rPr>
                <w:rFonts w:ascii="Arial" w:cs="Arial" w:eastAsia="Arial" w:hAnsi="Arial"/>
                <w:sz w:val="18"/>
                <w:szCs w:val="18"/>
                <w:color w:val="auto"/>
                <w:w w:val="98"/>
              </w:rPr>
              <w:t>At March 31, 2021 and December 31, 2020, property, plant and equipment consisted of the following:</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ind w:right="3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Office equipment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1,260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1,047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213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Leasehold improvement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2,551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2,398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9,948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Less: Total accumulated depreciation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(3,745)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2,310</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Total property, plant and equipment, net</w:t>
            </w:r>
          </w:p>
        </w:tc>
        <w:tc>
          <w:tcPr>
            <w:tcW w:w="480" w:type="dxa"/>
            <w:vAlign w:val="bottom"/>
            <w:gridSpan w:val="3"/>
          </w:tcPr>
          <w:p>
            <w:pPr>
              <w:jc w:val="right"/>
              <w:spacing w:after="0"/>
              <w:rPr>
                <w:sz w:val="20"/>
                <w:szCs w:val="20"/>
                <w:color w:val="auto"/>
              </w:rPr>
            </w:pPr>
            <w:r>
              <w:rPr>
                <w:rFonts w:ascii="Arial" w:cs="Arial" w:eastAsia="Arial" w:hAnsi="Arial"/>
                <w:sz w:val="18"/>
                <w:szCs w:val="18"/>
                <w:color w:val="0D0D0D"/>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0D0D0D"/>
              </w:rPr>
              <w:t>8,772</w:t>
            </w:r>
          </w:p>
        </w:tc>
        <w:tc>
          <w:tcPr>
            <w:tcW w:w="80" w:type="dxa"/>
            <w:vAlign w:val="bottom"/>
          </w:tcPr>
          <w:p>
            <w:pPr>
              <w:spacing w:after="0"/>
              <w:rPr>
                <w:sz w:val="18"/>
                <w:szCs w:val="18"/>
                <w:color w:val="auto"/>
              </w:rPr>
            </w:pPr>
          </w:p>
        </w:tc>
        <w:tc>
          <w:tcPr>
            <w:tcW w:w="600" w:type="dxa"/>
            <w:vAlign w:val="bottom"/>
            <w:gridSpan w:val="2"/>
          </w:tcPr>
          <w:p>
            <w:pPr>
              <w:jc w:val="center"/>
              <w:ind w:right="23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8,192</w:t>
            </w:r>
          </w:p>
        </w:tc>
        <w:tc>
          <w:tcPr>
            <w:tcW w:w="0" w:type="dxa"/>
            <w:vAlign w:val="bottom"/>
          </w:tcPr>
          <w:p>
            <w:pPr>
              <w:spacing w:after="0"/>
              <w:rPr>
                <w:sz w:val="1"/>
                <w:szCs w:val="1"/>
                <w:color w:val="auto"/>
              </w:rPr>
            </w:pPr>
          </w:p>
        </w:tc>
      </w:tr>
      <w:tr>
        <w:trPr>
          <w:trHeight w:val="20"/>
        </w:trPr>
        <w:tc>
          <w:tcPr>
            <w:tcW w:w="7960" w:type="dxa"/>
            <w:vAlign w:val="bottom"/>
            <w:gridSpan w:val="3"/>
            <w:vMerge w:val="restart"/>
          </w:tcPr>
          <w:p>
            <w:pPr>
              <w:spacing w:after="0"/>
              <w:rPr>
                <w:sz w:val="20"/>
                <w:szCs w:val="20"/>
                <w:color w:val="auto"/>
              </w:rPr>
            </w:pPr>
            <w:r>
              <w:rPr>
                <w:rFonts w:ascii="Arial" w:cs="Arial" w:eastAsia="Arial" w:hAnsi="Arial"/>
                <w:sz w:val="18"/>
                <w:szCs w:val="18"/>
                <w:color w:val="auto"/>
                <w:w w:val="90"/>
              </w:rPr>
              <w:t>Depreciation expense was $439 and $185 for the three months ended March 31, 2021 and 2020, respectively.</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9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60" w:type="dxa"/>
            <w:vAlign w:val="bottom"/>
            <w:gridSpan w:val="3"/>
          </w:tcPr>
          <w:p>
            <w:pPr>
              <w:spacing w:after="0"/>
              <w:rPr>
                <w:sz w:val="20"/>
                <w:szCs w:val="20"/>
                <w:color w:val="auto"/>
              </w:rPr>
            </w:pPr>
            <w:r>
              <w:rPr>
                <w:rFonts w:ascii="Arial" w:cs="Arial" w:eastAsia="Arial" w:hAnsi="Arial"/>
                <w:sz w:val="18"/>
                <w:szCs w:val="18"/>
                <w:b w:val="1"/>
                <w:bCs w:val="1"/>
                <w:color w:val="auto"/>
              </w:rPr>
              <w:t>NOTE 7 – LAND USE RIGHT, NET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60" w:type="dxa"/>
            <w:vAlign w:val="bottom"/>
            <w:gridSpan w:val="3"/>
          </w:tcPr>
          <w:p>
            <w:pPr>
              <w:ind w:left="40"/>
              <w:spacing w:after="0"/>
              <w:rPr>
                <w:sz w:val="20"/>
                <w:szCs w:val="20"/>
                <w:color w:val="auto"/>
              </w:rPr>
            </w:pPr>
            <w:r>
              <w:rPr>
                <w:rFonts w:ascii="Arial" w:cs="Arial" w:eastAsia="Arial" w:hAnsi="Arial"/>
                <w:sz w:val="18"/>
                <w:szCs w:val="18"/>
                <w:color w:val="auto"/>
              </w:rPr>
              <w:t>A summary of land use right is as follows: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98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4"/>
              </w:rPr>
              <w:t>December</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87"/>
              </w:rPr>
              <w:t>31,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Land use right purchase amount</w:t>
            </w: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(98)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use right, net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80" w:type="dxa"/>
            <w:vAlign w:val="bottom"/>
            <w:tcBorders>
              <w:bottom w:val="single" w:sz="8" w:color="CCEEFF"/>
              <w:right w:val="single" w:sz="8" w:color="CCEEFF"/>
            </w:tcBorders>
            <w:shd w:val="clear" w:color="auto" w:fill="CCEEFF"/>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ACM Shanghai, through its wholly owned subsidiary ACM Shengwei, entered into an agreement for a 50-year land use right in the Lingang region of Shanghai. In July 2020 ACM Shengwei began a multi-year construction project for a new 1,000,000 square foot development and production center that will incorporate new manufacturing systems and automation technologies, and will provide floor space to support significantly increase production capacity and related research and development activities.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for the three months ended March 31, 2020 was $49.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annual amortization of land use right for each of the five succeeding years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tcPr>
          <w:p>
            <w:pPr>
              <w:jc w:val="right"/>
              <w:ind w:right="2736"/>
              <w:spacing w:after="0"/>
              <w:rPr>
                <w:sz w:val="20"/>
                <w:szCs w:val="20"/>
                <w:color w:val="auto"/>
              </w:rPr>
            </w:pPr>
            <w:r>
              <w:rPr>
                <w:rFonts w:ascii="Arial" w:cs="Arial" w:eastAsia="Arial" w:hAnsi="Arial"/>
                <w:sz w:val="18"/>
                <w:szCs w:val="18"/>
                <w:b w:val="1"/>
                <w:bCs w:val="1"/>
                <w:color w:val="auto"/>
              </w:rPr>
              <w:t>Year ending December 31,</w:t>
            </w:r>
          </w:p>
        </w:tc>
        <w:tc>
          <w:tcPr>
            <w:tcW w:w="560" w:type="dxa"/>
            <w:vAlign w:val="bottom"/>
            <w:tcBorders>
              <w:bottom w:val="single" w:sz="8" w:color="auto"/>
            </w:tcBorders>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14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84"/>
              </w:rPr>
              <w:t>2021</w:t>
            </w:r>
          </w:p>
        </w:tc>
        <w:tc>
          <w:tcPr>
            <w:tcW w:w="58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420" w:type="dxa"/>
            <w:vAlign w:val="bottom"/>
          </w:tcPr>
          <w:p>
            <w:pPr>
              <w:jc w:val="right"/>
              <w:ind w:right="970"/>
              <w:spacing w:after="0"/>
              <w:rPr>
                <w:sz w:val="20"/>
                <w:szCs w:val="20"/>
                <w:color w:val="auto"/>
              </w:rPr>
            </w:pPr>
            <w:r>
              <w:rPr>
                <w:rFonts w:ascii="Arial" w:cs="Arial" w:eastAsia="Arial" w:hAnsi="Arial"/>
                <w:sz w:val="18"/>
                <w:szCs w:val="18"/>
                <w:color w:val="auto"/>
                <w:w w:val="84"/>
              </w:rPr>
              <w:t>2022</w:t>
            </w:r>
          </w:p>
        </w:tc>
        <w:tc>
          <w:tcPr>
            <w:tcW w:w="5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4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84"/>
              </w:rPr>
              <w:t>2023</w:t>
            </w:r>
          </w:p>
        </w:tc>
        <w:tc>
          <w:tcPr>
            <w:tcW w:w="5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420" w:type="dxa"/>
            <w:vAlign w:val="bottom"/>
          </w:tcPr>
          <w:p>
            <w:pPr>
              <w:jc w:val="right"/>
              <w:ind w:right="970"/>
              <w:spacing w:after="0"/>
              <w:rPr>
                <w:sz w:val="20"/>
                <w:szCs w:val="20"/>
                <w:color w:val="auto"/>
              </w:rPr>
            </w:pPr>
            <w:r>
              <w:rPr>
                <w:rFonts w:ascii="Arial" w:cs="Arial" w:eastAsia="Arial" w:hAnsi="Arial"/>
                <w:sz w:val="18"/>
                <w:szCs w:val="18"/>
                <w:color w:val="auto"/>
                <w:w w:val="84"/>
              </w:rPr>
              <w:t>2024</w:t>
            </w:r>
          </w:p>
        </w:tc>
        <w:tc>
          <w:tcPr>
            <w:tcW w:w="5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4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84"/>
              </w:rPr>
              <w:t>2025</w:t>
            </w:r>
          </w:p>
        </w:tc>
        <w:tc>
          <w:tcPr>
            <w:tcW w:w="5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80" w:type="dxa"/>
            <w:vAlign w:val="bottom"/>
          </w:tcPr>
          <w:p>
            <w:pPr>
              <w:spacing w:after="0"/>
              <w:rPr>
                <w:sz w:val="18"/>
                <w:szCs w:val="18"/>
                <w:color w:val="auto"/>
              </w:rPr>
            </w:pPr>
          </w:p>
        </w:tc>
      </w:tr>
      <w:tr>
        <w:trPr>
          <w:trHeight w:val="838"/>
        </w:trPr>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80" w:type="dxa"/>
            <w:vAlign w:val="bottom"/>
          </w:tcPr>
          <w:p>
            <w:pPr>
              <w:jc w:val="right"/>
              <w:ind w:right="3216"/>
              <w:spacing w:after="0"/>
              <w:rPr>
                <w:sz w:val="20"/>
                <w:szCs w:val="20"/>
                <w:color w:val="auto"/>
              </w:rPr>
            </w:pPr>
            <w:r>
              <w:rPr>
                <w:rFonts w:ascii="Arial" w:cs="Arial" w:eastAsia="Arial" w:hAnsi="Arial"/>
                <w:sz w:val="14"/>
                <w:szCs w:val="14"/>
                <w:color w:val="auto"/>
              </w:rPr>
              <w:t>15</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6"/>
        </w:trPr>
        <w:tc>
          <w:tcPr>
            <w:tcW w:w="17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5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NOTE 8 – OTHER LONG-TERM ASSETS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760" w:type="dxa"/>
            <w:vAlign w:val="bottom"/>
            <w:gridSpan w:val="2"/>
          </w:tcPr>
          <w:p>
            <w:pPr>
              <w:spacing w:after="0"/>
              <w:rPr>
                <w:sz w:val="20"/>
                <w:szCs w:val="20"/>
                <w:color w:val="auto"/>
              </w:rPr>
            </w:pPr>
            <w:r>
              <w:rPr>
                <w:rFonts w:ascii="Arial" w:cs="Arial" w:eastAsia="Arial" w:hAnsi="Arial"/>
                <w:sz w:val="18"/>
                <w:szCs w:val="18"/>
                <w:color w:val="auto"/>
              </w:rPr>
              <w:t>At March 31, 2021 and December 31, 2020, other long-term assets consisted of the following:</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7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December</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Prepayment for property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Security deposit for land use right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170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other long-term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40,475</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40,496</w:t>
            </w: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prepayment for property is for the housing in Lingang, Shanghai, which consists of (1) the contractual amount to acquire the property and (2) capitalized interest charges on the long-term loan related to acquisition of the property, which amounted to $317 as of March 31, 2021. The property is pledged for a long-term loan from China Merchants Bank (note 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9 – SHORT-TERM BORROWINGS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At March 31, 2021 and December 31, 2020, short-term and long-term borrowings consisted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Line of credit up to RMB 80,000 from China Everbright Bank,</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1)due on April 1, 2021 with an annual interest rate of 4.70%. *1 and fully repaid on March 23, 2021.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4,599</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2)due on June 27, 2021 with an annual interest rate of 4.25%. *1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3)due on April 29, 2021 with an annual interest rate of 2.80%. *1 and fully repaid on March 23, 2021.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4)due on June 27, 2021 with an annual interest rate of 2.70%. *1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5)due on September 30, 2021 with an annual interest rate of 2.50%. *1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Line of credit up to RMB 20,000 from Bank of Communications,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1)due on April 12, 2021 with an annual interest rate of 4.65%.</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1,533</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2)due on May 24, 2021 with an annual interest rate of 3.65%.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Line of credit up to RMB 70,000 from Bank of Shanghai Pudong Branch,</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1)due on May 27, 2021 with an annual interest rate of 4.68%. *2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2)due on June 27, 2021 with an annual interest rate of 4.68%. *2 and fully repaid on March 29, 2021.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3)due on May 28, 2021 with an annual interest rate of 3.48%. *2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4)due on June 7, 2021 with an annual interest rate of 3.50%. *2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5)due on June 16, 2021 with an annual interest rate of 3.50%. *2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Line of credit up to RMB 80,000 from China Merchants Bank,</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1)due on August 10, 2021 with annual interest rate of 3.85%.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2)due on August 25, 2021 with annual interest rate of 3.85%.</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3,066</w:t>
            </w:r>
          </w:p>
        </w:tc>
      </w:tr>
      <w:tr>
        <w:trPr>
          <w:trHeight w:val="223"/>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3)due on February 1, 2022 with annual interest rate of 3.85%.</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0D0D0D"/>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0D0D0D"/>
              </w:rPr>
              <w:t>23,490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0D0D0D"/>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0D0D0D"/>
              </w:rPr>
              <w:t>26,147</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Guaranteed by ACM’s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Guaranteed by ACM’s Chief Executive Officer and CleanChip</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2021 and 2020, interest expense related to short-term borrowings amounted to $189 and $111, respectively.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10 – OTHER PAYABLE AND ACCRUED EXPENSES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At March 31, 2021 and December 31, 2020, other payable and accrued expenses consisted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commissions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Accrued warranty</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3,975</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3,068</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machine testing fees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2,656</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leases include one or more options to renew. The exercise of lease renewal options is typically at the Company’s sole discretion; therefore, the majority of renewals to extend the lease terms are not included in the Company’s right-of-use assets and lease liabilities as they are not reasonably certain of exercise. The Company regularly evaluates the renewal options, and when they are reasonably certain of exercise, the Company includes the renewal period in its lease term.</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most of the Company’s leases do not provide an implicit rate, the Company uses its incremental borrowing rate based on the information available at the lease commencement date in determining the present value of the lease payments. The Company has a centrally managed treasury function; therefore, based on the applicable lease terms and the current economic environment, it applies a portfolio approach for determining the incremental borrowing rate.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components of lease expense were as follows:</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Short-term lease cost</w:t>
            </w: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cost</w:t>
            </w: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operating leases was as follows for the three months ended March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53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outflow from operating leases</w:t>
            </w:r>
          </w:p>
        </w:tc>
        <w:tc>
          <w:tcPr>
            <w:tcW w:w="3580" w:type="dxa"/>
            <w:vAlign w:val="bottom"/>
            <w:gridSpan w:val="2"/>
            <w:shd w:val="clear" w:color="auto" w:fill="CCEEFF"/>
          </w:tcPr>
          <w:p>
            <w:pPr>
              <w:ind w:left="3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r>
      <w:tr>
        <w:trPr>
          <w:trHeight w:val="589"/>
        </w:trPr>
        <w:tc>
          <w:tcPr>
            <w:tcW w:w="5340" w:type="dxa"/>
            <w:vAlign w:val="bottom"/>
            <w:tcBorders>
              <w:top w:val="single" w:sz="8" w:color="CCEEFF"/>
            </w:tcBorders>
          </w:tcPr>
          <w:p>
            <w:pPr>
              <w:spacing w:after="0"/>
              <w:rPr>
                <w:sz w:val="24"/>
                <w:szCs w:val="24"/>
                <w:color w:val="auto"/>
              </w:rPr>
            </w:pPr>
          </w:p>
        </w:tc>
        <w:tc>
          <w:tcPr>
            <w:tcW w:w="3340" w:type="dxa"/>
            <w:vAlign w:val="bottom"/>
            <w:tcBorders>
              <w:top w:val="single" w:sz="8" w:color="CCEEFF"/>
            </w:tcBorders>
          </w:tcPr>
          <w:p>
            <w:pPr>
              <w:jc w:val="right"/>
              <w:ind w:right="2899"/>
              <w:spacing w:after="0"/>
              <w:rPr>
                <w:sz w:val="20"/>
                <w:szCs w:val="20"/>
                <w:color w:val="auto"/>
              </w:rPr>
            </w:pPr>
            <w:r>
              <w:rPr>
                <w:rFonts w:ascii="Arial" w:cs="Arial" w:eastAsia="Arial" w:hAnsi="Arial"/>
                <w:sz w:val="14"/>
                <w:szCs w:val="14"/>
                <w:color w:val="auto"/>
              </w:rPr>
              <w:t>17</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534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Maturities of lease liabilities for all operating leases were as follows as of March 31, 2021:</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9"/>
        </w:trPr>
        <w:tc>
          <w:tcPr>
            <w:tcW w:w="114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16"/>
        </w:trPr>
        <w:tc>
          <w:tcPr>
            <w:tcW w:w="114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2,439</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876</w:t>
            </w:r>
          </w:p>
        </w:tc>
        <w:tc>
          <w:tcPr>
            <w:tcW w:w="80" w:type="dxa"/>
            <w:vAlign w:val="bottom"/>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Total lease payments</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6,149</w:t>
            </w:r>
          </w:p>
        </w:tc>
        <w:tc>
          <w:tcPr>
            <w:tcW w:w="80" w:type="dxa"/>
            <w:vAlign w:val="bottom"/>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1140" w:type="dxa"/>
            <w:vAlign w:val="bottom"/>
          </w:tcPr>
          <w:p>
            <w:pPr>
              <w:spacing w:after="0"/>
              <w:rPr>
                <w:sz w:val="18"/>
                <w:szCs w:val="18"/>
                <w:color w:val="auto"/>
              </w:rPr>
            </w:pPr>
          </w:p>
        </w:tc>
        <w:tc>
          <w:tcPr>
            <w:tcW w:w="7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lease liabilities</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5,349</w:t>
            </w:r>
          </w:p>
        </w:tc>
        <w:tc>
          <w:tcPr>
            <w:tcW w:w="80" w:type="dxa"/>
            <w:vAlign w:val="bottom"/>
            <w:tcBorders>
              <w:top w:val="single" w:sz="8" w:color="CCEEFF"/>
            </w:tcBorders>
          </w:tcPr>
          <w:p>
            <w:pPr>
              <w:spacing w:after="0"/>
              <w:rPr>
                <w:sz w:val="18"/>
                <w:szCs w:val="18"/>
                <w:color w:val="auto"/>
              </w:rPr>
            </w:pPr>
          </w:p>
        </w:tc>
      </w:tr>
      <w:tr>
        <w:trPr>
          <w:trHeight w:val="21"/>
        </w:trPr>
        <w:tc>
          <w:tcPr>
            <w:tcW w:w="11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lease terms and discount rates for all operating leases were as follows as of March 31, 2021 and December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70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Remaining lease term and discount rate: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ind w:left="780"/>
              <w:spacing w:after="0"/>
              <w:rPr>
                <w:sz w:val="20"/>
                <w:szCs w:val="20"/>
                <w:color w:val="auto"/>
              </w:rPr>
            </w:pPr>
            <w:r>
              <w:rPr>
                <w:rFonts w:ascii="Arial" w:cs="Arial" w:eastAsia="Arial" w:hAnsi="Arial"/>
                <w:sz w:val="18"/>
                <w:szCs w:val="18"/>
                <w:color w:val="auto"/>
              </w:rPr>
              <w:t>1.93</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2.11</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4"/>
          </w:tcPr>
          <w:p>
            <w:pPr>
              <w:ind w:left="780"/>
              <w:spacing w:after="0"/>
              <w:rPr>
                <w:sz w:val="20"/>
                <w:szCs w:val="20"/>
                <w:color w:val="auto"/>
              </w:rPr>
            </w:pPr>
            <w:r>
              <w:rPr>
                <w:rFonts w:ascii="Arial" w:cs="Arial" w:eastAsia="Arial" w:hAnsi="Arial"/>
                <w:sz w:val="18"/>
                <w:szCs w:val="18"/>
                <w:color w:val="auto"/>
              </w:rPr>
              <w:t>4.87%</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w w:val="90"/>
              </w:rPr>
              <w:t>5.14%</w:t>
            </w:r>
          </w:p>
        </w:tc>
      </w:tr>
      <w:tr>
        <w:trPr>
          <w:trHeight w:val="688"/>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NOTE 12 – LONG-TERM BORROWINGS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7520" w:type="dxa"/>
            <w:vAlign w:val="bottom"/>
            <w:gridSpan w:val="2"/>
          </w:tcPr>
          <w:p>
            <w:pPr>
              <w:spacing w:after="0"/>
              <w:rPr>
                <w:sz w:val="20"/>
                <w:szCs w:val="20"/>
                <w:color w:val="auto"/>
              </w:rPr>
            </w:pPr>
            <w:r>
              <w:rPr>
                <w:rFonts w:ascii="Arial" w:cs="Arial" w:eastAsia="Arial" w:hAnsi="Arial"/>
                <w:sz w:val="18"/>
                <w:szCs w:val="18"/>
                <w:color w:val="auto"/>
              </w:rPr>
              <w:t>At March 31, 2021 and December 31, 2020, long-term borrowings consisted of the following:</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1"/>
        </w:trPr>
        <w:tc>
          <w:tcPr>
            <w:tcW w:w="17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March 31,</w:t>
            </w:r>
          </w:p>
        </w:tc>
        <w:tc>
          <w:tcPr>
            <w:tcW w:w="1560" w:type="dxa"/>
            <w:vAlign w:val="bottom"/>
            <w:gridSpan w:val="6"/>
          </w:tcPr>
          <w:p>
            <w:pPr>
              <w:ind w:left="2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170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Loan from China Merchants Bank</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19,570</w:t>
            </w: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70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(1,598)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(1,591)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6"/>
        </w:trPr>
        <w:tc>
          <w:tcPr>
            <w:tcW w:w="1700" w:type="dxa"/>
            <w:vAlign w:val="bottom"/>
          </w:tcPr>
          <w:p>
            <w:pPr>
              <w:spacing w:after="0"/>
              <w:rPr>
                <w:sz w:val="22"/>
                <w:szCs w:val="22"/>
                <w:color w:val="auto"/>
              </w:rPr>
            </w:pPr>
          </w:p>
        </w:tc>
        <w:tc>
          <w:tcPr>
            <w:tcW w:w="5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17,444</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loan from China Merchants Bank is for the purpose of purchasing property in Lingang, Shanghai. The loan is repayable in 120 installments with the last installment due in November 2030, with an annual interest rate of 4.65%. The loan is pledged by the property of ACM Shengwei and guaranteed by ACM Shanghai. As of March 31, 2021, the right certificate of the pledged property has not been obtained and the procedures of the formal pledge registration in the bank had not been completed.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for the outstanding long-term loan as of March 31, 2021 are as follows:</w:t>
      </w:r>
    </w:p>
    <w:p>
      <w:pPr>
        <w:spacing w:after="0" w:line="248" w:lineRule="exact"/>
        <w:rPr>
          <w:sz w:val="20"/>
          <w:szCs w:val="20"/>
          <w:color w:val="auto"/>
        </w:rPr>
      </w:pPr>
    </w:p>
    <w:tbl>
      <w:tblPr>
        <w:tblLayout w:type="fixed"/>
        <w:tblInd w:w="2820" w:type="dxa"/>
        <w:tblCellMar>
          <w:top w:w="0" w:type="dxa"/>
          <w:left w:w="0" w:type="dxa"/>
          <w:bottom w:w="0" w:type="dxa"/>
          <w:right w:w="0" w:type="dxa"/>
        </w:tblCellMar>
      </w:tblPr>
      <w:tr>
        <w:trPr>
          <w:trHeight w:val="241"/>
        </w:trPr>
        <w:tc>
          <w:tcPr>
            <w:tcW w:w="1380" w:type="dxa"/>
            <w:vAlign w:val="bottom"/>
          </w:tcPr>
          <w:p>
            <w:pPr>
              <w:spacing w:after="0"/>
              <w:rPr>
                <w:sz w:val="20"/>
                <w:szCs w:val="20"/>
                <w:color w:val="auto"/>
              </w:rPr>
            </w:pPr>
          </w:p>
        </w:tc>
        <w:tc>
          <w:tcPr>
            <w:tcW w:w="3680" w:type="dxa"/>
            <w:vAlign w:val="bottom"/>
            <w:gridSpan w:val="3"/>
          </w:tcPr>
          <w:p>
            <w:pPr>
              <w:jc w:val="right"/>
              <w:ind w:right="1510"/>
              <w:spacing w:after="0"/>
              <w:rPr>
                <w:sz w:val="20"/>
                <w:szCs w:val="20"/>
                <w:color w:val="auto"/>
              </w:rPr>
            </w:pPr>
            <w:r>
              <w:rPr>
                <w:rFonts w:ascii="Arial" w:cs="Arial" w:eastAsia="Arial" w:hAnsi="Arial"/>
                <w:sz w:val="18"/>
                <w:szCs w:val="18"/>
                <w:b w:val="1"/>
                <w:bCs w:val="1"/>
                <w:color w:val="auto"/>
                <w:w w:val="91"/>
              </w:rPr>
              <w:t>Year ending December 31,</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35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2022</w:t>
            </w:r>
          </w:p>
        </w:tc>
        <w:tc>
          <w:tcPr>
            <w:tcW w:w="3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1,654</w:t>
            </w:r>
          </w:p>
        </w:tc>
        <w:tc>
          <w:tcPr>
            <w:tcW w:w="6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2024</w:t>
            </w:r>
          </w:p>
        </w:tc>
        <w:tc>
          <w:tcPr>
            <w:tcW w:w="3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1,815</w:t>
            </w:r>
          </w:p>
        </w:tc>
        <w:tc>
          <w:tcPr>
            <w:tcW w:w="60" w:type="dxa"/>
            <w:vAlign w:val="bottom"/>
          </w:tcPr>
          <w:p>
            <w:pPr>
              <w:spacing w:after="0"/>
              <w:rPr>
                <w:sz w:val="18"/>
                <w:szCs w:val="18"/>
                <w:color w:val="auto"/>
              </w:rPr>
            </w:pPr>
          </w:p>
        </w:tc>
      </w:tr>
      <w:tr>
        <w:trPr>
          <w:trHeight w:val="223"/>
        </w:trPr>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2025 and onwards</w:t>
            </w:r>
          </w:p>
        </w:tc>
        <w:tc>
          <w:tcPr>
            <w:tcW w:w="35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12,649</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3"/>
        </w:trPr>
        <w:tc>
          <w:tcPr>
            <w:tcW w:w="1380" w:type="dxa"/>
            <w:vAlign w:val="bottom"/>
          </w:tcPr>
          <w:p>
            <w:pPr>
              <w:spacing w:after="0"/>
              <w:rPr>
                <w:sz w:val="19"/>
                <w:szCs w:val="19"/>
                <w:color w:val="auto"/>
              </w:rPr>
            </w:pPr>
          </w:p>
        </w:tc>
        <w:tc>
          <w:tcPr>
            <w:tcW w:w="358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19,042</w:t>
            </w:r>
          </w:p>
        </w:tc>
        <w:tc>
          <w:tcPr>
            <w:tcW w:w="60" w:type="dxa"/>
            <w:vAlign w:val="bottom"/>
          </w:tcPr>
          <w:p>
            <w:pPr>
              <w:spacing w:after="0"/>
              <w:rPr>
                <w:sz w:val="19"/>
                <w:szCs w:val="19"/>
                <w:color w:val="auto"/>
              </w:rPr>
            </w:pP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three months ended March 31, 2021, interest related to long-term borrowings of $317 was incurred, of which $0 was charged to interest expenses and $317 was capitalized as other long-term assets.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LONG-TERM LIABILITIES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Other long-term liabilities represent government subsidies received from PRC governmental authorities for development and commercialization of certain technology but not yet recognized. As of March 31, 2021 and December 31, 2020, other long-term liabilities consisted of the following unearned government subsidies:</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March 31,</w:t>
            </w:r>
          </w:p>
        </w:tc>
        <w:tc>
          <w:tcPr>
            <w:tcW w:w="1240" w:type="dxa"/>
            <w:vAlign w:val="bottom"/>
            <w:gridSpan w:val="4"/>
          </w:tcPr>
          <w:p>
            <w:pPr>
              <w:ind w:left="12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w w:val="98"/>
              </w:rPr>
              <w:t>Subsidies to Stress Free Polishing project, commenced in 2008 and 2017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0D0D0D"/>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1,266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Subsidies to Electro Copper Plating project, commenced in 2014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0D0D0D"/>
              </w:rPr>
              <w:t>2,156</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Subsidies to Polytetrafluoroethylene, commenced in 2018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D0D0D"/>
              </w:rPr>
              <w:t>130</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Subsidies to Tahoe-Single Bench Clean, commenced in 2020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0D0D0D"/>
              </w:rPr>
              <w:t>1,544</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w w:val="97"/>
              </w:rPr>
              <w:t>Subsidies to Backside Clean-YMTC National Project, commenced in 2020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D0D0D"/>
              </w:rPr>
              <w:t>2,591</w:t>
            </w: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0D0D0D"/>
              </w:rPr>
              <w:t>347</w:t>
            </w:r>
          </w:p>
        </w:tc>
      </w:tr>
      <w:tr>
        <w:trPr>
          <w:trHeight w:val="256"/>
        </w:trPr>
        <w:tc>
          <w:tcPr>
            <w:tcW w:w="20" w:type="dxa"/>
            <w:vAlign w:val="bottom"/>
          </w:tcPr>
          <w:p>
            <w:pPr>
              <w:spacing w:after="0"/>
              <w:rPr>
                <w:sz w:val="22"/>
                <w:szCs w:val="22"/>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0D0D0D"/>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D0D0D"/>
              </w:rPr>
              <w:t>8,034</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LONG-TERM INVESTMENT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6, 2017, ACM and Ninebell Co., Ltd. (“Ninebell”), a Korean company that is one of the Company’s principal material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27, 2019, ACM Shanghai and Shengyi Semiconductor Technology Co., Ltd. (“Shengyi”), a company based in Wuxi, China that is one of the Company’s component suppliers, entered into an agreement pursuant to which Shengyi issued to ACM Shanghai shares representing 15% of Shengyi’s post-closing equity for a purchase price of $109. The investment in Shengyi is accounted for under the equity method.</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September 5, 2019, ACM Shanghai, entered into a Partnership Agreement with six other investors, as limited partners, and Beijing Shixi Qingliu Investment Co., Ltd., as general partner and manager, with respect to the formation of Hefei Shixi Chanheng Integrated Circuit Industry Venture Capital Fund Partnership (LP), a Chinese limited partnership based in Hefei, China. Pursuant to such Partnership Agreement, on September 30, 2019, ACM Shanghai invested RMB 30,000 ($4,200), which represented 10% of the partnership’s total subscribed capital. The investment in Hefei Shixi Chanheng Integrated Circuit Industry Venture Capital Fund Partnership (LP) is accounted for under the equity method in accordance with ASC 323-30-S99-1.</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treats the equity investment in the consolidated financial statements under the equity method. Under the equity method, the investment is initially recorded at cost, adjusted for any excess of the Company’s share of the incorporated-date fair values of the investee’s identifiable net assets over the cost of the investment (if any). Thereafter, the investment is adjusted for the post incorporation change in the Company’s share of the investee’s net assets and any impairment loss relating to the investment.</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March 31,</w:t>
            </w:r>
          </w:p>
        </w:tc>
        <w:tc>
          <w:tcPr>
            <w:tcW w:w="1280" w:type="dxa"/>
            <w:vAlign w:val="bottom"/>
            <w:gridSpan w:val="4"/>
          </w:tcPr>
          <w:p>
            <w:pPr>
              <w:ind w:left="16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Ninebell</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Shengyi</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Hefei Shixi</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6,632</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6,340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2021 and 2020, the Company’s share of equity investees’ net income was $320 and $148, respectively, which amounts were included in equity income in net income of affiliates in the accompanying condensed consolidated statements of operations and comprehensive income.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TRADING SECURITIES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a Partnership Agreement dated June 9, 2020 (the “Partnership Agreement”) and a Supplementary Agreement thereto dated June 15, 2020 (the “Supplementary Agreement”), ACM Shanghai became a limited partner of Qingdao Fortune-Tech Xinxing Capital Partnership (L.P.), a Chinese limited partnership based in Shanghai, China (the “Partnership”) of which China Fortune-Tech Capital Co., Ltd serves as general partner and thirteen unaffiliated entities serve, with ACM Shanghai, as limited partners. The Partnership was formed to establish a special fund that would purchase, in a strategic placement, shares of Semiconductor Manufacturing International Corporation, (“SMIC”) to be listed on the STAR Market. SMIC is a Shanghai-based foundry that has been a customer of the Company’s single-wafer wet-cleaning tools. The limited partners of the Partnership contributed to the fund a total of RMB 2.224 billion ($315,000), of which ACM Shanghai contributed RMB 100 million ($14.2 million), or 4.3% of the total contribution, on June 18, 2020.</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Upon the closing of the SMIC offering in July 2020, the initial number of SMIC shares owned by the Partnership was apportioned to all of the limited partners in proportion to their respective capital contributions (4.3% in the case of ACM Shanghai). All of the SMIC shares acquired by the Partnership are subject, under applicable Chinese laws, to lock-up restrictions that prevent sales of the shares for one year after the shares were acquired. Thereafter an individual limited partner will be able to instruct the general partner to sell, on behalf of the limited partner, all or a portion of the limited partner’s apportioned shares, subject to compliance with all laws, regulations, trading rules, the Partnership Agreement and the Supplementary Agreement. Alternatively, following the lock-up period, limited partners holding at least thirty percent of the total SMIC shares held by the Partnership will be able, pursuant to a call auction in accordance with the Supplementary Agreement, to cause the general partner to arrange to sell all of the shares desired to be offered by each of the limited partners that complies with procedural requirements provided in the Supplementary Agreement.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SMIC was listed on the STAR Market in July 2020, ACM Shanghai’s investment is accounted for as trading securities and is stated at fair market value, which is classified as Level 2 of the hierarchy established under ASC 820 with valuations based on quoted prices for identical securities in active markets, less a discount applied to reflect the remaining lock-up period.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The components of trading securities were as follows:</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5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5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Trading securities listed in Shanghai Stock Exchange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15,020</w:t>
            </w:r>
          </w:p>
        </w:tc>
      </w:tr>
      <w:tr>
        <w:trPr>
          <w:trHeight w:val="216"/>
        </w:trPr>
        <w:tc>
          <w:tcPr>
            <w:tcW w:w="5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0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Market value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27,003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28,239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 on trading securities, net of exchange difference amounted to ($1,047) for the three months ended March 31, 2020.</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NOTE 16 – RELATED PARTY BALANCES AND TRANSACTIONS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7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Prepaid expenses</w:t>
            </w:r>
          </w:p>
        </w:tc>
        <w:tc>
          <w:tcPr>
            <w:tcW w:w="136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December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700" w:type="dxa"/>
            <w:vAlign w:val="bottom"/>
            <w:gridSpan w:val="2"/>
            <w:vMerge w:val="continue"/>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8"/>
              </w:rPr>
              <w:t>31, 2020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Ninebell</w:t>
            </w: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4"/>
        </w:trPr>
        <w:tc>
          <w:tcPr>
            <w:tcW w:w="67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Accounts payable</w:t>
            </w:r>
          </w:p>
        </w:tc>
        <w:tc>
          <w:tcPr>
            <w:tcW w:w="136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December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700" w:type="dxa"/>
            <w:vAlign w:val="bottom"/>
            <w:gridSpan w:val="2"/>
            <w:vMerge w:val="continue"/>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8"/>
              </w:rPr>
              <w:t>31, 2020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Ninebell</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Shengyi</w:t>
            </w: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11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8"/>
                <w:szCs w:val="18"/>
                <w:b w:val="1"/>
                <w:bCs w:val="1"/>
                <w:color w:val="auto"/>
                <w:w w:val="94"/>
              </w:rPr>
              <w:t>March 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ind w:left="1140"/>
              <w:spacing w:after="0"/>
              <w:rPr>
                <w:sz w:val="20"/>
                <w:szCs w:val="20"/>
                <w:color w:val="auto"/>
              </w:rPr>
            </w:pPr>
            <w:r>
              <w:rPr>
                <w:rFonts w:ascii="Arial" w:cs="Arial" w:eastAsia="Arial" w:hAnsi="Arial"/>
                <w:sz w:val="18"/>
                <w:szCs w:val="18"/>
                <w:b w:val="1"/>
                <w:bCs w:val="1"/>
                <w:color w:val="auto"/>
              </w:rPr>
              <w:t>Purchase of materials</w:t>
            </w: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Ninebell</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Shengyi</w:t>
            </w: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8"/>
                <w:szCs w:val="18"/>
                <w:b w:val="1"/>
                <w:bCs w:val="1"/>
                <w:color w:val="auto"/>
                <w:w w:val="94"/>
              </w:rPr>
              <w:t>March 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ind w:left="1140"/>
              <w:spacing w:after="0"/>
              <w:rPr>
                <w:sz w:val="20"/>
                <w:szCs w:val="20"/>
                <w:color w:val="auto"/>
              </w:rPr>
            </w:pPr>
            <w:r>
              <w:rPr>
                <w:rFonts w:ascii="Arial" w:cs="Arial" w:eastAsia="Arial" w:hAnsi="Arial"/>
                <w:sz w:val="18"/>
                <w:szCs w:val="18"/>
                <w:b w:val="1"/>
                <w:bCs w:val="1"/>
                <w:color w:val="auto"/>
              </w:rPr>
              <w:t>Service fee charged by</w:t>
            </w: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Shengyi</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Ninebell</w:t>
            </w: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COMMON STOCK</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ACM is authorized to issue 50,000,000 shares of Class A common stock and 2,409,738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stockholders.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March 31, 2021, ACM issued 309,940 shares of Class A common stock upon option exercises by employees and non-employees and an additional 33,334 shares of Class A common stock upon conversion of an equal number of shares of Class B common stock. During the three months ended March 31, 2020, ACM issued 70,478 shares of Class A common stock upon option exercises by employees and non-employees, and an additional 64,717 shares of Class A common stock upon a cashless warrant exercise by a non-employee.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2021 and December 31, 2020 the number of shares of Class A common stock issued and outstanding was 17,239,967, and 16,896,693, respectively.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2021 and December 31, 2020, the number of shares of Class B common stock issued and outstanding was 1,769,272 and 1,802,606, respectively.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REDEEMABLE NON-CONTROLLING INTERESTS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second quarter of 2020, the redemption feature of the private placement funding terminated and the aggregate proceeds of the funding therefore were reclassified from redeemable non-controlling interests to non-controlling interests. At March 31, 2020, the balance of redeemable non-controlling interest was nil.</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change in the redeemable non-controlling interests for the three months ended March 31, 2020 are presented in the following table:</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60,162</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120"/>
              <w:spacing w:after="0"/>
              <w:rPr>
                <w:sz w:val="20"/>
                <w:szCs w:val="20"/>
                <w:color w:val="auto"/>
              </w:rPr>
            </w:pPr>
            <w:r>
              <w:rPr>
                <w:rFonts w:ascii="Arial" w:cs="Arial" w:eastAsia="Arial" w:hAnsi="Arial"/>
                <w:sz w:val="18"/>
                <w:szCs w:val="18"/>
                <w:color w:val="auto"/>
              </w:rPr>
              <w:t>Net income attributable to redeemable non-controlling interests</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r>
      <w:tr>
        <w:trPr>
          <w:trHeight w:val="223"/>
        </w:trPr>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foreign currency translation gain attributable to redeemable non-controlling interests</w:t>
            </w: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(953)</w:t>
            </w:r>
          </w:p>
        </w:tc>
      </w:tr>
      <w:tr>
        <w:trPr>
          <w:trHeight w:val="216"/>
        </w:trPr>
        <w:tc>
          <w:tcPr>
            <w:tcW w:w="9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 at March 31, 2020</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59,467</w:t>
            </w:r>
          </w:p>
        </w:tc>
        <w:tc>
          <w:tcPr>
            <w:tcW w:w="100" w:type="dxa"/>
            <w:vAlign w:val="bottom"/>
            <w:tcBorders>
              <w:top w:val="single" w:sz="8" w:color="CCEEFF"/>
            </w:tcBorders>
          </w:tcPr>
          <w:p>
            <w:pPr>
              <w:spacing w:after="0"/>
              <w:rPr>
                <w:sz w:val="18"/>
                <w:szCs w:val="18"/>
                <w:color w:val="auto"/>
              </w:rPr>
            </w:pPr>
          </w:p>
        </w:tc>
      </w:tr>
      <w:tr>
        <w:trPr>
          <w:trHeight w:val="21"/>
        </w:trPr>
        <w:tc>
          <w:tcPr>
            <w:tcW w:w="9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STOCK-BASED COMPENSATION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January 2020 ACM Shanghai adopted a 2019 Stock Option Incentive Plan (the “Subsidiary Stock Option Plan”) that provides for, among other incentives, the granting to officers, directors, employees of options to purchase shares of ACM Shanghai’s common stock. The fair value of the stock options granted is estimated at the date of grant based on the Black-Scholes option pricing model using assumptions generally consistent with those used for ACM’s stock options. Because ACM Shanghai shares are not publicly traded, the expected volatility is estimated with reference to the average historical volatility of a group of publicly traded companies that are believed to have similar characteristics to ACM Shanghai.</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ACM’s stock-based compensation consists of employee and non-employee awards issued under its 1998 Stock Option Plan, its 2016 Omnibus Incentive Plan, and as standalone options. ACM granted stock options to employees under the 2016 Omnibus Incentive Plan during the three months ended March 31, 2021. The vesting condition may consist of a service period determined by the Board of Directors for a grant or certain performance conditions determined by the Board of Directors for a grant. The fair value of the stock options granted with service period based condition is estimated at the date of grant using the Black-Scholes option pricing model. The fair value of the stock options granted with market based condition is estimated at the date of grant using the Monte Carlo simulation model.</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components of stock-based compensation expense included in the consolidated statements of operations: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4320" w:type="dxa"/>
            <w:vAlign w:val="bottom"/>
            <w:gridSpan w:val="7"/>
          </w:tcPr>
          <w:p>
            <w:pPr>
              <w:ind w:left="180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46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rPr>
              <w:t>Stock-Based Compensation Expense:</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4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9"/>
                <w:szCs w:val="19"/>
                <w:color w:val="auto"/>
              </w:rPr>
            </w:pPr>
          </w:p>
        </w:tc>
      </w:tr>
      <w:tr>
        <w:trPr>
          <w:trHeight w:val="257"/>
        </w:trPr>
        <w:tc>
          <w:tcPr>
            <w:tcW w:w="46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100" w:type="dxa"/>
            <w:vAlign w:val="bottom"/>
            <w:gridSpan w:val="7"/>
          </w:tcPr>
          <w:p>
            <w:pPr>
              <w:ind w:left="2580"/>
              <w:spacing w:after="0"/>
              <w:rPr>
                <w:sz w:val="20"/>
                <w:szCs w:val="20"/>
                <w:color w:val="auto"/>
              </w:rPr>
            </w:pPr>
            <w:r>
              <w:rPr>
                <w:rFonts w:ascii="Arial" w:cs="Arial" w:eastAsia="Arial" w:hAnsi="Arial"/>
                <w:sz w:val="18"/>
                <w:szCs w:val="18"/>
                <w:b w:val="1"/>
                <w:bCs w:val="1"/>
                <w:color w:val="auto"/>
                <w:w w:val="93"/>
              </w:rPr>
              <w:t>Three Months Ended March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1140"/>
              <w:spacing w:after="0"/>
              <w:rPr>
                <w:sz w:val="20"/>
                <w:szCs w:val="20"/>
                <w:color w:val="auto"/>
              </w:rPr>
            </w:pPr>
            <w:r>
              <w:rPr>
                <w:rFonts w:ascii="Arial" w:cs="Arial" w:eastAsia="Arial" w:hAnsi="Arial"/>
                <w:sz w:val="18"/>
                <w:szCs w:val="18"/>
                <w:b w:val="1"/>
                <w:bCs w:val="1"/>
                <w:color w:val="auto"/>
              </w:rPr>
              <w:t>Stock-based compensation expense by type:</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282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Non-employee stock purchase plan</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Subsidiary option grants</w:t>
            </w:r>
          </w:p>
        </w:tc>
        <w:tc>
          <w:tcPr>
            <w:tcW w:w="25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580" w:type="dxa"/>
            <w:vAlign w:val="bottom"/>
            <w:vMerge w:val="restart"/>
          </w:tcPr>
          <w:p>
            <w:pPr>
              <w:jc w:val="right"/>
              <w:ind w:right="1815"/>
              <w:spacing w:after="0"/>
              <w:rPr>
                <w:sz w:val="20"/>
                <w:szCs w:val="20"/>
                <w:color w:val="auto"/>
              </w:rPr>
            </w:pPr>
            <w:r>
              <w:rPr>
                <w:rFonts w:ascii="Arial" w:cs="Arial" w:eastAsia="Arial" w:hAnsi="Arial"/>
                <w:sz w:val="14"/>
                <w:szCs w:val="14"/>
                <w:color w:val="auto"/>
              </w:rPr>
              <w:t>22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1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4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employee share option activities during the three-months ended March 31, 2021:</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56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Weighted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2340" w:type="dxa"/>
            <w:vAlign w:val="bottom"/>
          </w:tcPr>
          <w:p>
            <w:pPr>
              <w:spacing w:after="0"/>
              <w:rPr>
                <w:sz w:val="18"/>
                <w:szCs w:val="18"/>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Average Grant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41"/>
        </w:trPr>
        <w:tc>
          <w:tcPr>
            <w:tcW w:w="2340" w:type="dxa"/>
            <w:vAlign w:val="bottom"/>
          </w:tcPr>
          <w:p>
            <w:pPr>
              <w:spacing w:after="0"/>
              <w:rPr>
                <w:sz w:val="20"/>
                <w:szCs w:val="20"/>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b w:val="1"/>
                <w:bCs w:val="1"/>
                <w:color w:val="auto"/>
              </w:rPr>
              <w:t>Option Share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Date Fair Value</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r>
      <w:tr>
        <w:trPr>
          <w:trHeight w:val="184"/>
        </w:trPr>
        <w:tc>
          <w:tcPr>
            <w:tcW w:w="23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3"/>
              </w:rPr>
              <w:t>Outstanding at December 31,</w:t>
            </w:r>
          </w:p>
        </w:tc>
        <w:tc>
          <w:tcPr>
            <w:tcW w:w="1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34"/>
        </w:trPr>
        <w:tc>
          <w:tcPr>
            <w:tcW w:w="2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2020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3,191,411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5.13</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12.73</w:t>
            </w:r>
          </w:p>
        </w:tc>
        <w:tc>
          <w:tcPr>
            <w:tcW w:w="60" w:type="dxa"/>
            <w:vAlign w:val="bottom"/>
            <w:shd w:val="clear" w:color="auto" w:fill="CCEEFF"/>
          </w:tcPr>
          <w:p>
            <w:pPr>
              <w:spacing w:after="0"/>
              <w:rPr>
                <w:sz w:val="20"/>
                <w:szCs w:val="20"/>
                <w:color w:val="auto"/>
              </w:rPr>
            </w:pPr>
          </w:p>
        </w:tc>
        <w:tc>
          <w:tcPr>
            <w:tcW w:w="15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w w:val="87"/>
              </w:rPr>
              <w:t>7.13 years</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106,400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50.67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111.98</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(255,582)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Forfeited/cancelled</w:t>
            </w:r>
          </w:p>
        </w:tc>
        <w:tc>
          <w:tcPr>
            <w:tcW w:w="1540" w:type="dxa"/>
            <w:vAlign w:val="bottom"/>
          </w:tcPr>
          <w:p>
            <w:pPr>
              <w:jc w:val="right"/>
              <w:spacing w:after="0"/>
              <w:rPr>
                <w:sz w:val="20"/>
                <w:szCs w:val="20"/>
                <w:color w:val="auto"/>
              </w:rPr>
            </w:pPr>
            <w:r>
              <w:rPr>
                <w:rFonts w:ascii="Arial" w:cs="Arial" w:eastAsia="Arial" w:hAnsi="Arial"/>
                <w:sz w:val="18"/>
                <w:szCs w:val="18"/>
                <w:color w:val="auto"/>
              </w:rPr>
              <w:t>(11,989)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27.45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62.58</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98"/>
        </w:trPr>
        <w:tc>
          <w:tcPr>
            <w:tcW w:w="23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Outstanding at March 31,</w:t>
            </w: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4"/>
        </w:trPr>
        <w:tc>
          <w:tcPr>
            <w:tcW w:w="2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2021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3,030,240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16.70</w:t>
            </w:r>
          </w:p>
        </w:tc>
        <w:tc>
          <w:tcPr>
            <w:tcW w:w="60" w:type="dxa"/>
            <w:vAlign w:val="bottom"/>
            <w:shd w:val="clear" w:color="auto" w:fill="CCEEFF"/>
          </w:tcPr>
          <w:p>
            <w:pPr>
              <w:spacing w:after="0"/>
              <w:rPr>
                <w:sz w:val="20"/>
                <w:szCs w:val="20"/>
                <w:color w:val="auto"/>
              </w:rPr>
            </w:pPr>
          </w:p>
        </w:tc>
        <w:tc>
          <w:tcPr>
            <w:tcW w:w="15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w w:val="87"/>
              </w:rPr>
              <w:t>7.22 years</w:t>
            </w:r>
          </w:p>
        </w:tc>
      </w:tr>
      <w:tr>
        <w:trPr>
          <w:trHeight w:val="202"/>
        </w:trPr>
        <w:tc>
          <w:tcPr>
            <w:tcW w:w="2340" w:type="dxa"/>
            <w:vAlign w:val="bottom"/>
          </w:tcPr>
          <w:p>
            <w:pPr>
              <w:spacing w:after="0" w:line="201" w:lineRule="exact"/>
              <w:rPr>
                <w:sz w:val="20"/>
                <w:szCs w:val="20"/>
                <w:color w:val="auto"/>
              </w:rPr>
            </w:pPr>
            <w:r>
              <w:rPr>
                <w:rFonts w:ascii="Arial" w:cs="Arial" w:eastAsia="Arial" w:hAnsi="Arial"/>
                <w:sz w:val="18"/>
                <w:szCs w:val="18"/>
                <w:color w:val="auto"/>
                <w:w w:val="88"/>
              </w:rPr>
              <w:t>Vested and exercisable at March</w:t>
            </w: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0"/>
        </w:trPr>
        <w:tc>
          <w:tcPr>
            <w:tcW w:w="2340" w:type="dxa"/>
            <w:vAlign w:val="bottom"/>
          </w:tcPr>
          <w:p>
            <w:pPr>
              <w:ind w:left="160"/>
              <w:spacing w:after="0"/>
              <w:rPr>
                <w:sz w:val="20"/>
                <w:szCs w:val="20"/>
                <w:color w:val="auto"/>
              </w:rPr>
            </w:pPr>
            <w:r>
              <w:rPr>
                <w:rFonts w:ascii="Arial" w:cs="Arial" w:eastAsia="Arial" w:hAnsi="Arial"/>
                <w:sz w:val="18"/>
                <w:szCs w:val="18"/>
                <w:color w:val="auto"/>
              </w:rPr>
              <w:t>31, 2021</w:t>
            </w:r>
          </w:p>
        </w:tc>
        <w:tc>
          <w:tcPr>
            <w:tcW w:w="1540" w:type="dxa"/>
            <w:vAlign w:val="bottom"/>
          </w:tcPr>
          <w:p>
            <w:pPr>
              <w:jc w:val="right"/>
              <w:spacing w:after="0"/>
              <w:rPr>
                <w:sz w:val="20"/>
                <w:szCs w:val="20"/>
                <w:color w:val="auto"/>
              </w:rPr>
            </w:pPr>
            <w:r>
              <w:rPr>
                <w:rFonts w:ascii="Arial" w:cs="Arial" w:eastAsia="Arial" w:hAnsi="Arial"/>
                <w:sz w:val="18"/>
                <w:szCs w:val="18"/>
                <w:color w:val="auto"/>
              </w:rPr>
              <w:t>1,809,322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2021 and December 31, 2020, $12,340 and $8,733, respectively, of total unrecognized employee stock-based compensation expense, net of estimated forfeitures, related to stock-based awards for ACM were expected to be recognized over a weighted-average period of 1.92 years and 1.89 years, respectively. Total recognized compensation cost may be adjusted for future changes in estimated forfeitures.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options granted to employee with a service period based condition is estimated on the grant date using the Black-Scholes valuation.</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89"/>
              </w:rPr>
              <w:t>Three months ended</w:t>
            </w:r>
          </w:p>
        </w:tc>
      </w:tr>
      <w:tr>
        <w:trPr>
          <w:trHeight w:val="216"/>
        </w:trPr>
        <w:tc>
          <w:tcPr>
            <w:tcW w:w="60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6080" w:type="dxa"/>
            <w:vAlign w:val="bottom"/>
            <w:tcBorders>
              <w:bottom w:val="single" w:sz="8" w:color="CCEEFF"/>
            </w:tcBorders>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share(1)</w:t>
            </w: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$48.25-51.07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Expected term in years(2)</w:t>
            </w:r>
          </w:p>
        </w:tc>
        <w:tc>
          <w:tcPr>
            <w:tcW w:w="2900" w:type="dxa"/>
            <w:vAlign w:val="bottom"/>
          </w:tcPr>
          <w:p>
            <w:pPr>
              <w:jc w:val="center"/>
              <w:spacing w:after="0"/>
              <w:rPr>
                <w:sz w:val="20"/>
                <w:szCs w:val="20"/>
                <w:color w:val="auto"/>
              </w:rPr>
            </w:pPr>
            <w:r>
              <w:rPr>
                <w:rFonts w:ascii="Arial" w:cs="Arial" w:eastAsia="Arial" w:hAnsi="Arial"/>
                <w:sz w:val="18"/>
                <w:szCs w:val="18"/>
                <w:color w:val="auto"/>
                <w:w w:val="89"/>
              </w:rPr>
              <w:t>5.50-6.25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Volatility(3)</w:t>
            </w: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48.53%</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Risk-free interest rate(4)</w:t>
            </w:r>
          </w:p>
        </w:tc>
        <w:tc>
          <w:tcPr>
            <w:tcW w:w="2900" w:type="dxa"/>
            <w:vAlign w:val="bottom"/>
          </w:tcPr>
          <w:p>
            <w:pPr>
              <w:jc w:val="center"/>
              <w:spacing w:after="0"/>
              <w:rPr>
                <w:sz w:val="20"/>
                <w:szCs w:val="20"/>
                <w:color w:val="auto"/>
              </w:rPr>
            </w:pPr>
            <w:r>
              <w:rPr>
                <w:rFonts w:ascii="Arial" w:cs="Arial" w:eastAsia="Arial" w:hAnsi="Arial"/>
                <w:sz w:val="18"/>
                <w:szCs w:val="18"/>
                <w:color w:val="auto"/>
                <w:w w:val="93"/>
              </w:rPr>
              <w:t>1.00%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dividend(5)</w:t>
            </w: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bl>
    <w:p>
      <w:pPr>
        <w:spacing w:after="0" w:line="22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Equal to closing value on the grant date.</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according to Staff Accounting Bulletin 110.</w:t>
      </w: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each grant.</w:t>
      </w:r>
    </w:p>
    <w:p>
      <w:pPr>
        <w:spacing w:after="0" w:line="20"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non-employee share option activities during the three months ended March 31, 2021:</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56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2360" w:type="dxa"/>
            <w:vAlign w:val="bottom"/>
          </w:tcPr>
          <w:p>
            <w:pPr>
              <w:spacing w:after="0"/>
              <w:rPr>
                <w:sz w:val="18"/>
                <w:szCs w:val="18"/>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Average Grant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41"/>
        </w:trPr>
        <w:tc>
          <w:tcPr>
            <w:tcW w:w="236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Option 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Date Fair Value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r>
      <w:tr>
        <w:trPr>
          <w:trHeight w:val="184"/>
        </w:trPr>
        <w:tc>
          <w:tcPr>
            <w:tcW w:w="236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3"/>
              </w:rPr>
              <w:t>Outstanding at December 31,</w:t>
            </w:r>
          </w:p>
        </w:tc>
        <w:tc>
          <w:tcPr>
            <w:tcW w:w="1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34"/>
        </w:trPr>
        <w:tc>
          <w:tcPr>
            <w:tcW w:w="23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2020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836,038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60" w:type="dxa"/>
            <w:vAlign w:val="bottom"/>
            <w:shd w:val="clear" w:color="auto" w:fill="CCEEFF"/>
          </w:tcPr>
          <w:p>
            <w:pPr>
              <w:spacing w:after="0"/>
              <w:rPr>
                <w:sz w:val="20"/>
                <w:szCs w:val="20"/>
                <w:color w:val="auto"/>
              </w:rPr>
            </w:pPr>
          </w:p>
        </w:tc>
        <w:tc>
          <w:tcPr>
            <w:tcW w:w="15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w w:val="87"/>
              </w:rPr>
              <w:t>4.92 years</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Expired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Forfeited/cancelled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198"/>
        </w:trPr>
        <w:tc>
          <w:tcPr>
            <w:tcW w:w="2360" w:type="dxa"/>
            <w:vAlign w:val="bottom"/>
          </w:tcPr>
          <w:p>
            <w:pPr>
              <w:spacing w:after="0" w:line="198" w:lineRule="exact"/>
              <w:rPr>
                <w:sz w:val="20"/>
                <w:szCs w:val="20"/>
                <w:color w:val="auto"/>
              </w:rPr>
            </w:pPr>
            <w:r>
              <w:rPr>
                <w:rFonts w:ascii="Arial" w:cs="Arial" w:eastAsia="Arial" w:hAnsi="Arial"/>
                <w:sz w:val="18"/>
                <w:szCs w:val="18"/>
                <w:b w:val="1"/>
                <w:bCs w:val="1"/>
                <w:color w:val="auto"/>
              </w:rPr>
              <w:t>Outstanding at March 31,</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4"/>
        </w:trPr>
        <w:tc>
          <w:tcPr>
            <w:tcW w:w="2360" w:type="dxa"/>
            <w:vAlign w:val="bottom"/>
          </w:tcPr>
          <w:p>
            <w:pPr>
              <w:ind w:left="160"/>
              <w:spacing w:after="0"/>
              <w:rPr>
                <w:sz w:val="20"/>
                <w:szCs w:val="20"/>
                <w:color w:val="auto"/>
              </w:rPr>
            </w:pPr>
            <w:r>
              <w:rPr>
                <w:rFonts w:ascii="Arial" w:cs="Arial" w:eastAsia="Arial" w:hAnsi="Arial"/>
                <w:sz w:val="18"/>
                <w:szCs w:val="18"/>
                <w:b w:val="1"/>
                <w:bCs w:val="1"/>
                <w:color w:val="auto"/>
              </w:rPr>
              <w:t>2021</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781,604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0.99</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2.91</w:t>
            </w:r>
          </w:p>
        </w:tc>
        <w:tc>
          <w:tcPr>
            <w:tcW w:w="60" w:type="dxa"/>
            <w:vAlign w:val="bottom"/>
          </w:tcPr>
          <w:p>
            <w:pPr>
              <w:spacing w:after="0"/>
              <w:rPr>
                <w:sz w:val="20"/>
                <w:szCs w:val="20"/>
                <w:color w:val="auto"/>
              </w:rPr>
            </w:pPr>
          </w:p>
        </w:tc>
        <w:tc>
          <w:tcPr>
            <w:tcW w:w="1560" w:type="dxa"/>
            <w:vAlign w:val="bottom"/>
          </w:tcPr>
          <w:p>
            <w:pPr>
              <w:ind w:left="780"/>
              <w:spacing w:after="0"/>
              <w:rPr>
                <w:sz w:val="20"/>
                <w:szCs w:val="20"/>
                <w:color w:val="auto"/>
              </w:rPr>
            </w:pPr>
            <w:r>
              <w:rPr>
                <w:rFonts w:ascii="Arial" w:cs="Arial" w:eastAsia="Arial" w:hAnsi="Arial"/>
                <w:sz w:val="18"/>
                <w:szCs w:val="18"/>
                <w:b w:val="1"/>
                <w:bCs w:val="1"/>
                <w:color w:val="auto"/>
                <w:w w:val="87"/>
              </w:rPr>
              <w:t>4.64 years</w:t>
            </w: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Vested and exercisable at March</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0"/>
        </w:trPr>
        <w:tc>
          <w:tcPr>
            <w:tcW w:w="2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31, 2021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773,139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and December 31, 2020, $155 and $195, respectively, of total unrecognized non-employee stock-based compensation expense, net of estimated forfeitures, related to stock-based awards were expected to be recognized over a weighted-average period of 0.08 years and 0.09 years, respectively. Total recognized compensation cost may be adjusted for future changes in estimated forfeitures.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ACM Shanghai Option Grants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ACM Shanghai employee stock option activities during the three months ended March 31, 2021:</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56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23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Option Shares in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Average Grant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41"/>
        </w:trPr>
        <w:tc>
          <w:tcPr>
            <w:tcW w:w="23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4"/>
              </w:rPr>
              <w:t>ACM Shanghai</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Date Fair Value</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r>
      <w:tr>
        <w:trPr>
          <w:trHeight w:val="184"/>
        </w:trPr>
        <w:tc>
          <w:tcPr>
            <w:tcW w:w="236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3"/>
              </w:rPr>
              <w:t>Outstanding at December 31,</w:t>
            </w:r>
          </w:p>
        </w:tc>
        <w:tc>
          <w:tcPr>
            <w:tcW w:w="1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34"/>
        </w:trPr>
        <w:tc>
          <w:tcPr>
            <w:tcW w:w="23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2020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5,423,654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60" w:type="dxa"/>
            <w:vAlign w:val="bottom"/>
            <w:shd w:val="clear" w:color="auto" w:fill="CCEEFF"/>
          </w:tcPr>
          <w:p>
            <w:pPr>
              <w:spacing w:after="0"/>
              <w:rPr>
                <w:sz w:val="20"/>
                <w:szCs w:val="20"/>
                <w:color w:val="auto"/>
              </w:rPr>
            </w:pPr>
          </w:p>
        </w:tc>
        <w:tc>
          <w:tcPr>
            <w:tcW w:w="15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w w:val="87"/>
              </w:rPr>
              <w:t>3.50 years</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Expired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Forfeited/cancelled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198"/>
        </w:trPr>
        <w:tc>
          <w:tcPr>
            <w:tcW w:w="2360" w:type="dxa"/>
            <w:vAlign w:val="bottom"/>
          </w:tcPr>
          <w:p>
            <w:pPr>
              <w:spacing w:after="0" w:line="198" w:lineRule="exact"/>
              <w:rPr>
                <w:sz w:val="20"/>
                <w:szCs w:val="20"/>
                <w:color w:val="auto"/>
              </w:rPr>
            </w:pPr>
            <w:r>
              <w:rPr>
                <w:rFonts w:ascii="Arial" w:cs="Arial" w:eastAsia="Arial" w:hAnsi="Arial"/>
                <w:sz w:val="18"/>
                <w:szCs w:val="18"/>
                <w:b w:val="1"/>
                <w:bCs w:val="1"/>
                <w:color w:val="auto"/>
              </w:rPr>
              <w:t>Outstanding at March 31,</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4"/>
        </w:trPr>
        <w:tc>
          <w:tcPr>
            <w:tcW w:w="2360" w:type="dxa"/>
            <w:vAlign w:val="bottom"/>
          </w:tcPr>
          <w:p>
            <w:pPr>
              <w:ind w:left="160"/>
              <w:spacing w:after="0"/>
              <w:rPr>
                <w:sz w:val="20"/>
                <w:szCs w:val="20"/>
                <w:color w:val="auto"/>
              </w:rPr>
            </w:pPr>
            <w:r>
              <w:rPr>
                <w:rFonts w:ascii="Arial" w:cs="Arial" w:eastAsia="Arial" w:hAnsi="Arial"/>
                <w:sz w:val="18"/>
                <w:szCs w:val="18"/>
                <w:b w:val="1"/>
                <w:bCs w:val="1"/>
                <w:color w:val="auto"/>
              </w:rPr>
              <w:t>2021</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5,377,500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0.24</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60" w:type="dxa"/>
            <w:vAlign w:val="bottom"/>
          </w:tcPr>
          <w:p>
            <w:pPr>
              <w:spacing w:after="0"/>
              <w:rPr>
                <w:sz w:val="20"/>
                <w:szCs w:val="20"/>
                <w:color w:val="auto"/>
              </w:rPr>
            </w:pPr>
          </w:p>
        </w:tc>
        <w:tc>
          <w:tcPr>
            <w:tcW w:w="1560" w:type="dxa"/>
            <w:vAlign w:val="bottom"/>
          </w:tcPr>
          <w:p>
            <w:pPr>
              <w:ind w:left="780"/>
              <w:spacing w:after="0"/>
              <w:rPr>
                <w:sz w:val="20"/>
                <w:szCs w:val="20"/>
                <w:color w:val="auto"/>
              </w:rPr>
            </w:pPr>
            <w:r>
              <w:rPr>
                <w:rFonts w:ascii="Arial" w:cs="Arial" w:eastAsia="Arial" w:hAnsi="Arial"/>
                <w:sz w:val="18"/>
                <w:szCs w:val="18"/>
                <w:b w:val="1"/>
                <w:bCs w:val="1"/>
                <w:color w:val="auto"/>
                <w:w w:val="87"/>
              </w:rPr>
              <w:t>3.26 years</w:t>
            </w: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Vested and exercisable at March</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0"/>
        </w:trPr>
        <w:tc>
          <w:tcPr>
            <w:tcW w:w="2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31, 2021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three months ended March 31, 2021 and 2020, the Company recognized stock-based compensation expense of $85 and $86, respectively, related to stock option grants of ACM Shanghai. As of March 31, 2021 and 2020, $779 and $822, respectively, of total unrecognized non-employee stock-based compensation expense, net of estimated forfeitures, related to ACM Shanghai stock-based awards were expected to be recognized over a weighted-average period of 2.3 years and 2.5 years, respectively. Total recognized compensation cost may be adjusted for future changes in estimated forfeitures.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each reporting date, management considers new evidence, both positive and negative, that could affect its view of the future realization of deferred tax assets. Prior to September 30, 2019, the Company had recorded a valuation allowance for the full amount of net deferred tax assets in the United States, as the realization of deferred tax assets was uncertain. Since September 30, 2019, the Company has not maintained a valuation allowance except for a partial valuation allowance on certain U.S. deferred tax assets. In order to recognize the remaining U.S. deferred tax assets that continue to be subject to a valuation allowance, the Company will need to generate sufficient U.S. taxable income in future periods before the expiration of the deferred tax assets governed by the tax code.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ACM Shanghai has shown a three-year historical cumulative profit and has projections of future income. As a result, the Company does not maintain a valuation allowance.</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effective tax rate differs from statutory rates of 21% for U.S. federal income tax purposes and 15% to 25% for Chinese income tax purposes due to the effects of the valuation allowance and certain permanent differences from book-tax differences. As a result, the Company recorded income tax benefit (expense) of $2,770 and $(304) during the three months ended March 31, 2021 and 2020, respectively.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the Company’s total unrecognized tax benefits were $570 of which $422 would affect the effective tax rate if recognized. The Company will recognize interest and penalties, when they occur, related to uncertain tax provisions as a component of tax expense. No interest or penalties were recognized for the three months ended March 31, 2021.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United States and state and foreign jurisdictions. The federal, state and foreign income tax returns are under the statute of limitations subject to tax examinations for the tax years ended December 31, 2010 through December 31, 2020.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effective tax rate differs from statutory rates of 21% for U.S. federal income tax purposes and 15% to 25% for Chinese income tax purposes due to the effects of the valuation allowance and certain permanent differences as it pertains to book-tax differences in the treatment of stock-based compensation and non-US research expenses. The Company’s three PRC subsidiaries, ACM Shanghai, ACM Wuxi and ACM Shengwei, are liable for PRC corporate income taxes at the rates of 15%, 25% and 25%, respectively. Pursuant to the Corporate Income Tax Law of the PRC, ACM’s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and 2018, with an effective period of three years.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ACM files income tax returns in the United States and state and foreign jurisdictions. Those federal, state and foreign income tax returns are under the statute of limitations subject to tax examinations for 2009 through 2020. To the extent ACM has tax attribute carryforwards, the tax years in which the attribute was generated may still be adjusted upon examination by the U.S. Internal Revenue Service or state or foreign tax authorities to the extent utilized in a future period.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 Coronavirus Aid, Relief, and Economic Security Act (“CARES Act”) was enacted on March 27, 2020. It contains several provisions that may have financial statement effects. Key aspects of the CARES Act include the following:</w:t>
      </w:r>
    </w:p>
    <w:p>
      <w:pPr>
        <w:spacing w:after="0" w:line="19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repealed the 80% taxable income limitation for 2018, 2019 and 2020, and allows those years to be carried back up to five years;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allows corporations to claim 100% of AMT credits in 2019, and provides for an election to take the entire refundable credit amount in 2018;</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raised the Section 163(j) ATI limit from 30% to 50% for businesses; and</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made technical corrections to TCJA for Qualified Improvement Property (“QIP”) and designates QIP as 15-year property for depreciation purposes, which makes QIP a category eligible for 100% bonus depreciation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CARES Act has not had a material impact on income taxes in the Company’s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The guidance is effective for public companies for fiscal years, and interim periods within those fiscal years, beginning after December 15, 2020. The impact of the adoption by the Company on its condensed consolidated financial statements and disclosures is immaterial.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(expense) was as follows:</w:t>
      </w:r>
    </w:p>
    <w:p>
      <w:pPr>
        <w:spacing w:after="0" w:line="248" w:lineRule="exact"/>
        <w:rPr>
          <w:sz w:val="20"/>
          <w:szCs w:val="20"/>
          <w:color w:val="auto"/>
        </w:rPr>
      </w:pPr>
    </w:p>
    <w:p>
      <w:pPr>
        <w:jc w:val="center"/>
        <w:ind w:left="5100"/>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left="510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5715</wp:posOffset>
            </wp:positionV>
            <wp:extent cx="94297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2975" cy="17145"/>
                    </a:xfrm>
                    <a:prstGeom prst="rect">
                      <a:avLst/>
                    </a:prstGeom>
                    <a:noFill/>
                  </pic:spPr>
                </pic:pic>
              </a:graphicData>
            </a:graphic>
          </wp:anchor>
        </w:drawing>
      </w:r>
    </w:p>
    <w:p>
      <w:pPr>
        <w:ind w:left="7600"/>
        <w:spacing w:after="0"/>
        <w:tabs>
          <w:tab w:leader="none" w:pos="83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17145</wp:posOffset>
            </wp:positionV>
            <wp:extent cx="9429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2975" cy="17145"/>
                    </a:xfrm>
                    <a:prstGeom prst="rect">
                      <a:avLst/>
                    </a:prstGeom>
                    <a:noFill/>
                  </pic:spPr>
                </pic:pic>
              </a:graphicData>
            </a:graphic>
          </wp:anchor>
        </w:drawing>
      </w:r>
    </w:p>
    <w:p>
      <w:pPr>
        <w:spacing w:after="0" w:line="20" w:lineRule="exact"/>
        <w:rPr>
          <w:sz w:val="20"/>
          <w:szCs w:val="20"/>
          <w:color w:val="auto"/>
        </w:rPr>
      </w:pPr>
    </w:p>
    <w:p>
      <w:pPr>
        <w:ind w:left="2380"/>
        <w:spacing w:after="0"/>
        <w:tabs>
          <w:tab w:leader="none" w:pos="7420" w:val="left"/>
          <w:tab w:leader="none" w:pos="7700" w:val="left"/>
          <w:tab w:leader="none" w:pos="8580" w:val="left"/>
        </w:tabs>
        <w:rPr>
          <w:sz w:val="20"/>
          <w:szCs w:val="20"/>
          <w:color w:val="auto"/>
        </w:rPr>
      </w:pPr>
      <w:r>
        <w:rPr>
          <w:rFonts w:ascii="Arial" w:cs="Arial" w:eastAsia="Arial" w:hAnsi="Arial"/>
          <w:sz w:val="18"/>
          <w:szCs w:val="18"/>
          <w:color w:val="auto"/>
        </w:rPr>
        <w:t>Total income tax benefit (expense)</w:t>
      </w:r>
      <w:r>
        <w:rPr>
          <w:sz w:val="20"/>
          <w:szCs w:val="20"/>
          <w:color w:val="auto"/>
        </w:rPr>
        <w:tab/>
      </w:r>
      <w:r>
        <w:rPr>
          <w:rFonts w:ascii="Arial" w:cs="Arial" w:eastAsia="Arial" w:hAnsi="Arial"/>
          <w:sz w:val="18"/>
          <w:szCs w:val="18"/>
          <w:u w:val="single" w:color="auto"/>
          <w:color w:val="auto"/>
        </w:rPr>
        <w:t>$</w:t>
        <w:tab/>
        <w:t>2,770 $</w:t>
      </w:r>
      <w:r>
        <w:rPr>
          <w:sz w:val="20"/>
          <w:szCs w:val="20"/>
          <w:color w:val="auto"/>
        </w:rPr>
        <w:tab/>
      </w:r>
      <w:r>
        <w:rPr>
          <w:rFonts w:ascii="Arial" w:cs="Arial" w:eastAsia="Arial" w:hAnsi="Arial"/>
          <w:sz w:val="16"/>
          <w:szCs w:val="16"/>
          <w:u w:val="single" w:color="auto"/>
          <w:color w:val="auto"/>
        </w:rPr>
        <w:t>(304</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-121920</wp:posOffset>
            </wp:positionV>
            <wp:extent cx="427736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COMMITMENTS AND CONTINGENCIES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leases offices under non-cancelable operating lease agreements. See note 8 for future minimum lease payments under non-cancelable operating lease agreements with initial terms of one year or more.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Company had $3,429 of open capital commitments.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Covenants in ACM Shengwei’s Grant Contract for State-owned Construction Land Use Right in Shanghai City with the China (Shanghai) Pilot Free Trade Zone Lingang Special Area Administration require, among other things, that ACM Shengwei pay liquidated damages in the event that (a) it does not make a total investment (including the costs of construction, fixtures, equipment and grant fees) of at least RMB 450.0 million ($63,400) or (b) within six years after the land use right is obtained, the Company does not (i) generate a minimum specified amount of annual sales of products manufactured on the granted land or (ii) pay to the PRC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 As of March 31, 2021, the Company had paid in total $10,328 for its Lingang-related investments.</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normal course of business, the Company is subject to contingencies, including legal proceedings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unascertainable damages.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has evaluated all such proceedings and claims that existed as of March 31, 2021 and December 31, 2020. In the opinion of management, no provision for liability nor disclosure was required as of March 31, 2021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As of March 31, 2021, the Company had one outstanding legal proceeding. On December 21, 2020, a putative class action lawsuit against ACM and three of its officers was filed in the U.S. District Court for the Northern District of California under the caption </w:t>
      </w:r>
      <w:r>
        <w:rPr>
          <w:rFonts w:ascii="Arial" w:cs="Arial" w:eastAsia="Arial" w:hAnsi="Arial"/>
          <w:sz w:val="17"/>
          <w:szCs w:val="17"/>
          <w:i w:val="1"/>
          <w:iCs w:val="1"/>
          <w:color w:val="auto"/>
        </w:rPr>
        <w:t>Kain v. ACM Research, Inc., et al.</w:t>
      </w:r>
      <w:r>
        <w:rPr>
          <w:rFonts w:ascii="Arial" w:cs="Arial" w:eastAsia="Arial" w:hAnsi="Arial"/>
          <w:sz w:val="17"/>
          <w:szCs w:val="17"/>
          <w:color w:val="auto"/>
        </w:rPr>
        <w:t>, No. 3:20-cv-09241. The complaint alleges claims under Sections 10(b) and 20(a) of the Securities Exchange Act of 1934 and Rule 10b-5 promulgated thereunder, and seeks monetary damages in an unspecified amount as well as costs and expenses incurred in the litigation. On April 15, 2021, the court appointed Mr. Kain as lead plaintiff, finding that no better-suited candidates emerged during the statutory sixty-day period following public notice of the lawsuit. ACM’s management believes the claims are without merit and intend to vigorously defend this litigation. The Company is currently unable to predict the outcome of this lawsuit and therefore cannot determine the likelihood of loss or estimate a range of possible loss.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2020, or our Annual Report. The following discussion contains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Factors that could cause or contribute to these differences include those discussed in Part I, Item 1A. “Risk Factors” in our Annual Report, as well as those discussed below and elsewhere in this report, particularly in the section titled “Item 1A. Risk Factors” in Part II below.</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from wet cleaning and other front-end processing tools totaled $31.9 million, or 72.9% of total revenue, for the three months ended March 31, 2021, as compared to $22.8 million, or 93.6% of total revenue, for the same period in 2020. Selling prices for our wet-cleaning and other front-end processing tools range from $1 million to more than $5 million. Our customers for wet-cleaning and other front-end processing tools have included Semiconductor Manufacturing International Corporation, Shanghai Huali Microelectronics Corporation, The Huahong Group, SK Hynix Inc., Yangtze Memory Technologies Co., Ltd, and ChangXin Memory Technologies.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from advanced packaging, other back-end processing tools, services and spares totaled $11.8 million, or 27.1% of total revenue for the three months ended March 31, 2021, as compared to $1.6 million, or 6.4% of total revenue for the same period in 2020. Selling prices for these tools range from $0.5 million to more than $4 million. Our customers for advanced packaging, and other back-end processing tools have included Jiangyin Changdian Advanced Packaging Co. Ltd., a leading PRC-based wafer bumping packaging house that is a subsidiary of JCET Group Co., Ltd.; Nantong Tongfu Microelectronics Co., Ltd., a PRC-based chip assembly and testing company that is a subsidiary of Nantong Fujitsu Microelectronics Co., Ltd.; Nepes Co., Ltd., a semiconductor packaging company based in South Korea which acquired the operations of Deca Technologies’ Philippines manufacturing facility in 2020; and Wafer Works Corporation, a leading PRC-based wafer supplier.</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estimate, based on third-party reports and on customer and other information, that our current product portfolio addresses more than $5 billion of the global wafer equipment market. By product line, we estimate an approximately $2.5 billion market opportunity is addressed by our wafer cleaning equipment, $1.7 billion by our furnace equipment, $500 million by our electro-chemical plating, or ECP equipment, and more than $300 million by our stress-free polishing, or SFP, advanced packaging, wafer processing, and other back-end processing equipment. By major equipment segment, Gartner estimates a 2020 global market size of $3.5 billion for wafer cleaning equipment (auto wet stations, single-wafer processors, batch spray processors, and other clean process equipment), $2.4 billion for furnace equipment (tube CVD, oxidation/diffusion furnace, and batch atomic layer deposition), and $546 million for ECD (electro-chemical deposition). Based on Gartner’s estimates, the total available global market for these equipment segments increased by 15% from $5.6 billion in 2019 to $6.4 billion in 2020, and is expected to increase by 6% to $6.8 billion in 2021.</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focused our selling efforts on establishing a referenceable base of leading foundry, logic and memory chip makers, whose use of our products can influence decisions by other manufacturers. We believe this customer base has helped us penetrate the mature chip manufacturing markets and build credibility with additional industry leaders. We have used a “demo-to-sales” process to place evaluation equipment, or “first tools,” with a number of selected customers.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2009 we have delivered more than 150 wet cleaning and other front-end processing tools, more than 130 of which have been accepted by customers and thereby generated revenue to us. The balance of the delivered tools are awaiting customer acceptance should contractual conditions be met. To date, a substantial majority of our sales of single-wafer wet cleaning equipment for front-end manufacturing have been to customers located in Asia, and we anticipate that a substantial majority of our revenue from these products will continue to come from customers located in this region for the foreseeable future. We have begun to add to our efforts to further address customers in North America, Western Europe and Southeast Asia by expanding our direct sales and services teams and increasing our global marketing activities.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focused on building a strategic portfolio of intellectual property to support and protect our key innovations. Our tools have been developed using our key proprietary technologies:</w:t>
      </w:r>
    </w:p>
    <w:p>
      <w:pPr>
        <w:spacing w:after="0" w:line="197" w:lineRule="exact"/>
        <w:rPr>
          <w:sz w:val="20"/>
          <w:szCs w:val="20"/>
          <w:color w:val="auto"/>
        </w:rPr>
      </w:pPr>
    </w:p>
    <w:p>
      <w:pPr>
        <w:jc w:val="both"/>
        <w:ind w:left="500" w:hanging="492"/>
        <w:spacing w:after="0" w:line="269"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Space Alternated Phase Shift, or SAPS, technology for flat and patterned (deep via or deep trench with stronger structure) wafer surfaces. </w:t>
      </w:r>
      <w:r>
        <w:rPr>
          <w:rFonts w:ascii="Arial" w:cs="Arial" w:eastAsia="Arial" w:hAnsi="Arial"/>
          <w:sz w:val="17"/>
          <w:szCs w:val="17"/>
          <w:color w:val="auto"/>
        </w:rPr>
        <w:t>SAPS</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employs alternating phases of megasonic waves to deliver megasonic energy in a highly uniform manner on a microscopic level. We have shown SAPS technology to be more effective than conventional megasonic and jet spray technologies in removing random defects across an entire wafer, with increasing relative effectiveness at more advanced production nodes.</w:t>
      </w:r>
    </w:p>
    <w:p>
      <w:pPr>
        <w:spacing w:after="0" w:line="1" w:lineRule="exact"/>
        <w:rPr>
          <w:rFonts w:ascii="Arial" w:cs="Arial" w:eastAsia="Arial" w:hAnsi="Arial"/>
          <w:sz w:val="17"/>
          <w:szCs w:val="17"/>
          <w:color w:val="auto"/>
        </w:rPr>
      </w:pPr>
    </w:p>
    <w:p>
      <w:pPr>
        <w:jc w:val="both"/>
        <w:ind w:left="500" w:hanging="492"/>
        <w:spacing w:after="0" w:line="216" w:lineRule="exact"/>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Timely Energized Bubble Oscillation, or TEBO, technology for patterned wafer surfaces at advanced process nodes</w:t>
      </w:r>
      <w:r>
        <w:rPr>
          <w:rFonts w:ascii="Arial" w:cs="Arial" w:eastAsia="Arial" w:hAnsi="Arial"/>
          <w:sz w:val="16"/>
          <w:szCs w:val="16"/>
          <w:color w:val="auto"/>
        </w:rPr>
        <w:t>. TEBO technology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developed to provide effective, damage-free cleaning for 2D and 3D patterned wafers with fine feature sizes. We have demonstrated the damage-free cleaning capabilities of TEBO technology on patterned wafers for feature nodes as small as 1xnm (16 to 19 nanometers, or nm), and we have shown TEBO technology can be applied in manufacturing processes for patterned chips with 3D architectures having aspect ratios as high as 60</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1.</w:t>
      </w:r>
    </w:p>
    <w:p>
      <w:pPr>
        <w:spacing w:after="0" w:line="2" w:lineRule="exact"/>
        <w:rPr>
          <w:rFonts w:ascii="Arial" w:cs="Arial" w:eastAsia="Arial" w:hAnsi="Arial"/>
          <w:sz w:val="16"/>
          <w:szCs w:val="16"/>
          <w:color w:val="auto"/>
        </w:rPr>
      </w:pPr>
    </w:p>
    <w:p>
      <w:pPr>
        <w:ind w:left="50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Tahoe technology for cost and environmental savings. </w:t>
      </w:r>
      <w:r>
        <w:rPr>
          <w:rFonts w:ascii="Arial" w:cs="Arial" w:eastAsia="Arial" w:hAnsi="Arial"/>
          <w:sz w:val="18"/>
          <w:szCs w:val="18"/>
          <w:color w:val="auto"/>
        </w:rPr>
        <w:t>Tahoe technology delivers high cleaning performance using significantly less sulfuric acid and</w:t>
      </w:r>
      <w:r>
        <w:rPr>
          <w:rFonts w:ascii="Arial" w:cs="Arial" w:eastAsia="Arial" w:hAnsi="Arial"/>
          <w:sz w:val="18"/>
          <w:szCs w:val="18"/>
          <w:i w:val="1"/>
          <w:iCs w:val="1"/>
          <w:color w:val="auto"/>
        </w:rPr>
        <w:t xml:space="preserve"> </w:t>
      </w:r>
      <w:r>
        <w:rPr>
          <w:rFonts w:ascii="Arial" w:cs="Arial" w:eastAsia="Arial" w:hAnsi="Arial"/>
          <w:sz w:val="18"/>
          <w:szCs w:val="18"/>
          <w:color w:val="auto"/>
        </w:rPr>
        <w:t>hydrogen peroxide than is typically consumed by conventional high-temperature single-wafer cleaning tools.</w:t>
      </w:r>
    </w:p>
    <w:p>
      <w:pPr>
        <w:jc w:val="both"/>
        <w:ind w:left="500" w:hanging="492"/>
        <w:spacing w:after="0" w:line="253"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ECP technology for advanced metal plating. </w:t>
      </w:r>
      <w:r>
        <w:rPr>
          <w:rFonts w:ascii="Arial" w:cs="Arial" w:eastAsia="Arial" w:hAnsi="Arial"/>
          <w:sz w:val="18"/>
          <w:szCs w:val="18"/>
          <w:color w:val="auto"/>
        </w:rPr>
        <w:t>Our Ultra ECP ap, or Advanced Packaging, technology was developed for back-end assembly</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to deliver a more uniform metal layer at the notch area of wafers prior to packaging. Our Ultra ECP map, or Multi-Anode Partial Plating, technology was developed for front-end wafer fabrication processes to deliver advanced electrochemical copper plating for copper interconnect applications. Ultra ECP map offers improved gap-filling performance for ultra-thin seed layer applications, which is critical for advanced nodes at 14nm and beyond.</w:t>
      </w:r>
    </w:p>
    <w:p>
      <w:pPr>
        <w:spacing w:after="0" w:line="21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2020 we introduced and delivered a range of new tools intended to broaden our revenue opportunity with global semiconductor manufacturers. Product extensions include the Ultra SFP ap tool for advanced packaging solutions, the Ultra C VI 18-chamber single wafer cleaning tool for advanced memory devices, and the Ultra ECP 3d platform for through-silicon-via, or tsv, application. New product lines include the Ultra fn Furnace, our first dry processing tool, and a suite of semi-critical cleaning systems which include single wafer back side cleaning, scrubber, and auto bench cleaning tools.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have been issued more than 350 patents in the United States, the People’s Republic of China or PRC, Japan, Singapore, South Korea and Taiwan.</w:t>
      </w:r>
    </w:p>
    <w:p>
      <w:pPr>
        <w:spacing w:after="0" w:line="2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conduct a substantial majority of our product development, manufacturing, support and services in the PRC, with additional product development and subsystem production in South Korea. Substantially all of our integrated tools are built to order at our manufacturing facilities in the Pudong region of Shanghai, which facilities now encompass a total of 236,000 square feet of floor space for production capacity, with an additional 100,000 square feet having been added in 2021 with the lease of a second building at our second facility in the Pudong region of Shanghai. In May 2020 ACM Shanghai, through its wholly owned subsidiary Shengwei Research (Shanghai), Inc., entered into an agreement for a land use right in the Lingang region of Shanghai. In July 2020 Shengwei Research (Shanghai), Inc. began a multi-year construction project for a new 1,000,000 square foot development and production center that will incorporate state-of-the-art manufacturing systems and automation technologies, and will provide floor space to support significantly increase production capacity and related research and development activities. Our experience has shown that chip manufacturers in the PRC and throughout Asia demand equipment meeting their specific technical requirements and prefer building relationships with local suppliers. We will continue to seek to leverage our local presence in the PRC to address the growing market for semiconductor manufacturing equipment in the region by working closely with regional chip manufacturers to understand their specific requirements, encourage them to adopt our technologies, and enable us to design innovative products and solutions to address their needs.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Background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ACM Research was incorporated in California in 1998 and redomesticated in Delaware in 2016. We perform strategic planning, marketing, and financial activities at our global corporate headquarters in Fremont, California.</w:t>
      </w:r>
    </w:p>
    <w:p>
      <w:pPr>
        <w:spacing w:after="0" w:line="197"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Initially we focused on developing tools for chip manufacturing process steps involving the integration of ultra</w:t>
      </w:r>
      <w:r>
        <w:rPr>
          <w:rFonts w:ascii="MS PGothic" w:cs="MS PGothic" w:eastAsia="MS PGothic" w:hAnsi="MS PGothic"/>
          <w:sz w:val="16"/>
          <w:szCs w:val="16"/>
          <w:color w:val="auto"/>
        </w:rPr>
        <w:t>‑</w:t>
      </w:r>
      <w:r>
        <w:rPr>
          <w:rFonts w:ascii="Arial" w:cs="Arial" w:eastAsia="Arial" w:hAnsi="Arial"/>
          <w:sz w:val="16"/>
          <w:szCs w:val="16"/>
          <w:color w:val="auto"/>
        </w:rPr>
        <w:t>low</w:t>
      </w:r>
      <w:r>
        <w:rPr>
          <w:rFonts w:ascii="MS PGothic" w:cs="MS PGothic" w:eastAsia="MS PGothic" w:hAnsi="MS PGothic"/>
          <w:sz w:val="16"/>
          <w:szCs w:val="16"/>
          <w:color w:val="auto"/>
        </w:rPr>
        <w:t>‑</w:t>
      </w:r>
      <w:r>
        <w:rPr>
          <w:rFonts w:ascii="Arial" w:cs="Arial" w:eastAsia="Arial" w:hAnsi="Arial"/>
          <w:sz w:val="16"/>
          <w:szCs w:val="16"/>
          <w:color w:val="auto"/>
        </w:rPr>
        <w:t>K materials and copper. In the early 2000s we sold tools based on stress-free copper polishing technology. In 2007 we began to focus our development efforts on single-wafer wet-cleaning solutions for the front-end chip fabrication process. Since that time, we have strategically built our technology base and expanded our product offerings:</w:t>
      </w:r>
    </w:p>
    <w:p>
      <w:pPr>
        <w:spacing w:after="0" w:line="231" w:lineRule="exact"/>
        <w:rPr>
          <w:sz w:val="20"/>
          <w:szCs w:val="20"/>
          <w:color w:val="auto"/>
        </w:rPr>
      </w:pPr>
    </w:p>
    <w:p>
      <w:pPr>
        <w:ind w:left="500" w:right="20" w:hanging="492"/>
        <w:spacing w:after="0" w:line="25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2009 we introduced </w:t>
      </w:r>
      <w:r>
        <w:rPr>
          <w:rFonts w:ascii="Arial" w:cs="Arial" w:eastAsia="Arial" w:hAnsi="Arial"/>
          <w:sz w:val="18"/>
          <w:szCs w:val="18"/>
          <w:i w:val="1"/>
          <w:iCs w:val="1"/>
          <w:color w:val="auto"/>
        </w:rPr>
        <w:t>SAPS</w:t>
      </w:r>
      <w:r>
        <w:rPr>
          <w:rFonts w:ascii="Arial" w:cs="Arial" w:eastAsia="Arial" w:hAnsi="Arial"/>
          <w:sz w:val="18"/>
          <w:szCs w:val="18"/>
          <w:color w:val="auto"/>
        </w:rPr>
        <w:t xml:space="preserve"> megasonic technology, which can be applied in wet wafer cleaning at numerous steps during the chip fabrication process.</w:t>
      </w:r>
    </w:p>
    <w:p>
      <w:pPr>
        <w:spacing w:after="0" w:line="1"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2016 we introduced </w:t>
      </w:r>
      <w:r>
        <w:rPr>
          <w:rFonts w:ascii="Arial" w:cs="Arial" w:eastAsia="Arial" w:hAnsi="Arial"/>
          <w:sz w:val="18"/>
          <w:szCs w:val="18"/>
          <w:i w:val="1"/>
          <w:iCs w:val="1"/>
          <w:color w:val="auto"/>
        </w:rPr>
        <w:t>TEBO</w:t>
      </w:r>
      <w:r>
        <w:rPr>
          <w:rFonts w:ascii="Arial" w:cs="Arial" w:eastAsia="Arial" w:hAnsi="Arial"/>
          <w:sz w:val="18"/>
          <w:szCs w:val="18"/>
          <w:color w:val="auto"/>
        </w:rPr>
        <w:t xml:space="preserve"> technology, which can be applied at numerous steps during the fabrication of small node conventional two-dimensional and three-dimensional patterned wafers.</w:t>
      </w:r>
    </w:p>
    <w:p>
      <w:pPr>
        <w:ind w:left="50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August 2018 we introduced the </w:t>
      </w:r>
      <w:r>
        <w:rPr>
          <w:rFonts w:ascii="Arial" w:cs="Arial" w:eastAsia="Arial" w:hAnsi="Arial"/>
          <w:sz w:val="18"/>
          <w:szCs w:val="18"/>
          <w:i w:val="1"/>
          <w:iCs w:val="1"/>
          <w:color w:val="auto"/>
        </w:rPr>
        <w:t>Ultra-C Tahoe</w:t>
      </w:r>
      <w:r>
        <w:rPr>
          <w:rFonts w:ascii="Arial" w:cs="Arial" w:eastAsia="Arial" w:hAnsi="Arial"/>
          <w:sz w:val="18"/>
          <w:szCs w:val="18"/>
          <w:color w:val="auto"/>
        </w:rPr>
        <w:t xml:space="preserve"> wafer cleaning tool, which delivers high cleaning performance with significantly less sulfuric acid than typically consumed by conventional high temperature single-wafer cleaning tools.</w:t>
      </w:r>
    </w:p>
    <w:p>
      <w:pPr>
        <w:jc w:val="both"/>
        <w:ind w:left="500" w:hanging="492"/>
        <w:spacing w:after="0" w:line="265"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In March 2019 we introduced (a) the </w:t>
      </w:r>
      <w:r>
        <w:rPr>
          <w:rFonts w:ascii="Arial" w:cs="Arial" w:eastAsia="Arial" w:hAnsi="Arial"/>
          <w:sz w:val="17"/>
          <w:szCs w:val="17"/>
          <w:i w:val="1"/>
          <w:iCs w:val="1"/>
          <w:color w:val="auto"/>
        </w:rPr>
        <w:t>Ultra ECP AP</w:t>
      </w:r>
      <w:r>
        <w:rPr>
          <w:rFonts w:ascii="Arial" w:cs="Arial" w:eastAsia="Arial" w:hAnsi="Arial"/>
          <w:sz w:val="17"/>
          <w:szCs w:val="17"/>
          <w:color w:val="auto"/>
        </w:rPr>
        <w:t xml:space="preserve"> or Advanced Wafer Level Packaging tool, a back-end assembly tool used for bumping, or applying copper, tin and nickel to wafers at the die-level prior to packaging, and (b) the </w:t>
      </w:r>
      <w:r>
        <w:rPr>
          <w:rFonts w:ascii="Arial" w:cs="Arial" w:eastAsia="Arial" w:hAnsi="Arial"/>
          <w:sz w:val="17"/>
          <w:szCs w:val="17"/>
          <w:i w:val="1"/>
          <w:iCs w:val="1"/>
          <w:color w:val="auto"/>
        </w:rPr>
        <w:t>Ultra ECP MAP</w:t>
      </w:r>
      <w:r>
        <w:rPr>
          <w:rFonts w:ascii="Arial" w:cs="Arial" w:eastAsia="Arial" w:hAnsi="Arial"/>
          <w:sz w:val="17"/>
          <w:szCs w:val="17"/>
          <w:color w:val="auto"/>
        </w:rPr>
        <w:t xml:space="preserve"> or Multi Anode Plating tool, a front-end process tool that utilizes our proprietary technology to deliver world-class electrochemical copper planting for copper interconnect applications.</w:t>
      </w: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April 2020 we introduced the </w:t>
      </w:r>
      <w:r>
        <w:rPr>
          <w:rFonts w:ascii="Arial" w:cs="Arial" w:eastAsia="Arial" w:hAnsi="Arial"/>
          <w:sz w:val="18"/>
          <w:szCs w:val="18"/>
          <w:i w:val="1"/>
          <w:iCs w:val="1"/>
          <w:color w:val="auto"/>
        </w:rPr>
        <w:t>Ultra Furnace</w:t>
      </w:r>
      <w:r>
        <w:rPr>
          <w:rFonts w:ascii="Arial" w:cs="Arial" w:eastAsia="Arial" w:hAnsi="Arial"/>
          <w:sz w:val="18"/>
          <w:szCs w:val="18"/>
          <w:color w:val="auto"/>
        </w:rPr>
        <w:t>, our first system developed for multiple dry processing applications.</w:t>
      </w:r>
    </w:p>
    <w:p>
      <w:pPr>
        <w:spacing w:after="0" w:line="9" w:lineRule="exact"/>
        <w:rPr>
          <w:rFonts w:ascii="Arial" w:cs="Arial" w:eastAsia="Arial" w:hAnsi="Arial"/>
          <w:sz w:val="18"/>
          <w:szCs w:val="18"/>
          <w:color w:val="auto"/>
        </w:rPr>
      </w:pPr>
    </w:p>
    <w:p>
      <w:pPr>
        <w:ind w:left="500" w:right="20" w:hanging="492"/>
        <w:spacing w:after="0" w:line="26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May 2020 we introduced the </w:t>
      </w:r>
      <w:r>
        <w:rPr>
          <w:rFonts w:ascii="Arial" w:cs="Arial" w:eastAsia="Arial" w:hAnsi="Arial"/>
          <w:sz w:val="18"/>
          <w:szCs w:val="18"/>
          <w:i w:val="1"/>
          <w:iCs w:val="1"/>
          <w:color w:val="auto"/>
        </w:rPr>
        <w:t>Ultra C Family</w:t>
      </w:r>
      <w:r>
        <w:rPr>
          <w:rFonts w:ascii="Arial" w:cs="Arial" w:eastAsia="Arial" w:hAnsi="Arial"/>
          <w:sz w:val="18"/>
          <w:szCs w:val="18"/>
          <w:color w:val="auto"/>
        </w:rPr>
        <w:t xml:space="preserve"> of semi-critical cleaning systems, including the </w:t>
      </w:r>
      <w:r>
        <w:rPr>
          <w:rFonts w:ascii="Arial" w:cs="Arial" w:eastAsia="Arial" w:hAnsi="Arial"/>
          <w:sz w:val="18"/>
          <w:szCs w:val="18"/>
          <w:i w:val="1"/>
          <w:iCs w:val="1"/>
          <w:color w:val="auto"/>
        </w:rPr>
        <w:t>Ultra C b</w:t>
      </w:r>
      <w:r>
        <w:rPr>
          <w:rFonts w:ascii="Arial" w:cs="Arial" w:eastAsia="Arial" w:hAnsi="Arial"/>
          <w:sz w:val="18"/>
          <w:szCs w:val="18"/>
          <w:color w:val="auto"/>
        </w:rPr>
        <w:t xml:space="preserve"> for backside clean, the </w:t>
      </w:r>
      <w:r>
        <w:rPr>
          <w:rFonts w:ascii="Arial" w:cs="Arial" w:eastAsia="Arial" w:hAnsi="Arial"/>
          <w:sz w:val="18"/>
          <w:szCs w:val="18"/>
          <w:i w:val="1"/>
          <w:iCs w:val="1"/>
          <w:color w:val="auto"/>
        </w:rPr>
        <w:t>Ultra C wb</w:t>
      </w:r>
      <w:r>
        <w:rPr>
          <w:rFonts w:ascii="Arial" w:cs="Arial" w:eastAsia="Arial" w:hAnsi="Arial"/>
          <w:sz w:val="18"/>
          <w:szCs w:val="18"/>
          <w:color w:val="auto"/>
        </w:rPr>
        <w:t xml:space="preserve"> automated wet bench, and the </w:t>
      </w:r>
      <w:r>
        <w:rPr>
          <w:rFonts w:ascii="Arial" w:cs="Arial" w:eastAsia="Arial" w:hAnsi="Arial"/>
          <w:sz w:val="18"/>
          <w:szCs w:val="18"/>
          <w:i w:val="1"/>
          <w:iCs w:val="1"/>
          <w:color w:val="auto"/>
        </w:rPr>
        <w:t>Ultra C s</w:t>
      </w:r>
      <w:r>
        <w:rPr>
          <w:rFonts w:ascii="Arial" w:cs="Arial" w:eastAsia="Arial" w:hAnsi="Arial"/>
          <w:sz w:val="18"/>
          <w:szCs w:val="18"/>
          <w:color w:val="auto"/>
        </w:rPr>
        <w:t xml:space="preserve"> scrubber.</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help us establish and build relationships with chip manufacturers in the PRC, in 2006 we moved our operational center to Shanghai and began to conduct our business through our subsidiary ACM Shanghai. Since that time, we have expanded our geographic presence:</w:t>
      </w:r>
    </w:p>
    <w:p>
      <w:pPr>
        <w:spacing w:after="0" w:line="197" w:lineRule="exact"/>
        <w:rPr>
          <w:sz w:val="20"/>
          <w:szCs w:val="20"/>
          <w:color w:val="auto"/>
        </w:rPr>
      </w:pPr>
    </w:p>
    <w:p>
      <w:pPr>
        <w:ind w:left="500" w:hanging="492"/>
        <w:spacing w:after="0" w:line="258"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 2011 we formed a wholly owned subsidiary in the PRC, </w:t>
      </w:r>
      <w:r>
        <w:rPr>
          <w:rFonts w:ascii="Arial" w:cs="Arial" w:eastAsia="Arial" w:hAnsi="Arial"/>
          <w:sz w:val="18"/>
          <w:szCs w:val="18"/>
          <w:i w:val="1"/>
          <w:iCs w:val="1"/>
          <w:color w:val="auto"/>
        </w:rPr>
        <w:t>ACM Research (Wuxi), Inc.</w:t>
      </w:r>
      <w:r>
        <w:rPr>
          <w:rFonts w:ascii="Arial" w:cs="Arial" w:eastAsia="Arial" w:hAnsi="Arial"/>
          <w:sz w:val="18"/>
          <w:szCs w:val="18"/>
          <w:color w:val="auto"/>
        </w:rPr>
        <w:t>, which now is a wholly owned subsidiary of ACM Shanghai, to manage sales and service operations.</w:t>
      </w:r>
    </w:p>
    <w:p>
      <w:pPr>
        <w:spacing w:after="0" w:line="1" w:lineRule="exact"/>
        <w:rPr>
          <w:rFonts w:ascii="Arial" w:cs="Arial" w:eastAsia="Arial" w:hAnsi="Arial"/>
          <w:sz w:val="18"/>
          <w:szCs w:val="18"/>
          <w:color w:val="auto"/>
        </w:rPr>
      </w:pPr>
    </w:p>
    <w:p>
      <w:pPr>
        <w:jc w:val="both"/>
        <w:ind w:left="500" w:hanging="492"/>
        <w:spacing w:after="0" w:line="265"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In June 2017 we formed a subsidiary in Hong Kong, </w:t>
      </w:r>
      <w:r>
        <w:rPr>
          <w:rFonts w:ascii="Arial" w:cs="Arial" w:eastAsia="Arial" w:hAnsi="Arial"/>
          <w:sz w:val="17"/>
          <w:szCs w:val="17"/>
          <w:i w:val="1"/>
          <w:iCs w:val="1"/>
          <w:color w:val="auto"/>
        </w:rPr>
        <w:t>CleanChip Technologies Limited</w:t>
      </w:r>
      <w:r>
        <w:rPr>
          <w:rFonts w:ascii="Arial" w:cs="Arial" w:eastAsia="Arial" w:hAnsi="Arial"/>
          <w:sz w:val="17"/>
          <w:szCs w:val="17"/>
          <w:color w:val="auto"/>
        </w:rPr>
        <w:t>, which now is a wholly owned subsidiary of ACM Shanghai, to act on our behalf in Asian markets outside the PRC by, for example, serving as a trading partner between ACM Shanghai and its customers, procuring raw materials and components, performing sales and marketing activities, and making strategic investments.</w:t>
      </w:r>
    </w:p>
    <w:p>
      <w:pPr>
        <w:ind w:left="500" w:hanging="492"/>
        <w:spacing w:after="0" w:line="28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 December 2017 we formed a subsidiary in the Republic of Korea, </w:t>
      </w:r>
      <w:r>
        <w:rPr>
          <w:rFonts w:ascii="Arial" w:cs="Arial" w:eastAsia="Arial" w:hAnsi="Arial"/>
          <w:sz w:val="16"/>
          <w:szCs w:val="16"/>
          <w:i w:val="1"/>
          <w:iCs w:val="1"/>
          <w:color w:val="auto"/>
        </w:rPr>
        <w:t>ACM Research Korea CO., LTD.</w:t>
      </w:r>
      <w:r>
        <w:rPr>
          <w:rFonts w:ascii="Arial" w:cs="Arial" w:eastAsia="Arial" w:hAnsi="Arial"/>
          <w:sz w:val="16"/>
          <w:szCs w:val="16"/>
          <w:color w:val="auto"/>
        </w:rPr>
        <w:t>, which now is a wholly owned subsidiary of ACM Shanghai, to serve our customers based in the Republic of Korea and perform sales, marketing, and research and development activities.</w:t>
      </w:r>
    </w:p>
    <w:p>
      <w:pPr>
        <w:spacing w:after="0" w:line="1" w:lineRule="exact"/>
        <w:rPr>
          <w:rFonts w:ascii="Arial" w:cs="Arial" w:eastAsia="Arial" w:hAnsi="Arial"/>
          <w:sz w:val="16"/>
          <w:szCs w:val="16"/>
          <w:color w:val="auto"/>
        </w:rPr>
      </w:pPr>
    </w:p>
    <w:p>
      <w:pPr>
        <w:ind w:left="500" w:hanging="492"/>
        <w:spacing w:after="0" w:line="26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 March 2019 ACM Shanghai formed a wholly owned subsidiary in the PRC, </w:t>
      </w:r>
      <w:r>
        <w:rPr>
          <w:rFonts w:ascii="Arial" w:cs="Arial" w:eastAsia="Arial" w:hAnsi="Arial"/>
          <w:sz w:val="18"/>
          <w:szCs w:val="18"/>
          <w:i w:val="1"/>
          <w:iCs w:val="1"/>
          <w:color w:val="auto"/>
        </w:rPr>
        <w:t>Shengwei Research (Shanghai), Inc</w:t>
      </w:r>
      <w:r>
        <w:rPr>
          <w:rFonts w:ascii="Arial" w:cs="Arial" w:eastAsia="Arial" w:hAnsi="Arial"/>
          <w:sz w:val="18"/>
          <w:szCs w:val="18"/>
          <w:color w:val="auto"/>
        </w:rPr>
        <w:t>., to manage activities related to addition of future long-term production capacity.</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conduct the majority of our product development, support and services, and substantially all of our manufacturing, at ACM Shanghai. Our Shanghai operations position us to be near many of our current and potential new customers in the PRC (including Taiwan), Korea and throughout Asia, providing convenient access and reduced shipping and manufacturing costs.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initial factory is located in the Pudong Region of Shanghai and has a total of 36,000 square feet of available floor space.</w:t>
      </w:r>
    </w:p>
    <w:p>
      <w:pPr>
        <w:spacing w:after="0" w:line="23" w:lineRule="exact"/>
        <w:rPr>
          <w:rFonts w:ascii="Arial" w:cs="Arial" w:eastAsia="Arial" w:hAnsi="Arial"/>
          <w:sz w:val="18"/>
          <w:szCs w:val="18"/>
          <w:color w:val="auto"/>
        </w:rPr>
      </w:pPr>
    </w:p>
    <w:p>
      <w:pPr>
        <w:jc w:val="both"/>
        <w:ind w:left="500" w:hanging="492"/>
        <w:spacing w:after="0" w:line="281"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second production facility is located in the Chuansha district of Pudong, approximately 11 miles from our initial factory. In September 2018 we announced the opening of the first building of our second production facility. The first building initially had a total of 50,000 square feet of available floor space for production capacity, which was increased by 50,000 square feet in the second quarter of 2020. During the three months ended March 31, 2021, we leased a second building immediately adjacent to our second factory, which increased our available floor space for production by another 100,000 square feet, bringing to total available floor space for production capacity of second production facility to 200,000 square feet.</w:t>
      </w:r>
    </w:p>
    <w:p>
      <w:pPr>
        <w:spacing w:after="0" w:line="2" w:lineRule="exact"/>
        <w:rPr>
          <w:rFonts w:ascii="Arial" w:cs="Arial" w:eastAsia="Arial" w:hAnsi="Arial"/>
          <w:sz w:val="16"/>
          <w:szCs w:val="16"/>
          <w:color w:val="auto"/>
        </w:rPr>
      </w:pPr>
    </w:p>
    <w:p>
      <w:pPr>
        <w:ind w:left="500" w:hanging="492"/>
        <w:spacing w:after="0" w:line="290"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July 2020 ACM Shanghai began a multi-year construction project to build a development and production center in the Lingang region of Shanghai. The new facility is expected to have a total of 1,000,000 square feet of available floor space for production. capacity.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STAR Market Listing and IPO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June 2019 we announced our intention to complete, within the following three years:</w:t>
      </w:r>
    </w:p>
    <w:p>
      <w:pPr>
        <w:spacing w:after="0" w:line="252" w:lineRule="exact"/>
        <w:rPr>
          <w:sz w:val="20"/>
          <w:szCs w:val="20"/>
          <w:color w:val="auto"/>
        </w:rPr>
      </w:pPr>
    </w:p>
    <w:p>
      <w:pPr>
        <w:ind w:left="500" w:right="20" w:hanging="492"/>
        <w:spacing w:after="0" w:line="258"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listing, which we refer to as the STAR Listing, of shares of ACM Shanghai on the Shanghai Stock Exchange’s Sci-Tech innovAtion boaRd, known as the STAR Market; and</w:t>
      </w:r>
    </w:p>
    <w:p>
      <w:pPr>
        <w:spacing w:after="0" w:line="1" w:lineRule="exact"/>
        <w:rPr>
          <w:rFonts w:ascii="Arial" w:cs="Arial" w:eastAsia="Arial" w:hAnsi="Arial"/>
          <w:sz w:val="18"/>
          <w:szCs w:val="18"/>
          <w:color w:val="auto"/>
        </w:rPr>
      </w:pPr>
    </w:p>
    <w:p>
      <w:pPr>
        <w:ind w:left="500" w:hanging="492"/>
        <w:spacing w:after="0" w:line="26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concurrent initial public offering, which we refer to as the STAR IPO, of ACM Shanghai shares in the PRC, at a pre-offering valuation of not less than RMB 5.15 billion ($747.1 million).</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the STAR Listing will help us scale our business in mainland PRC, as we continue to seek to broaden our markets in Europe, Japan, South Korea, Taiwan and the United States. Our global headquarters will continue to be located in Fremont, California, and we are committed to maintaining the listing of Class A common stock on the Nasdaq Global Market.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qualify for the STAR Listing, ACM Shanghai was required to have multiple independent stockholders in the PRC. In June and November 2019, ACM Shanghai entered into private placement agreements with fifteen investors pursuant to which the investors purchased ACM Shanghai shares for a total of RMB 416.1 million ($59.7 million as of the investment dates). As of December 31, 2020, 91.7% of the outstanding shares of ACM Shanghai were owned by ACM Research and 8.3% were owned by the private placement investors.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the submission of application documents by ACM Shanghai for the STAR Listing and STAR IPO to the Shanghai Stock Exchange during the second quarter of 2020, the shares of ACM Shanghai issued to the private placement investors were reclassified from redeemable non-controlling interests to non-controlling interests. Upon the termination of such redemption feature, we released the aggregate proceeds of the private placement funding from reserved cash, which we previously had voluntarily imposed in light of a potential redemption.</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September 30, 2020, the application was approved by the Listing Committee of the STAR Market. The Listing Committee subsequently determined to reassess the approval application in light of allegations regarding our business and operations that were contained in a report issued by J Capital Research USA Ltd. on October 8, 2020 and an ensuing putative class action lawsuit against our company and three of our executive officers filed on December 21, 2020 (See “Item 1. Legal Proceedings” of Part II of this report). Pending the completion of the Listing Committee’s reassessment, the STAR Listing remains subject to submission of formal registration and to review and approval by the China Securities Regulatory Commission.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ACM Shanghai currently proposes to offer up to ten percent of its shares in the STAR IPO. The net proceeds of the STAR IPO are expected to be used to fund: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land lease for, and construction of, ACM Shanghai’s proposed development and production center in the Lingang region of Shanghai;</w:t>
      </w:r>
    </w:p>
    <w:p>
      <w:pPr>
        <w:spacing w:after="0" w:line="34" w:lineRule="exact"/>
        <w:rPr>
          <w:rFonts w:ascii="Arial" w:cs="Arial" w:eastAsia="Arial" w:hAnsi="Arial"/>
          <w:sz w:val="17"/>
          <w:szCs w:val="17"/>
          <w:color w:val="auto"/>
        </w:rPr>
      </w:pPr>
    </w:p>
    <w:p>
      <w:pPr>
        <w:jc w:val="both"/>
        <w:ind w:left="500" w:hanging="492"/>
        <w:spacing w:after="0" w:line="250"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development to upgrade and expand our process equipment targeted at more advanced process nodes, including technical improvement and development of TEBO megasonic cleaning equipment, Tahoe single wafer wet bench combined cleaning equipment, front-end brush scrubbing equipment, auto bench cleaning equipment, front end process electroplating equipment, Stress Free Polish equipment and vertical furnace equipment, additional new products to expand our product portfolio; and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working capital.</w:t>
      </w:r>
    </w:p>
    <w:p>
      <w:pPr>
        <w:spacing w:after="0" w:line="23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COVID–19 Outbreak</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its initial outbreak in December 2019, COVID–19, or the coronavirus, spread across the PRC, the United States and globally. The COVID–19 outbreak has affected our business and operating results since the first quarter of 2020. Since that time, our personnel have been largely unable to travel between our offices in the United States and our facilities in the PRC, which may impact our ability to effectively operate our company and to oversee our operations. The COVID–19 situation continues to evolve, and it is impossible for us to predict the effect and ultimate impact of the COVID–19 outbreak on our business operations and results. While the quarantine, social distancing and other regulatory measures instituted or recommended in response to COVID–19 are expected to be temporary, the duration of the business disruptions, and related financial impact, of the outbreak cannot be estimated at this time. For an explanation of some of the risks we potentially face, please read carefully the information provided under “Item 1A. Risk Factors—Risks Related to the COVID–19 Outbreak,” of Part I of our Annual Report.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reflects our expectations and estimates based on information known to us as of the date of this filing:</w:t>
      </w:r>
    </w:p>
    <w:p>
      <w:pPr>
        <w:spacing w:after="0" w:line="252" w:lineRule="exact"/>
        <w:rPr>
          <w:sz w:val="20"/>
          <w:szCs w:val="20"/>
          <w:color w:val="auto"/>
        </w:rPr>
      </w:pPr>
    </w:p>
    <w:p>
      <w:pPr>
        <w:jc w:val="both"/>
        <w:ind w:left="500" w:hanging="492"/>
        <w:spacing w:after="0" w:line="283"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Operations</w:t>
      </w:r>
      <w:r>
        <w:rPr>
          <w:rFonts w:ascii="Arial" w:cs="Arial" w:eastAsia="Arial" w:hAnsi="Arial"/>
          <w:sz w:val="16"/>
          <w:szCs w:val="16"/>
          <w:color w:val="auto"/>
        </w:rPr>
        <w:t>: We conduct substantially all of our product development, manufacturing, support and services in the PRC, and those activities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directly impacted by the COVID–19 outbreak and related restrictions on transportation and public appearances. In February 2020 our ACM Shanghai headquarters were closed for an additional six days beyond the normal Lunar New Year Holiday in accordance with Shanghai government restrictions related to the outbreak. We took steps before and after the Lunar New Year to ensure no employees took unreasonable risks to rush back to work. Currently substantially all of our staff have returned to work at both of our Shanghai facilities. To date we have not experienced absenteeism of management or other key employees, other than certain of our executive officers being delayed in traveling back to the PRC after working from our California office in February 2021. Our corporate headquarters are located in Alameda County in the San Francisco Bay Area of California and are the subject of a number of state and county public health directives and orders. These actions have not negatively impacted our business to date, however, because of the limited number of employees at our headquarters and the nature of the work they generally perform.</w:t>
      </w:r>
    </w:p>
    <w:p>
      <w:pPr>
        <w:spacing w:after="0" w:line="5" w:lineRule="exact"/>
        <w:rPr>
          <w:rFonts w:ascii="Arial" w:cs="Arial" w:eastAsia="Arial" w:hAnsi="Arial"/>
          <w:sz w:val="16"/>
          <w:szCs w:val="16"/>
          <w:color w:val="auto"/>
        </w:rPr>
      </w:pPr>
    </w:p>
    <w:p>
      <w:pPr>
        <w:jc w:val="both"/>
        <w:ind w:left="500" w:hanging="492"/>
        <w:spacing w:after="0" w:line="26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Customers: </w:t>
      </w:r>
      <w:r>
        <w:rPr>
          <w:rFonts w:ascii="Arial" w:cs="Arial" w:eastAsia="Arial" w:hAnsi="Arial"/>
          <w:sz w:val="17"/>
          <w:szCs w:val="17"/>
          <w:color w:val="auto"/>
        </w:rPr>
        <w:t>Our customers’ business operations have been, and are continuing to be, subject to business interruptions arising from the COVID–19</w:t>
      </w:r>
      <w:r>
        <w:rPr>
          <w:rFonts w:ascii="Arial" w:cs="Arial" w:eastAsia="Arial" w:hAnsi="Arial"/>
          <w:sz w:val="17"/>
          <w:szCs w:val="17"/>
          <w:i w:val="1"/>
          <w:iCs w:val="1"/>
          <w:color w:val="auto"/>
        </w:rPr>
        <w:t xml:space="preserve"> </w:t>
      </w:r>
      <w:r>
        <w:rPr>
          <w:rFonts w:ascii="Arial" w:cs="Arial" w:eastAsia="Arial" w:hAnsi="Arial"/>
          <w:sz w:val="17"/>
          <w:szCs w:val="17"/>
          <w:color w:val="auto"/>
        </w:rPr>
        <w:t>outbreak. Historically a majority of our revenue from sales of single-wafer wet cleaning equipment for front-end manufacturing has been derived from customers located in the PRC and surrounding areas that have been impacted by COVID–19. Three customers that accounted for 75.8% of our revenue in 2020, 73.8% in 2019 and 87.6% of our revenue in 2018 are based in the PRC and South Korea. One of those customers, Yangtze Memory Technologies Co., Ltd. — which accounted for 26.8% of our 2020 revenue, 27.5% of our 2019 revenue and 39.6% of our 2018 revenue — is based in Wuhan. While Yangtze Memory Technologies Co., Ltd. and other key customers continued to operate their fabrication facilities without interruption during and after the first quarter of 2020, they were forced to restrict access of service personnel and deliveries to and from their facilities. A portion of the shipments we previously had expected to deliver in the first quarter of 2020 were postponed due to these factors, and were subsequently delivered in the second quarter of 2020.</w:t>
      </w:r>
    </w:p>
    <w:p>
      <w:pPr>
        <w:spacing w:after="0" w:line="1" w:lineRule="exact"/>
        <w:rPr>
          <w:rFonts w:ascii="Arial" w:cs="Arial" w:eastAsia="Arial" w:hAnsi="Arial"/>
          <w:sz w:val="17"/>
          <w:szCs w:val="17"/>
          <w:color w:val="auto"/>
        </w:rPr>
      </w:pPr>
    </w:p>
    <w:p>
      <w:pPr>
        <w:jc w:val="both"/>
        <w:ind w:left="500" w:hanging="492"/>
        <w:spacing w:after="0" w:line="253"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Suppliers</w:t>
      </w:r>
      <w:r>
        <w:rPr>
          <w:rFonts w:ascii="Arial" w:cs="Arial" w:eastAsia="Arial" w:hAnsi="Arial"/>
          <w:sz w:val="18"/>
          <w:szCs w:val="18"/>
          <w:color w:val="auto"/>
        </w:rPr>
        <w:t>: Our global supply chain includes components sourced from the PRC, Japan, Taiwan, the United States and Europe. While the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outbreak has resulted in significant governmental measures being implemented to control the spread of COVID–19 around the world, to date we have not experienced material issues with our supply chain. As with our customers, we continue to be in close contact with our key suppliers to help ensure we are able to identify any potential supply issues that may arise.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500" w:hanging="492"/>
        <w:spacing w:after="0" w:line="25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Projects</w:t>
      </w:r>
      <w:r>
        <w:rPr>
          <w:rFonts w:ascii="Arial" w:cs="Arial" w:eastAsia="Arial" w:hAnsi="Arial"/>
          <w:sz w:val="18"/>
          <w:szCs w:val="18"/>
          <w:color w:val="auto"/>
        </w:rPr>
        <w:t>: Our strategy includes a number of plans to support the growth of our core business, including the STAR Listing and STAR IPO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shares of ACM Shanghai described above as well as ACM Shanghai’s recent acquisition of a land use right in the Lingang area of Shanghai where we began construction of a new research and development center and factory in July 2020. The extent to which COVID–19 impacts these projects will depend on future developments that are highly uncertain, but to date, the timing of these ongoing projects has not been delayed or disrupted by COVID–19 or related government measures.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 Government Research and Development Funding</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ACM Shanghai has received six special government grants from the PRC’s Ministry of Science and Technology, the Shanghai Municipal Commission of Economy and Information, and the Shanghai Science and Technology Committee.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The fifth grant was made in 2020, and relates to the development of Tahoe single bench cleaning technologies. The sixth grant was made in 2020, and relates to the development of backside cleaning technologies. These governmental authorities provide the majority of the funding, although ACM Shanghai is also required to invest certain amounts in the projects.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211" w:lineRule="exact"/>
        <w:rPr>
          <w:sz w:val="20"/>
          <w:szCs w:val="20"/>
          <w:color w:val="auto"/>
        </w:rPr>
      </w:pPr>
    </w:p>
    <w:p>
      <w:pPr>
        <w:jc w:val="both"/>
        <w:ind w:left="500" w:hanging="492"/>
        <w:spacing w:after="0" w:line="271"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Government subsidies relating to current expenses are recorded as reductions of those expenses in the periods in which the current expenses are recorded. For the three months ended March 31, 2021 and 2020, related government subsidies recognized as reductions of relevant expenses in the consolidated statements of operations and comprehensive income were $1.9 million and $0.2 million, respectively.</w:t>
      </w:r>
    </w:p>
    <w:p>
      <w:pPr>
        <w:jc w:val="both"/>
        <w:ind w:left="500" w:hanging="492"/>
        <w:spacing w:after="0" w:line="255"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subsidies related to depreciable assets are credited to income over the useful lives of the related assets for which the grant was received. For the three months ended March 31, 2021 and 2020, related government subsidies recognized as other income in the consolidated statements of operations and comprehensive income were $39,000, and $37,000, respectively.</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Unearned government subsidies received are deferred for recognition and recorded as other long-term liabilities (see note 13 in the Notes to Condensed Consolidated Financial Statements included herein under “Item 1. Financial Statements.”) in the balance sheet until the criteria for such recognition are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 and Redeemable Non-Controlling Interests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described above under “—Recent Developments—STAR Market Listing and IPO”, in 2019, ACM Shanghai sold a total number of shares representing 8.3% of its outstanding ACM Shanghai shares. ACM Research continues to hold the remaining 91.7% of ACM Shanghai’s outstanding shares. During the second quarter of 2020, the redemption feature of the private placement funding terminated and the aggregate proceeds of the funding were reclassified from redeemable non-controlling interests to non-controlling interests. As a result, we reflect, as net income attributable to non-controlling interests and redeemable non-controlling interests, the portion of our net income allocable to the minority holders of ACM Shanghai shares.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present information below with respect to four measures of financial performance:</w:t>
      </w:r>
    </w:p>
    <w:p>
      <w:pPr>
        <w:spacing w:after="0" w:line="252" w:lineRule="exact"/>
        <w:rPr>
          <w:sz w:val="20"/>
          <w:szCs w:val="20"/>
          <w:color w:val="auto"/>
        </w:rPr>
      </w:pPr>
    </w:p>
    <w:p>
      <w:pPr>
        <w:jc w:val="both"/>
        <w:ind w:left="500" w:hanging="492"/>
        <w:spacing w:after="0" w:line="255"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define “shipments” of tools to include (a) a “repeat” delivery to a customer of a type of tool that the customer has previously accepted, for which we recognize revenue upon delivery, and (b) a “first-time” delivery of a “first tool” to a customer on an approval basis, for which we may recognize revenue in the future if contractual conditions are met and customer acceptance is received.</w:t>
      </w:r>
    </w:p>
    <w:p>
      <w:pPr>
        <w:spacing w:after="0" w:line="2" w:lineRule="exact"/>
        <w:rPr>
          <w:rFonts w:ascii="Arial" w:cs="Arial" w:eastAsia="Arial" w:hAnsi="Arial"/>
          <w:sz w:val="18"/>
          <w:szCs w:val="18"/>
          <w:color w:val="auto"/>
        </w:rPr>
      </w:pPr>
    </w:p>
    <w:p>
      <w:pPr>
        <w:ind w:left="500" w:hanging="492"/>
        <w:spacing w:after="0" w:line="281"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1" w:lineRule="exact"/>
        <w:rPr>
          <w:rFonts w:ascii="Arial" w:cs="Arial" w:eastAsia="Arial" w:hAnsi="Arial"/>
          <w:sz w:val="16"/>
          <w:szCs w:val="16"/>
          <w:color w:val="auto"/>
        </w:rPr>
      </w:pPr>
    </w:p>
    <w:p>
      <w:pPr>
        <w:ind w:left="500" w:hanging="492"/>
        <w:spacing w:after="0" w:line="250"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less purchases of property and equipment (net of proceeds from disposals) and of intangible assets.</w:t>
      </w: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define “adjusted operating income (loss)” as our income (loss) from operations excluding stock-based compensation.</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Shipments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Shipments consist of two components:</w:t>
      </w:r>
    </w:p>
    <w:p>
      <w:pPr>
        <w:spacing w:after="0" w:line="252"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has previously accepted, for which we recognize revenue when the tool is delivered; and</w:t>
      </w:r>
    </w:p>
    <w:p>
      <w:pPr>
        <w:spacing w:after="0" w:line="46" w:lineRule="exact"/>
        <w:rPr>
          <w:rFonts w:ascii="Arial" w:cs="Arial" w:eastAsia="Arial" w:hAnsi="Arial"/>
          <w:sz w:val="16"/>
          <w:szCs w:val="16"/>
          <w:color w:val="auto"/>
        </w:rPr>
      </w:pPr>
    </w:p>
    <w:p>
      <w:pPr>
        <w:jc w:val="both"/>
        <w:ind w:left="500" w:hanging="492"/>
        <w:spacing w:after="0" w:line="255"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w:t>
      </w:r>
    </w:p>
    <w:p>
      <w:pPr>
        <w:spacing w:after="0" w:line="2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“First tool” shipments can be made to either an existing customer that not previously accepted that specific type of tool in the past ─ for example, a delivery of a SAPS V tool to a customer that previously had received only SAPS II tools ─ or to a new customer that has never purchased any tool from us.</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Shipments in the three months ended March 31, 2021 totaled $74 million, as compared to $12 million in the three months ended March 31, 2020, and $67 million in the three months ended December 31, 2020.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dollar amount attributed to a “first tool” shipment is equal to the consideration we expect to receive if any and all contractual requirements are satisfied and the customer accepts the tool. There are a number of limitations related to the use of shipments in evaluating our business, including that customers have significant discretion in determining whether to accept our tools and their decision not to accept delivered tools is likely to result in our inability to recognize revenue from the delivered tools.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a number of limitations related to the use of adjusted EBITDA rather than net income (loss), which is the nearest GAAP equivalent. Some of these limitations are:</w:t>
      </w:r>
    </w:p>
    <w:p>
      <w:pPr>
        <w:spacing w:after="0" w:line="197" w:lineRule="exact"/>
        <w:rPr>
          <w:sz w:val="20"/>
          <w:szCs w:val="20"/>
          <w:color w:val="auto"/>
        </w:rPr>
      </w:pPr>
    </w:p>
    <w:p>
      <w:pPr>
        <w:ind w:left="500" w:hanging="492"/>
        <w:spacing w:after="0" w:line="258"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and, although these are non-cash expenses, the assets being depreciated or amortized may have to be replaced in the future;</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1"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requirements necessary to service interest or principal payments on debt;</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(benefit) or the cash requirements to pay taxes;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adjusted EBITDA does not reflect historical cash expenditures or future requirements for capital expenditures or contractual commitments;</w:t>
      </w:r>
    </w:p>
    <w:p>
      <w:pPr>
        <w:spacing w:after="0" w:line="20" w:lineRule="exact"/>
        <w:rPr>
          <w:rFonts w:ascii="Arial" w:cs="Arial" w:eastAsia="Arial" w:hAnsi="Arial"/>
          <w:sz w:val="17"/>
          <w:szCs w:val="17"/>
          <w:color w:val="auto"/>
        </w:rPr>
      </w:pPr>
    </w:p>
    <w:p>
      <w:pPr>
        <w:ind w:left="500" w:right="20" w:hanging="492"/>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jc w:val="both"/>
        <w:ind w:left="500" w:hanging="492"/>
        <w:spacing w:after="0" w:line="255"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includes expense reductions and non-operating other income attributable to PRC governmental grants, which may mask the effect of underlying developments in net income, including trends in current expenses and interest expense, and free cash flow includes the PRC governmental grants, the amount and timing of which can be difficult to predict and are outside our control.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the most directly comparable GAAP financial measure, to adjusted EBITDA: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 Data:</w:t>
            </w:r>
          </w:p>
        </w:tc>
        <w:tc>
          <w:tcPr>
            <w:tcW w:w="4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460"/>
              <w:spacing w:after="0"/>
              <w:rPr>
                <w:sz w:val="20"/>
                <w:szCs w:val="20"/>
                <w:color w:val="auto"/>
              </w:rPr>
            </w:pPr>
            <w:r>
              <w:rPr>
                <w:rFonts w:ascii="Arial" w:cs="Arial" w:eastAsia="Arial" w:hAnsi="Arial"/>
                <w:sz w:val="18"/>
                <w:szCs w:val="18"/>
                <w:i w:val="1"/>
                <w:iCs w:val="1"/>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i w:val="1"/>
                <w:iCs w:val="1"/>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60" w:type="dxa"/>
            <w:vAlign w:val="bottom"/>
            <w:vMerge w:val="continue"/>
          </w:tcPr>
          <w:p>
            <w:pPr>
              <w:spacing w:after="0"/>
              <w:rPr>
                <w:sz w:val="17"/>
                <w:szCs w:val="17"/>
                <w:color w:val="auto"/>
              </w:rPr>
            </w:pPr>
          </w:p>
        </w:tc>
        <w:tc>
          <w:tcPr>
            <w:tcW w:w="4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760" w:type="dxa"/>
            <w:vAlign w:val="bottom"/>
            <w:gridSpan w:val="2"/>
            <w:shd w:val="clear" w:color="auto" w:fill="CCEEFF"/>
          </w:tcPr>
          <w:p>
            <w:pPr>
              <w:ind w:left="45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4"/>
              </w:rPr>
              <w:t>5,822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6"/>
        </w:trPr>
        <w:tc>
          <w:tcPr>
            <w:tcW w:w="4160" w:type="dxa"/>
            <w:vAlign w:val="bottom"/>
          </w:tcPr>
          <w:p>
            <w:pPr>
              <w:ind w:left="140"/>
              <w:spacing w:after="0"/>
              <w:rPr>
                <w:sz w:val="20"/>
                <w:szCs w:val="20"/>
                <w:color w:val="auto"/>
              </w:rPr>
            </w:pPr>
            <w:r>
              <w:rPr>
                <w:rFonts w:ascii="Arial" w:cs="Arial" w:eastAsia="Arial" w:hAnsi="Arial"/>
                <w:sz w:val="18"/>
                <w:szCs w:val="18"/>
                <w:color w:val="auto"/>
              </w:rPr>
              <w:t>Interest expense (income), net</w:t>
            </w: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(2,770)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41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546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4"/>
              </w:rPr>
              <w:t>1,210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23"/>
        </w:trPr>
        <w:tc>
          <w:tcPr>
            <w:tcW w:w="4160" w:type="dxa"/>
            <w:vAlign w:val="bottom"/>
          </w:tcPr>
          <w:p>
            <w:pPr>
              <w:ind w:left="140"/>
              <w:spacing w:after="0"/>
              <w:rPr>
                <w:sz w:val="20"/>
                <w:szCs w:val="20"/>
                <w:color w:val="auto"/>
              </w:rPr>
            </w:pPr>
            <w:r>
              <w:rPr>
                <w:rFonts w:ascii="Arial" w:cs="Arial" w:eastAsia="Arial" w:hAnsi="Arial"/>
                <w:sz w:val="18"/>
                <w:szCs w:val="18"/>
                <w:color w:val="auto"/>
              </w:rPr>
              <w:t>Unrealized loss on trading securities</w:t>
            </w:r>
          </w:p>
        </w:tc>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ind w:left="480"/>
              <w:spacing w:after="0"/>
              <w:rPr>
                <w:sz w:val="20"/>
                <w:szCs w:val="20"/>
                <w:color w:val="auto"/>
              </w:rPr>
            </w:pPr>
            <w:r>
              <w:rPr>
                <w:rFonts w:ascii="Arial" w:cs="Arial" w:eastAsia="Arial" w:hAnsi="Arial"/>
                <w:sz w:val="18"/>
                <w:szCs w:val="18"/>
                <w:color w:val="auto"/>
                <w:w w:val="84"/>
              </w:rPr>
              <w:t>1,047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4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4"/>
              </w:rPr>
              <w:t>5,995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4160" w:type="dxa"/>
            <w:vAlign w:val="bottom"/>
          </w:tcPr>
          <w:p>
            <w:pPr>
              <w:spacing w:after="0"/>
              <w:rPr>
                <w:sz w:val="24"/>
                <w:szCs w:val="24"/>
                <w:color w:val="auto"/>
              </w:rPr>
            </w:pPr>
          </w:p>
        </w:tc>
        <w:tc>
          <w:tcPr>
            <w:tcW w:w="4520" w:type="dxa"/>
            <w:vAlign w:val="bottom"/>
          </w:tcPr>
          <w:p>
            <w:pPr>
              <w:jc w:val="right"/>
              <w:ind w:right="2899"/>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1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$3.1 million increase in adjusted EBITDA for the three-months ended March 31, 2021 as compared to the same period in 2020 reflected an increase of $1.0 million in unrealized loss on trading securities, an increase of $3.9 million in net income, an increase of $0.5 million in stock-based compensation, and an increase of $0.4 million in interest expense, and an increase of $0.3 million in depreciation and amortization, offset by a tax benefit for the three-months ended March 31, 2021 as compared to a tax expense for the same period on 2020.</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“—Key Components of Results of Operations—PRC Government Research and Development Funding.”</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Free Cash Flow</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cash provided by (used in) operating activities, the most directly comparable GAAP financial measure, to free cash flow: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Free Cash Flow Data:</w:t>
            </w:r>
          </w:p>
        </w:tc>
        <w:tc>
          <w:tcPr>
            <w:tcW w:w="240" w:type="dxa"/>
            <w:vAlign w:val="bottom"/>
          </w:tcPr>
          <w:p>
            <w:pPr>
              <w:spacing w:after="0"/>
              <w:rPr>
                <w:sz w:val="20"/>
                <w:szCs w:val="20"/>
                <w:color w:val="auto"/>
              </w:rPr>
            </w:pPr>
          </w:p>
        </w:tc>
        <w:tc>
          <w:tcPr>
            <w:tcW w:w="880" w:type="dxa"/>
            <w:vAlign w:val="bottom"/>
          </w:tcPr>
          <w:p>
            <w:pPr>
              <w:ind w:left="460"/>
              <w:spacing w:after="0"/>
              <w:rPr>
                <w:sz w:val="20"/>
                <w:szCs w:val="20"/>
                <w:color w:val="auto"/>
              </w:rPr>
            </w:pPr>
            <w:r>
              <w:rPr>
                <w:rFonts w:ascii="Arial" w:cs="Arial" w:eastAsia="Arial" w:hAnsi="Arial"/>
                <w:sz w:val="18"/>
                <w:szCs w:val="18"/>
                <w:i w:val="1"/>
                <w:iCs w:val="1"/>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i w:val="1"/>
                <w:iCs w:val="1"/>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10,742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Purchase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76"/>
              <w:spacing w:after="0"/>
              <w:rPr>
                <w:sz w:val="20"/>
                <w:szCs w:val="20"/>
                <w:color w:val="auto"/>
              </w:rPr>
            </w:pPr>
            <w:r>
              <w:rPr>
                <w:rFonts w:ascii="Arial" w:cs="Arial" w:eastAsia="Arial" w:hAnsi="Arial"/>
                <w:sz w:val="18"/>
                <w:szCs w:val="18"/>
                <w:color w:val="auto"/>
              </w:rPr>
              <w:t>(1,466)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Free cash flow</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4"/>
              </w:rPr>
              <w:t>9,164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$5.5 million increase in free cash flow for the three-months ended March 31, 2021 as compared to the same period in 2020 reflected the factors driving net cash provided by operating activities, including increases in advances from customers, accounts payable, other payables and accrued expenses and net income, partly offset by increases in inventory, accounts receivables, and other liabilities. These were partly offset by an increase of purchases of property and equipment and intangible assets. Consistent with our methodology for calculating adjusted EBITDA, we do not adjust free cash flow for the effects of PRC government subsidies, because we take those subsidies into account in incurring expenses and capital expenditures.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from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w w:val="94"/>
              </w:rPr>
              <w:t>Three Months Ended March 31,</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Actual</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6"/>
              </w:rPr>
              <w:t>Adjusted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Actual</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3"/>
              </w:rPr>
              <w:t>Adjusted</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(GAAP)</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SBC</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(Non-GAAP)</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(GAAP)</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SBC</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(Non-GAAP)</w:t>
            </w:r>
          </w:p>
        </w:tc>
        <w:tc>
          <w:tcPr>
            <w:tcW w:w="100" w:type="dxa"/>
            <w:vAlign w:val="bottom"/>
          </w:tcPr>
          <w:p>
            <w:pPr>
              <w:spacing w:after="0"/>
              <w:rPr>
                <w:sz w:val="20"/>
                <w:szCs w:val="20"/>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43,732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24,348</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(25,687)</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(25,616)</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(14,120)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(14,075)</w:t>
            </w: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18,045</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18,116</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(2,911)</w:t>
            </w: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(5,504)</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(5,275)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(3,677)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(3,490)</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(1,965)</w:t>
            </w: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4,660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1,218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(689)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1,907</w:t>
            </w:r>
          </w:p>
        </w:tc>
      </w:tr>
      <w:tr>
        <w:trPr>
          <w:trHeight w:val="27"/>
        </w:trPr>
        <w:tc>
          <w:tcPr>
            <w:tcW w:w="3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operating income for the three months ended on March 31, 2021 increased by $2.7 million, as compared with the same period in 2020, due to a $2.2 million increase in income from operations, and a $0.5 million increase in stock-based compensation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There were no significant changes in our critical accounting policies or significant judgments or estimates during the three months ended March 31, 2021 to augment the critical accounting estimates disclosed under the heading “Management’s Discussion and Analysis of Financial Condition and Results of Operations” in our Annual Report, other than those described in the notes to the condensed consolidated financial statements included in this report, including the adoption of the Financial Accounting Standards Board’s Accounting Standards Update 2019-12, </w:t>
      </w:r>
      <w:r>
        <w:rPr>
          <w:rFonts w:ascii="Arial" w:cs="Arial" w:eastAsia="Arial" w:hAnsi="Arial"/>
          <w:sz w:val="18"/>
          <w:szCs w:val="18"/>
          <w:i w:val="1"/>
          <w:iCs w:val="1"/>
          <w:color w:val="auto"/>
        </w:rPr>
        <w:t>Income Taxes (Topic 740):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Income Taxes </w:t>
      </w:r>
      <w:r>
        <w:rPr>
          <w:rFonts w:ascii="Arial" w:cs="Arial" w:eastAsia="Arial" w:hAnsi="Arial"/>
          <w:sz w:val="18"/>
          <w:szCs w:val="18"/>
          <w:color w:val="auto"/>
        </w:rPr>
        <w:t>and 2020-04,</w:t>
      </w:r>
      <w:r>
        <w:rPr>
          <w:rFonts w:ascii="Arial" w:cs="Arial" w:eastAsia="Arial" w:hAnsi="Arial"/>
          <w:sz w:val="18"/>
          <w:szCs w:val="18"/>
          <w:i w:val="1"/>
          <w:iCs w:val="1"/>
          <w:color w:val="auto"/>
        </w:rPr>
        <w:t xml:space="preserve"> Reference Rate Reform (Topic 848): Facilitation of the Effects of Reference Rate Reform on Financial Reporting </w:t>
      </w:r>
      <w:r>
        <w:rPr>
          <w:rFonts w:ascii="Arial" w:cs="Arial" w:eastAsia="Arial" w:hAnsi="Arial"/>
          <w:sz w:val="18"/>
          <w:szCs w:val="18"/>
          <w:color w:val="auto"/>
        </w:rPr>
        <w:t>effective January 1, 2021. For information regarding the impact of recently adopted accounting standards, refer to note 2 to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 this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discussion of recent accounting pronouncements is included in our Annual Report and is updated in note 2 to the condensed consolidated financial statements included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 as percentages of revenue.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94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w w:val="92"/>
              </w:rPr>
              <w:t>Three Months Ended March 31,</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Cost of revenue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Total operating expenses, net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37.0</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from operations</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trading securities</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Income before income taxes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Net income</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top w:val="single" w:sz="8" w:color="CCEEFF"/>
            </w:tcBorders>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attributable to non-controlling interests and</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redeemable non-controlling interests</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Net income attributable to ACM Research, Inc.</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Comparison of Three Months Ended March 31, 2021 and 2020</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9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90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700" w:type="dxa"/>
            <w:vAlign w:val="bottom"/>
          </w:tcPr>
          <w:p>
            <w:pPr>
              <w:spacing w:after="0"/>
              <w:rPr>
                <w:sz w:val="20"/>
                <w:szCs w:val="20"/>
                <w:color w:val="auto"/>
              </w:rPr>
            </w:pPr>
            <w:r>
              <w:rPr>
                <w:rFonts w:ascii="Arial" w:cs="Arial" w:eastAsia="Arial" w:hAnsi="Arial"/>
                <w:sz w:val="18"/>
                <w:szCs w:val="18"/>
                <w:color w:val="auto"/>
              </w:rPr>
              <w:t>`</w:t>
            </w:r>
          </w:p>
        </w:tc>
        <w:tc>
          <w:tcPr>
            <w:tcW w:w="5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w w:val="91"/>
              </w:rPr>
              <w:t>Three Months Ended March 31,</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Single Wafer Cleaning, Tahoe and Semi-Critical Cleaning Equipment</w:t>
            </w:r>
          </w:p>
        </w:tc>
        <w:tc>
          <w:tcPr>
            <w:tcW w:w="4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32,413</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22,784</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ECP (front-end and packaging), Furnace and Other Technologies</w:t>
            </w:r>
          </w:p>
        </w:tc>
        <w:tc>
          <w:tcPr>
            <w:tcW w:w="1640" w:type="dxa"/>
            <w:vAlign w:val="bottom"/>
            <w:gridSpan w:val="4"/>
          </w:tcPr>
          <w:p>
            <w:pPr>
              <w:jc w:val="right"/>
              <w:ind w:right="140"/>
              <w:spacing w:after="0"/>
              <w:rPr>
                <w:sz w:val="20"/>
                <w:szCs w:val="20"/>
                <w:color w:val="auto"/>
              </w:rPr>
            </w:pPr>
            <w:r>
              <w:rPr>
                <w:rFonts w:ascii="Arial" w:cs="Arial" w:eastAsia="Arial" w:hAnsi="Arial"/>
                <w:sz w:val="18"/>
                <w:szCs w:val="18"/>
                <w:color w:val="auto"/>
              </w:rPr>
              <w:t>5,550</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Advanced Packaging (excluding ECP), Services &amp; Spares</w:t>
            </w:r>
          </w:p>
        </w:tc>
        <w:tc>
          <w:tcPr>
            <w:tcW w:w="4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5,769</w:t>
            </w:r>
          </w:p>
        </w:tc>
        <w:tc>
          <w:tcPr>
            <w:tcW w:w="130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Total Revenue By Product Category</w:t>
            </w:r>
          </w:p>
        </w:tc>
        <w:tc>
          <w:tcPr>
            <w:tcW w:w="400" w:type="dxa"/>
            <w:vAlign w:val="bottom"/>
          </w:tcPr>
          <w:p>
            <w:pPr>
              <w:spacing w:after="0"/>
              <w:rPr>
                <w:sz w:val="18"/>
                <w:szCs w:val="18"/>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43,732</w:t>
            </w: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24,348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w:t>
            </w:r>
          </w:p>
        </w:tc>
        <w:tc>
          <w:tcPr>
            <w:tcW w:w="0" w:type="dxa"/>
            <w:vAlign w:val="bottom"/>
          </w:tcPr>
          <w:p>
            <w:pPr>
              <w:spacing w:after="0"/>
              <w:rPr>
                <w:sz w:val="1"/>
                <w:szCs w:val="1"/>
                <w:color w:val="auto"/>
              </w:rPr>
            </w:pPr>
          </w:p>
        </w:tc>
      </w:tr>
      <w:tr>
        <w:trPr>
          <w:trHeight w:val="20"/>
        </w:trPr>
        <w:tc>
          <w:tcPr>
            <w:tcW w:w="6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900" w:type="dxa"/>
            <w:vAlign w:val="bottom"/>
            <w:gridSpan w:val="2"/>
            <w:shd w:val="clear" w:color="auto" w:fill="CCEEFF"/>
          </w:tcPr>
          <w:p>
            <w:pPr>
              <w:spacing w:after="0"/>
              <w:rPr>
                <w:sz w:val="18"/>
                <w:szCs w:val="18"/>
                <w:color w:val="auto"/>
              </w:rPr>
            </w:pPr>
          </w:p>
        </w:tc>
        <w:tc>
          <w:tcPr>
            <w:tcW w:w="1640" w:type="dxa"/>
            <w:vAlign w:val="bottom"/>
            <w:gridSpan w:val="4"/>
            <w:shd w:val="clear" w:color="auto" w:fill="CCEEFF"/>
          </w:tcPr>
          <w:p>
            <w:pPr>
              <w:spacing w:after="0"/>
              <w:rPr>
                <w:sz w:val="18"/>
                <w:szCs w:val="18"/>
                <w:color w:val="auto"/>
              </w:rPr>
            </w:pPr>
          </w:p>
        </w:tc>
        <w:tc>
          <w:tcPr>
            <w:tcW w:w="1300" w:type="dxa"/>
            <w:vAlign w:val="bottom"/>
            <w:gridSpan w:val="3"/>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Wet cleaning and other front-end processing tools</w:t>
            </w:r>
          </w:p>
        </w:tc>
        <w:tc>
          <w:tcPr>
            <w:tcW w:w="1640" w:type="dxa"/>
            <w:vAlign w:val="bottom"/>
            <w:gridSpan w:val="4"/>
          </w:tcPr>
          <w:p>
            <w:pPr>
              <w:jc w:val="right"/>
              <w:ind w:right="140"/>
              <w:spacing w:after="0"/>
              <w:rPr>
                <w:sz w:val="20"/>
                <w:szCs w:val="20"/>
                <w:color w:val="auto"/>
              </w:rPr>
            </w:pPr>
            <w:r>
              <w:rPr>
                <w:rFonts w:ascii="Arial" w:cs="Arial" w:eastAsia="Arial" w:hAnsi="Arial"/>
                <w:sz w:val="18"/>
                <w:szCs w:val="18"/>
                <w:color w:val="auto"/>
              </w:rPr>
              <w:t>31,900</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22,784</w:t>
            </w:r>
          </w:p>
        </w:tc>
        <w:tc>
          <w:tcPr>
            <w:tcW w:w="140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Advanced packaging, other back-end processing tools, services and spares</w:t>
            </w:r>
          </w:p>
        </w:tc>
        <w:tc>
          <w:tcPr>
            <w:tcW w:w="4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11,832</w:t>
            </w:r>
          </w:p>
        </w:tc>
        <w:tc>
          <w:tcPr>
            <w:tcW w:w="130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Total Revenue Front-end and Back-End</w:t>
            </w:r>
          </w:p>
        </w:tc>
        <w:tc>
          <w:tcPr>
            <w:tcW w:w="16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43,732</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24,348</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79.6%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increased by $19.4 million in the three months ended March 31, 2021 as compared to the same period in 2020. The increase was due to a $10.3 million increase in revenue from advanced packaging and other back-end processing tools, services and spares, and a $9.6 million increase in revenue from wet cleaning and other front-end processing tools.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i w:val="1"/>
                <w:iCs w:val="1"/>
                <w:color w:val="auto"/>
              </w:rPr>
              <w:t>Cost of Revenue and Gross Margin</w:t>
            </w: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40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March 31,</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40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rPr>
              <w:t>% Change</w:t>
            </w:r>
          </w:p>
        </w:tc>
      </w:tr>
      <w:tr>
        <w:trPr>
          <w:trHeight w:val="241"/>
        </w:trPr>
        <w:tc>
          <w:tcPr>
            <w:tcW w:w="4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2021 v 2020</w:t>
            </w:r>
          </w:p>
        </w:tc>
        <w:tc>
          <w:tcPr>
            <w:tcW w:w="160" w:type="dxa"/>
            <w:vAlign w:val="bottom"/>
          </w:tcPr>
          <w:p>
            <w:pPr>
              <w:spacing w:after="0"/>
              <w:rPr>
                <w:sz w:val="20"/>
                <w:szCs w:val="20"/>
                <w:color w:val="auto"/>
              </w:rPr>
            </w:pPr>
          </w:p>
        </w:tc>
      </w:tr>
      <w:tr>
        <w:trPr>
          <w:trHeight w:val="216"/>
        </w:trPr>
        <w:tc>
          <w:tcPr>
            <w:tcW w:w="40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i w:val="1"/>
                <w:iCs w:val="1"/>
                <w:color w:val="auto"/>
              </w:rPr>
              <w:t>(in</w:t>
            </w:r>
          </w:p>
        </w:tc>
        <w:tc>
          <w:tcPr>
            <w:tcW w:w="1380" w:type="dxa"/>
            <w:vAlign w:val="bottom"/>
            <w:gridSpan w:val="3"/>
          </w:tcPr>
          <w:p>
            <w:pPr>
              <w:jc w:val="center"/>
              <w:ind w:right="630"/>
              <w:spacing w:after="0"/>
              <w:rPr>
                <w:sz w:val="20"/>
                <w:szCs w:val="20"/>
                <w:color w:val="auto"/>
              </w:rPr>
            </w:pPr>
            <w:r>
              <w:rPr>
                <w:rFonts w:ascii="Arial" w:cs="Arial" w:eastAsia="Arial" w:hAnsi="Arial"/>
                <w:sz w:val="18"/>
                <w:szCs w:val="18"/>
                <w:i w:val="1"/>
                <w:iCs w:val="1"/>
                <w:color w:val="auto"/>
                <w:w w:val="74"/>
              </w:rPr>
              <w:t>thousands)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40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25,687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14,120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81.9%</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Gross profit</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18,045</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10,228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r>
      <w:tr>
        <w:trPr>
          <w:trHeight w:val="596"/>
        </w:trPr>
        <w:tc>
          <w:tcPr>
            <w:tcW w:w="4040" w:type="dxa"/>
            <w:vAlign w:val="bottom"/>
          </w:tcPr>
          <w:p>
            <w:pPr>
              <w:spacing w:after="0"/>
              <w:rPr>
                <w:sz w:val="24"/>
                <w:szCs w:val="24"/>
                <w:color w:val="auto"/>
              </w:rPr>
            </w:pPr>
          </w:p>
        </w:tc>
        <w:tc>
          <w:tcPr>
            <w:tcW w:w="3180" w:type="dxa"/>
            <w:vAlign w:val="bottom"/>
          </w:tcPr>
          <w:p>
            <w:pPr>
              <w:jc w:val="right"/>
              <w:ind w:right="1439"/>
              <w:spacing w:after="0"/>
              <w:rPr>
                <w:sz w:val="20"/>
                <w:szCs w:val="20"/>
                <w:color w:val="auto"/>
              </w:rPr>
            </w:pPr>
            <w:r>
              <w:rPr>
                <w:rFonts w:ascii="Arial" w:cs="Arial" w:eastAsia="Arial" w:hAnsi="Arial"/>
                <w:sz w:val="14"/>
                <w:szCs w:val="14"/>
                <w:color w:val="auto"/>
              </w:rPr>
              <w:t>37</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
        </w:trPr>
        <w:tc>
          <w:tcPr>
            <w:tcW w:w="4040" w:type="dxa"/>
            <w:vAlign w:val="bottom"/>
            <w:tcBorders>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increased $11.6 million and gross profit increased $7.8 million in the three months ended March 31, 2021 as compared to the corresponding period in 2020 due to the increased sales volume, partly offset by a 0.7% point decrease in gross margin, that reflected differences in product mix.</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732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8"/>
                <w:szCs w:val="18"/>
                <w:b w:val="1"/>
                <w:bCs w:val="1"/>
                <w:color w:val="auto"/>
                <w:w w:val="99"/>
              </w:rPr>
              <w:t>Three Months Ended March 31,</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7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 Change</w:t>
            </w:r>
          </w:p>
        </w:tc>
        <w:tc>
          <w:tcPr>
            <w:tcW w:w="16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 v 2020</w:t>
            </w:r>
          </w:p>
        </w:tc>
        <w:tc>
          <w:tcPr>
            <w:tcW w:w="16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i w:val="1"/>
                <w:iCs w:val="1"/>
                <w:color w:val="auto"/>
              </w:rPr>
              <w:t>(in</w:t>
            </w:r>
          </w:p>
        </w:tc>
        <w:tc>
          <w:tcPr>
            <w:tcW w:w="1320" w:type="dxa"/>
            <w:vAlign w:val="bottom"/>
            <w:gridSpan w:val="3"/>
          </w:tcPr>
          <w:p>
            <w:pPr>
              <w:jc w:val="right"/>
              <w:ind w:right="610"/>
              <w:spacing w:after="0"/>
              <w:rPr>
                <w:sz w:val="20"/>
                <w:szCs w:val="20"/>
                <w:color w:val="auto"/>
              </w:rPr>
            </w:pPr>
            <w:r>
              <w:rPr>
                <w:rFonts w:ascii="Arial" w:cs="Arial" w:eastAsia="Arial" w:hAnsi="Arial"/>
                <w:sz w:val="17"/>
                <w:szCs w:val="17"/>
                <w:i w:val="1"/>
                <w:iCs w:val="1"/>
                <w:color w:val="auto"/>
                <w:w w:val="71"/>
              </w:rPr>
              <w:t>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3,677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49.7%</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14,595</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9,010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62.0%</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increased by $2.3 million in the three months ended March 31, 2021 as compared to the corresponding period in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due in part to the addition of resources to support sales and marketing efforts in North America and Europe, and other factors. Sales and marketing expense consists primarily of:</w:t>
      </w:r>
    </w:p>
    <w:p>
      <w:pPr>
        <w:spacing w:after="0" w:line="211" w:lineRule="exact"/>
        <w:rPr>
          <w:sz w:val="20"/>
          <w:szCs w:val="20"/>
          <w:color w:val="auto"/>
        </w:rPr>
      </w:pPr>
    </w:p>
    <w:p>
      <w:pPr>
        <w:ind w:left="860" w:right="20" w:hanging="488"/>
        <w:spacing w:after="0" w:line="258"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of personnel associated with pre- and after-sale support and other sales and marketing activities, including stock-based compensation;</w:t>
      </w:r>
    </w:p>
    <w:p>
      <w:pPr>
        <w:spacing w:after="0" w:line="1" w:lineRule="exact"/>
        <w:rPr>
          <w:rFonts w:ascii="Arial" w:cs="Arial" w:eastAsia="Arial" w:hAnsi="Arial"/>
          <w:sz w:val="18"/>
          <w:szCs w:val="18"/>
          <w:color w:val="auto"/>
        </w:rPr>
      </w:pPr>
    </w:p>
    <w:p>
      <w:pPr>
        <w:ind w:left="860" w:hanging="48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commissions paid to independent sales representatives;</w:t>
      </w:r>
    </w:p>
    <w:p>
      <w:pPr>
        <w:spacing w:after="0" w:line="9" w:lineRule="exact"/>
        <w:rPr>
          <w:rFonts w:ascii="Arial" w:cs="Arial" w:eastAsia="Arial" w:hAnsi="Arial"/>
          <w:sz w:val="18"/>
          <w:szCs w:val="18"/>
          <w:color w:val="auto"/>
        </w:rPr>
      </w:pPr>
    </w:p>
    <w:p>
      <w:pPr>
        <w:ind w:left="860" w:hanging="48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paid to sales consultants;</w:t>
      </w:r>
    </w:p>
    <w:p>
      <w:pPr>
        <w:spacing w:after="0" w:line="9" w:lineRule="exact"/>
        <w:rPr>
          <w:rFonts w:ascii="Arial" w:cs="Arial" w:eastAsia="Arial" w:hAnsi="Arial"/>
          <w:sz w:val="18"/>
          <w:szCs w:val="18"/>
          <w:color w:val="auto"/>
        </w:rPr>
      </w:pPr>
    </w:p>
    <w:p>
      <w:pPr>
        <w:ind w:left="860" w:hanging="48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shipping and handling costs for transportation of products to customers;</w:t>
      </w:r>
    </w:p>
    <w:p>
      <w:pPr>
        <w:spacing w:after="0" w:line="9" w:lineRule="exact"/>
        <w:rPr>
          <w:rFonts w:ascii="Arial" w:cs="Arial" w:eastAsia="Arial" w:hAnsi="Arial"/>
          <w:sz w:val="18"/>
          <w:szCs w:val="18"/>
          <w:color w:val="auto"/>
        </w:rPr>
      </w:pPr>
    </w:p>
    <w:p>
      <w:pPr>
        <w:ind w:left="860" w:hanging="48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of trade shows;</w:t>
      </w:r>
    </w:p>
    <w:p>
      <w:pPr>
        <w:spacing w:after="0" w:line="9" w:lineRule="exact"/>
        <w:rPr>
          <w:rFonts w:ascii="Arial" w:cs="Arial" w:eastAsia="Arial" w:hAnsi="Arial"/>
          <w:sz w:val="18"/>
          <w:szCs w:val="18"/>
          <w:color w:val="auto"/>
        </w:rPr>
      </w:pPr>
    </w:p>
    <w:p>
      <w:pPr>
        <w:ind w:left="860" w:hanging="48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travel and entertainment; and</w:t>
      </w:r>
    </w:p>
    <w:p>
      <w:pPr>
        <w:spacing w:after="0" w:line="9" w:lineRule="exact"/>
        <w:rPr>
          <w:rFonts w:ascii="Arial" w:cs="Arial" w:eastAsia="Arial" w:hAnsi="Arial"/>
          <w:sz w:val="18"/>
          <w:szCs w:val="18"/>
          <w:color w:val="auto"/>
        </w:rPr>
      </w:pPr>
    </w:p>
    <w:p>
      <w:pPr>
        <w:ind w:left="860" w:hanging="48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increased by $1.8 million in the three months ended March 31, 2021 as compared to the corresponding period in 2020,</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as a result of increases in new product development, testing fees and personnel costs. Research and development expense represented 12.6% and 15.1% of our revenue in the three months ended March 31, 2021 and 2020, respectively. Without reduction by grant amounts received from PRC governmental authorities (see “—Government Research and Development Funding”), gross research and development expense totaled $7.4 million, or 17.1% of total revenue, in the three months ended March 31, 2021 and $3.7 million, or 15.9% of revenue, in the corresponding period in 2020. Research and development expense relates to the development of new products and processes and encompasses our research, development and customer support activities. Research and development expense consists primarily of:</w:t>
      </w:r>
    </w:p>
    <w:p>
      <w:pPr>
        <w:spacing w:after="0" w:line="204" w:lineRule="exact"/>
        <w:rPr>
          <w:sz w:val="20"/>
          <w:szCs w:val="20"/>
          <w:color w:val="auto"/>
        </w:rPr>
      </w:pPr>
    </w:p>
    <w:p>
      <w:pPr>
        <w:ind w:left="860" w:hanging="48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of personnel associated with our research and development activities, including stock based compensation;</w:t>
      </w:r>
    </w:p>
    <w:p>
      <w:pPr>
        <w:spacing w:after="0" w:line="23" w:lineRule="exact"/>
        <w:rPr>
          <w:rFonts w:ascii="Arial" w:cs="Arial" w:eastAsia="Arial" w:hAnsi="Arial"/>
          <w:sz w:val="18"/>
          <w:szCs w:val="18"/>
          <w:color w:val="auto"/>
        </w:rPr>
      </w:pPr>
    </w:p>
    <w:p>
      <w:pPr>
        <w:ind w:left="860" w:hanging="48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components and other research and development supplies;</w:t>
      </w:r>
    </w:p>
    <w:p>
      <w:pPr>
        <w:spacing w:after="0" w:line="9" w:lineRule="exact"/>
        <w:rPr>
          <w:rFonts w:ascii="Arial" w:cs="Arial" w:eastAsia="Arial" w:hAnsi="Arial"/>
          <w:sz w:val="18"/>
          <w:szCs w:val="18"/>
          <w:color w:val="auto"/>
        </w:rPr>
      </w:pPr>
    </w:p>
    <w:p>
      <w:pPr>
        <w:ind w:left="860" w:hanging="48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travel expense associated with customer support;</w:t>
      </w:r>
    </w:p>
    <w:p>
      <w:pPr>
        <w:spacing w:after="0" w:line="9" w:lineRule="exact"/>
        <w:rPr>
          <w:rFonts w:ascii="Arial" w:cs="Arial" w:eastAsia="Arial" w:hAnsi="Arial"/>
          <w:sz w:val="18"/>
          <w:szCs w:val="18"/>
          <w:color w:val="auto"/>
        </w:rPr>
      </w:pPr>
    </w:p>
    <w:p>
      <w:pPr>
        <w:ind w:left="860" w:hanging="48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amortization of costs of software used for research and development purposes; and</w:t>
      </w:r>
    </w:p>
    <w:p>
      <w:pPr>
        <w:spacing w:after="0" w:line="9" w:lineRule="exact"/>
        <w:rPr>
          <w:rFonts w:ascii="Arial" w:cs="Arial" w:eastAsia="Arial" w:hAnsi="Arial"/>
          <w:sz w:val="18"/>
          <w:szCs w:val="18"/>
          <w:color w:val="auto"/>
        </w:rPr>
      </w:pPr>
    </w:p>
    <w:p>
      <w:pPr>
        <w:ind w:left="860" w:hanging="48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increased $1.5 million in the three months ended March 31, 2021 as compared to the corresponding period in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 consists primarily of:</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right="300" w:hanging="488"/>
        <w:spacing w:after="0" w:line="258"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of executive, accounting and finance, human resources, information technology, and other administrative personnel, including stock-based compensation;</w:t>
      </w:r>
    </w:p>
    <w:p>
      <w:pPr>
        <w:spacing w:after="0" w:line="1"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professional fees, including accounting and corporate legal and defense fees;</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corporate expenses including insurance; and</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that, for the foreseeable future, general and administrative expenses will increase in absolute dollars, as we incur additional costs associated with growing our business and operating as a public company in the United States and the PRC.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Unrealized loss from trading securities</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recorded an unrealized loss of $1.0 million for the three months ended March 31, 2021 based on a change in market value of ACM Shanghai’s indirect investment in SMIC shares on the STAR Market as is described in note 15 to the condensed consolidated financial statements included in this report.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60" w:type="dxa"/>
            <w:vAlign w:val="bottom"/>
          </w:tcPr>
          <w:p>
            <w:pPr>
              <w:spacing w:after="0"/>
              <w:rPr>
                <w:sz w:val="20"/>
                <w:szCs w:val="20"/>
                <w:color w:val="auto"/>
              </w:rPr>
            </w:pPr>
          </w:p>
        </w:tc>
        <w:tc>
          <w:tcPr>
            <w:tcW w:w="7160" w:type="dxa"/>
            <w:vAlign w:val="bottom"/>
            <w:gridSpan w:val="9"/>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2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5"/>
          </w:tcPr>
          <w:p>
            <w:pPr>
              <w:jc w:val="right"/>
              <w:ind w:right="296"/>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5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94"/>
              </w:rPr>
              <w:t>Unrealized loss on trading securities $</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59"/>
        </w:trPr>
        <w:tc>
          <w:tcPr>
            <w:tcW w:w="6760" w:type="dxa"/>
            <w:vAlign w:val="bottom"/>
            <w:gridSpan w:val="3"/>
          </w:tcPr>
          <w:p>
            <w:pPr>
              <w:spacing w:after="0"/>
              <w:rPr>
                <w:sz w:val="20"/>
                <w:szCs w:val="20"/>
                <w:color w:val="auto"/>
              </w:rPr>
            </w:pPr>
            <w:r>
              <w:rPr>
                <w:rFonts w:ascii="Arial" w:cs="Arial" w:eastAsia="Arial" w:hAnsi="Arial"/>
                <w:sz w:val="18"/>
                <w:szCs w:val="18"/>
                <w:i w:val="1"/>
                <w:iCs w:val="1"/>
                <w:color w:val="auto"/>
              </w:rPr>
              <w:t>Other Income and Expenses</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22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gridSpan w:val="8"/>
          </w:tcPr>
          <w:p>
            <w:pPr>
              <w:spacing w:after="0"/>
              <w:rPr>
                <w:sz w:val="20"/>
                <w:szCs w:val="20"/>
                <w:color w:val="auto"/>
              </w:rPr>
            </w:pPr>
            <w:r>
              <w:rPr>
                <w:rFonts w:ascii="Arial" w:cs="Arial" w:eastAsia="Arial" w:hAnsi="Arial"/>
                <w:sz w:val="18"/>
                <w:szCs w:val="18"/>
                <w:b w:val="1"/>
                <w:bCs w:val="1"/>
                <w:color w:val="auto"/>
                <w:w w:val="99"/>
              </w:rPr>
              <w:t>Three Months Ended March 31,</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22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4"/>
              </w:rPr>
              <w:t>% Change</w:t>
            </w:r>
          </w:p>
        </w:tc>
      </w:tr>
      <w:tr>
        <w:trPr>
          <w:trHeight w:val="241"/>
        </w:trPr>
        <w:tc>
          <w:tcPr>
            <w:tcW w:w="22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2021</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 v 2020</w:t>
            </w:r>
          </w:p>
        </w:tc>
        <w:tc>
          <w:tcPr>
            <w:tcW w:w="160" w:type="dxa"/>
            <w:vAlign w:val="bottom"/>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(in</w:t>
            </w:r>
          </w:p>
        </w:tc>
        <w:tc>
          <w:tcPr>
            <w:tcW w:w="980" w:type="dxa"/>
            <w:vAlign w:val="bottom"/>
            <w:gridSpan w:val="3"/>
          </w:tcPr>
          <w:p>
            <w:pPr>
              <w:jc w:val="right"/>
              <w:ind w:right="360"/>
              <w:spacing w:after="0"/>
              <w:rPr>
                <w:sz w:val="20"/>
                <w:szCs w:val="20"/>
                <w:color w:val="auto"/>
              </w:rPr>
            </w:pPr>
            <w:r>
              <w:rPr>
                <w:rFonts w:ascii="Arial" w:cs="Arial" w:eastAsia="Arial" w:hAnsi="Arial"/>
                <w:sz w:val="17"/>
                <w:szCs w:val="17"/>
                <w:i w:val="1"/>
                <w:iCs w:val="1"/>
                <w:color w:val="auto"/>
                <w:w w:val="71"/>
              </w:rPr>
              <w:t>thousands)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w:t>
            </w:r>
          </w:p>
        </w:tc>
      </w:tr>
      <w:tr>
        <w:trPr>
          <w:trHeight w:val="223"/>
        </w:trPr>
        <w:tc>
          <w:tcPr>
            <w:tcW w:w="676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gridSpan w:val="2"/>
          </w:tcPr>
          <w:p>
            <w:pPr>
              <w:jc w:val="right"/>
              <w:ind w:right="56"/>
              <w:spacing w:after="0"/>
              <w:rPr>
                <w:sz w:val="20"/>
                <w:szCs w:val="20"/>
                <w:color w:val="auto"/>
              </w:rPr>
            </w:pPr>
            <w:r>
              <w:rPr>
                <w:rFonts w:ascii="Arial" w:cs="Arial" w:eastAsia="Arial" w:hAnsi="Arial"/>
                <w:sz w:val="18"/>
                <w:szCs w:val="18"/>
                <w:color w:val="auto"/>
                <w:w w:val="95"/>
              </w:rPr>
              <w:t>(189)</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70.3%</w:t>
            </w:r>
          </w:p>
        </w:tc>
      </w:tr>
      <w:tr>
        <w:trPr>
          <w:trHeight w:val="257"/>
        </w:trPr>
        <w:tc>
          <w:tcPr>
            <w:tcW w:w="6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5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(140)</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-162.5%</w:t>
            </w:r>
          </w:p>
        </w:tc>
      </w:tr>
      <w:tr>
        <w:trPr>
          <w:trHeight w:val="210"/>
        </w:trPr>
        <w:tc>
          <w:tcPr>
            <w:tcW w:w="6760" w:type="dxa"/>
            <w:vAlign w:val="bottom"/>
            <w:gridSpan w:val="3"/>
          </w:tcPr>
          <w:p>
            <w:pPr>
              <w:spacing w:after="0"/>
              <w:rPr>
                <w:sz w:val="18"/>
                <w:szCs w:val="18"/>
                <w:color w:val="auto"/>
              </w:rPr>
            </w:pPr>
          </w:p>
        </w:tc>
        <w:tc>
          <w:tcPr>
            <w:tcW w:w="94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469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r>
      <w:tr>
        <w:trPr>
          <w:trHeight w:val="596"/>
        </w:trPr>
        <w:tc>
          <w:tcPr>
            <w:tcW w:w="6540" w:type="dxa"/>
            <w:vAlign w:val="bottom"/>
            <w:gridSpan w:val="2"/>
          </w:tcPr>
          <w:p>
            <w:pPr>
              <w:ind w:left="5560"/>
              <w:spacing w:after="0"/>
              <w:rPr>
                <w:sz w:val="20"/>
                <w:szCs w:val="20"/>
                <w:color w:val="auto"/>
              </w:rPr>
            </w:pPr>
            <w:r>
              <w:rPr>
                <w:rFonts w:ascii="Arial" w:cs="Arial" w:eastAsia="Arial" w:hAnsi="Arial"/>
                <w:sz w:val="14"/>
                <w:szCs w:val="14"/>
                <w:color w:val="auto"/>
              </w:rPr>
              <w:t>39</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
        </w:trPr>
        <w:tc>
          <w:tcPr>
            <w:tcW w:w="2260" w:type="dxa"/>
            <w:vAlign w:val="bottom"/>
            <w:tcBorders>
              <w:bottom w:val="single" w:sz="8" w:color="auto"/>
            </w:tcBorders>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consists of interest earned on our cash and equivalents and restricted cash accounts, offset by interest expense incurred from outstanding short-term borrowings. We incurred $140,000 of interest expense, net in the three months ended March 31, 2021 as compared to $224,000 of net interest income in the corresponding period in 2020. This was a result of a lower balance of cash and equivalents and lower interest rates on these balances, offset by increased borrowings under short-term bank loans.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net primarily reflects (a) gains or losses recognized from the impact of exchange rates on our foreign currency-denominated working-capital transactions and (b) depreciation of assets acquired with government subsidies, as described under “—Government Research and Development Funding” above. Other income (expense), declined by $208,000 in the three months ended March 31, 2021 as compared to Other income (expense) in the corresponding period in 2020, due primarily to a realized gain of $411,000 resulting from changes in the RMB-to-U.S. dollar exchange rate, compared to a realized gain of $575,000 in the prior year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components of income tax benefit (expense) for the indicated periods: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3920" w:type="dxa"/>
            <w:vAlign w:val="bottom"/>
            <w:gridSpan w:val="7"/>
          </w:tcPr>
          <w:p>
            <w:pPr>
              <w:ind w:left="14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3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3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460"/>
              <w:spacing w:after="0"/>
              <w:rPr>
                <w:sz w:val="20"/>
                <w:szCs w:val="20"/>
                <w:color w:val="auto"/>
              </w:rPr>
            </w:pPr>
            <w:r>
              <w:rPr>
                <w:rFonts w:ascii="Arial" w:cs="Arial" w:eastAsia="Arial" w:hAnsi="Arial"/>
                <w:sz w:val="18"/>
                <w:szCs w:val="18"/>
                <w:i w:val="1"/>
                <w:iCs w:val="1"/>
                <w:color w:val="auto"/>
              </w:rPr>
              <w:t>(in</w:t>
            </w:r>
          </w:p>
        </w:tc>
        <w:tc>
          <w:tcPr>
            <w:tcW w:w="13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7"/>
                <w:szCs w:val="17"/>
                <w:i w:val="1"/>
                <w:iCs w:val="1"/>
                <w:color w:val="auto"/>
                <w:w w:val="71"/>
              </w:rPr>
              <w:t>thousands)</w:t>
            </w:r>
          </w:p>
        </w:tc>
      </w:tr>
      <w:tr>
        <w:trPr>
          <w:trHeight w:val="237"/>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 (expense)</w:t>
            </w:r>
          </w:p>
        </w:tc>
        <w:tc>
          <w:tcPr>
            <w:tcW w:w="1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2,770</w:t>
            </w: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both"/>
        <w:ind w:left="120" w:hanging="104"/>
        <w:spacing w:after="0" w:line="291" w:lineRule="auto"/>
        <w:rPr>
          <w:sz w:val="20"/>
          <w:szCs w:val="20"/>
          <w:color w:val="auto"/>
        </w:rPr>
      </w:pPr>
      <w:r>
        <w:rPr>
          <w:rFonts w:ascii="Arial" w:cs="Arial" w:eastAsia="Arial" w:hAnsi="Arial"/>
          <w:sz w:val="16"/>
          <w:szCs w:val="16"/>
          <w:color w:val="auto"/>
        </w:rPr>
        <w:t>We recognized a tax benefit of $2.8 million for the three months ended March 31, 2021 as compared to a tax expense of $0.3 million for prior year period. The benefit in 2021 primarily resulted from tax deductions related to the exercise of stock options during the period, as compared to smaller deductions</w:t>
      </w:r>
    </w:p>
    <w:p>
      <w:pPr>
        <w:spacing w:after="0"/>
        <w:rPr>
          <w:sz w:val="20"/>
          <w:szCs w:val="20"/>
          <w:color w:val="auto"/>
        </w:rPr>
      </w:pPr>
      <w:r>
        <w:rPr>
          <w:rFonts w:ascii="Arial" w:cs="Arial" w:eastAsia="Arial" w:hAnsi="Arial"/>
          <w:sz w:val="18"/>
          <w:szCs w:val="18"/>
          <w:color w:val="auto"/>
        </w:rPr>
        <w:t>for the same item in the prior year period.</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effective tax rate differs from statutory rates of 21% for U.S. federal income tax purposes and 15% to 25% for Chinese income tax purposes due to the treatment of stock-based compensation including the impact from stock option exercises and non-US research expenses.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and 2018, with an effective period of three years.</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2020.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Coronavirus Aid, Relief, and Economic Security Act (CARES Act) was enacted on March 27, 2020. It contains several provisions that may have financial statement effects. Key Aspects of the CARES Act include the following:</w:t>
      </w:r>
    </w:p>
    <w:p>
      <w:pPr>
        <w:spacing w:after="0" w:line="197" w:lineRule="exact"/>
        <w:rPr>
          <w:sz w:val="20"/>
          <w:szCs w:val="20"/>
          <w:color w:val="auto"/>
        </w:rPr>
      </w:pPr>
    </w:p>
    <w:p>
      <w:pPr>
        <w:ind w:left="860" w:hanging="48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repealed the 80% taxable income limitation for 2018, 2019 and 2020, and allows those years to be carried back up to five years;</w:t>
      </w:r>
    </w:p>
    <w:p>
      <w:pPr>
        <w:spacing w:after="0" w:line="23" w:lineRule="exact"/>
        <w:rPr>
          <w:rFonts w:ascii="Arial" w:cs="Arial" w:eastAsia="Arial" w:hAnsi="Arial"/>
          <w:sz w:val="18"/>
          <w:szCs w:val="18"/>
          <w:color w:val="auto"/>
        </w:rPr>
      </w:pPr>
    </w:p>
    <w:p>
      <w:pPr>
        <w:ind w:left="860" w:hanging="488"/>
        <w:spacing w:after="0"/>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allows corporations to claim 100% of AMT credits in 2019, and provides for an election to take the entire refundable credit amount in 2018;</w:t>
      </w:r>
    </w:p>
    <w:p>
      <w:pPr>
        <w:spacing w:after="0" w:line="32" w:lineRule="exact"/>
        <w:rPr>
          <w:rFonts w:ascii="Arial" w:cs="Arial" w:eastAsia="Arial" w:hAnsi="Arial"/>
          <w:sz w:val="16"/>
          <w:szCs w:val="16"/>
          <w:color w:val="auto"/>
        </w:rPr>
      </w:pPr>
    </w:p>
    <w:p>
      <w:pPr>
        <w:ind w:left="860" w:hanging="48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raised the Section 163(j) ATI limit from 30% to 50% for businesses; and</w:t>
      </w:r>
    </w:p>
    <w:p>
      <w:pPr>
        <w:spacing w:after="0" w:line="9" w:lineRule="exact"/>
        <w:rPr>
          <w:rFonts w:ascii="Arial" w:cs="Arial" w:eastAsia="Arial" w:hAnsi="Arial"/>
          <w:sz w:val="18"/>
          <w:szCs w:val="18"/>
          <w:color w:val="auto"/>
        </w:rPr>
      </w:pPr>
    </w:p>
    <w:p>
      <w:pPr>
        <w:ind w:left="860" w:hanging="488"/>
        <w:spacing w:after="0" w:line="260"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made technical corrections to TCJA for Qualified Improvement Property (“QIP”) and designates QIP as 15-year property for depreciation purposes, which makes QIP a category eligible for 100% bonus depreciation.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CARES Act has not had a material impact on income taxes in the Company’s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85"/>
        </w:trPr>
        <w:tc>
          <w:tcPr>
            <w:tcW w:w="7320" w:type="dxa"/>
            <w:vAlign w:val="bottom"/>
            <w:gridSpan w:val="2"/>
          </w:tcPr>
          <w:p>
            <w:pPr>
              <w:spacing w:after="0"/>
              <w:rPr>
                <w:sz w:val="20"/>
                <w:szCs w:val="20"/>
                <w:color w:val="auto"/>
              </w:rPr>
            </w:pPr>
            <w:r>
              <w:rPr>
                <w:rFonts w:ascii="Arial" w:cs="Arial" w:eastAsia="Arial" w:hAnsi="Arial"/>
                <w:sz w:val="18"/>
                <w:szCs w:val="18"/>
                <w:i w:val="1"/>
                <w:iCs w:val="1"/>
                <w:color w:val="auto"/>
                <w:w w:val="96"/>
              </w:rPr>
              <w:t>Net Income Attributable to Non-Controlling Interests and Redeemable Non-Controlling Interests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8"/>
                <w:szCs w:val="18"/>
                <w:b w:val="1"/>
                <w:bCs w:val="1"/>
                <w:color w:val="auto"/>
                <w:w w:val="99"/>
              </w:rPr>
              <w:t>Three Months Ended March 31,</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10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4"/>
              </w:rPr>
              <w:t>% Change</w:t>
            </w:r>
          </w:p>
        </w:tc>
      </w:tr>
      <w:tr>
        <w:trPr>
          <w:trHeight w:val="241"/>
        </w:trPr>
        <w:tc>
          <w:tcPr>
            <w:tcW w:w="10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 v 2020</w:t>
            </w:r>
          </w:p>
        </w:tc>
        <w:tc>
          <w:tcPr>
            <w:tcW w:w="16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i w:val="1"/>
                <w:iCs w:val="1"/>
                <w:color w:val="auto"/>
              </w:rPr>
              <w:t>(in</w:t>
            </w:r>
          </w:p>
        </w:tc>
        <w:tc>
          <w:tcPr>
            <w:tcW w:w="780" w:type="dxa"/>
            <w:vAlign w:val="bottom"/>
            <w:gridSpan w:val="2"/>
          </w:tcPr>
          <w:p>
            <w:pPr>
              <w:jc w:val="right"/>
              <w:ind w:right="70"/>
              <w:spacing w:after="0"/>
              <w:rPr>
                <w:sz w:val="20"/>
                <w:szCs w:val="20"/>
                <w:color w:val="auto"/>
              </w:rPr>
            </w:pPr>
            <w:r>
              <w:rPr>
                <w:rFonts w:ascii="Arial" w:cs="Arial" w:eastAsia="Arial" w:hAnsi="Arial"/>
                <w:sz w:val="17"/>
                <w:szCs w:val="17"/>
                <w:i w:val="1"/>
                <w:iCs w:val="1"/>
                <w:color w:val="auto"/>
                <w:w w:val="71"/>
              </w:rPr>
              <w:t>thousands)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352</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above under “—STAR Market Listing and IPO,” in 2019, ACM Shanghai sold a total number of shares representing 8.3% of its outstanding ACM Shanghai shares. ACM Research continues to hold the remaining 91.7% of ACM Shanghai’s outstanding shares. As a result, commencing with the three months ended September 30, 2019, we reflect, as net income attributable to non-controlling interests and redeemable non-controlling interests, the portion of our net income allocable to the minority holders of ACM Shanghai shares. In the three months ended March 31, 2021, this amount totaled $352,000 as compared to $258,000 in the corresponding period in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three months of 2021, we funded our technology development and operations principally through our beginning cash balance and short-term borrowings by ACM Shanghai from local financial institutions.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our existing cash and cash equivalents, our cash flow from operating activities, and short-term bank borrowings by ACM Shanghai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2020 ACM Shanghai, through its wholly owned subsidiary Shengwei Research (Shanghai), Inc., entered into a Grant Contract for State-owned Construction Land Use Right in Shanghai City (Category of R&amp;D Headquarters and Industrial Projects), or the Grant Agreement, with the China (Shanghai) Pilot Free Trade Zone Lin-gang Special Area Administration. Shengwei Research (Shanghai), Inc. obtained rights to use approximately 43,000 square meters (10.6 acres) of land in the Lingang Heavy Equipment Industrial Zone of Lin-gang Special Area of China (Shanghai) Pilot Free Trade Zone for a period of fifty years, commencing on the date of delivery of the land in July 2020, which we refer to as the Delivery Date.</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exchange for its land use rights, Shengwei Research (Shanghai), Inc. paid aggregate grant fees of RMB 61.7 million ($9.5 million), and a performance deposit of RMB 12.3 million ($1.9 million), which is equal to 20% of the aggregate grant fees, to secure its achievement of the following performance milestones:</w:t>
      </w:r>
    </w:p>
    <w:p>
      <w:pPr>
        <w:spacing w:after="0" w:line="21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start of construction within 6 months after the Delivery Date (60% of the performance deposit);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completion of construction within 30 months after the Delivery Date (20% of the performance deposit);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start of production within 42 months after the Delivery Date (20% of the performance deposit.</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Upon satisfaction of a milestone, the portion of the performance deposit attributable to that milestone will be repayable to Shengwei Research (Shanghai), Inc. within ten business days. If the achievement of any of the above milestones is delayed or abandoned, Shengwei Research (Shanghai), Inc. may be subject to additional penalties and may lose its rights to both the use of the granted land and any partially completed facilities on that land.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Covenants in the Grant Agreement require that, among other things, Shengwei Research (Shanghai), Inc. will be required to pay liquidated damages in the event that (a) it does not make a total investment (including the costs of construction, fixtures, equipment and grant fees) of at least RMB 450.0 million ($63.4 million) or (b) within six years after the Delivery Date, we do not (i) generate a minimum specified amount of annual sales of products manufactured on the granted land or (ii) pay to the PRC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Cash Flow from Operating Activities. </w:t>
      </w:r>
      <w:r>
        <w:rPr>
          <w:rFonts w:ascii="Arial" w:cs="Arial" w:eastAsia="Arial" w:hAnsi="Arial"/>
          <w:sz w:val="16"/>
          <w:szCs w:val="16"/>
          <w:color w:val="auto"/>
        </w:rPr>
        <w:t>Our operations provided cash flow of $10.7 million in the first three months of 2021. Our cash flow from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is influenced by (a) the level of net income, (b) the amount of cash we invest in personnel and technology development to support anticipated future growth in our business, (c) increases in the number of customers using our products, and (d) the amount and timing of payments by customers.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Equity and Equity-related Securities. </w:t>
      </w:r>
      <w:r>
        <w:rPr>
          <w:rFonts w:ascii="Arial" w:cs="Arial" w:eastAsia="Arial" w:hAnsi="Arial"/>
          <w:sz w:val="18"/>
          <w:szCs w:val="18"/>
          <w:color w:val="auto"/>
        </w:rPr>
        <w:t>During the three months ended March 31, 2021, we received proceeds of $1.4 million from sales of Class A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pursuant to option exercises.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and Long-Term Loan Facilities. </w:t>
      </w:r>
      <w:r>
        <w:rPr>
          <w:rFonts w:ascii="Arial" w:cs="Arial" w:eastAsia="Arial" w:hAnsi="Arial"/>
          <w:sz w:val="18"/>
          <w:szCs w:val="18"/>
          <w:color w:val="auto"/>
        </w:rPr>
        <w:t>We have short-term and long-term borrowings with five banks, as follows:</w:t>
      </w:r>
    </w:p>
    <w:p>
      <w:pPr>
        <w:spacing w:after="0" w:line="24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Amount</w:t>
            </w:r>
          </w:p>
        </w:tc>
      </w:tr>
      <w:tr>
        <w:trPr>
          <w:trHeight w:val="216"/>
        </w:trPr>
        <w:tc>
          <w:tcPr>
            <w:tcW w:w="1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80" w:type="dxa"/>
            <w:vAlign w:val="bottom"/>
          </w:tcPr>
          <w:p>
            <w:pPr>
              <w:ind w:left="260"/>
              <w:spacing w:after="0"/>
              <w:rPr>
                <w:sz w:val="20"/>
                <w:szCs w:val="20"/>
                <w:color w:val="auto"/>
              </w:rPr>
            </w:pPr>
            <w:r>
              <w:rPr>
                <w:rFonts w:ascii="Arial" w:cs="Arial" w:eastAsia="Arial" w:hAnsi="Arial"/>
                <w:sz w:val="18"/>
                <w:szCs w:val="18"/>
                <w:b w:val="1"/>
                <w:bCs w:val="1"/>
                <w:color w:val="auto"/>
              </w:rPr>
              <w:t>Maximum</w:t>
            </w:r>
          </w:p>
        </w:tc>
        <w:tc>
          <w:tcPr>
            <w:tcW w:w="118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1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0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Annual</w:t>
            </w:r>
          </w:p>
        </w:tc>
        <w:tc>
          <w:tcPr>
            <w:tcW w:w="1280" w:type="dxa"/>
            <w:vAlign w:val="bottom"/>
          </w:tcPr>
          <w:p>
            <w:pPr>
              <w:ind w:left="240"/>
              <w:spacing w:after="0"/>
              <w:rPr>
                <w:sz w:val="20"/>
                <w:szCs w:val="20"/>
                <w:color w:val="auto"/>
              </w:rPr>
            </w:pPr>
            <w:r>
              <w:rPr>
                <w:rFonts w:ascii="Arial" w:cs="Arial" w:eastAsia="Arial" w:hAnsi="Arial"/>
                <w:sz w:val="18"/>
                <w:szCs w:val="18"/>
                <w:b w:val="1"/>
                <w:bCs w:val="1"/>
                <w:color w:val="auto"/>
              </w:rPr>
              <w:t>Borrowing</w:t>
            </w:r>
          </w:p>
        </w:tc>
        <w:tc>
          <w:tcPr>
            <w:tcW w:w="1180" w:type="dxa"/>
            <w:vAlign w:val="bottom"/>
          </w:tcPr>
          <w:p>
            <w:pPr>
              <w:jc w:val="center"/>
              <w:ind w:left="110"/>
              <w:spacing w:after="0"/>
              <w:rPr>
                <w:sz w:val="20"/>
                <w:szCs w:val="20"/>
                <w:color w:val="auto"/>
              </w:rPr>
            </w:pPr>
            <w:r>
              <w:rPr>
                <w:rFonts w:ascii="Arial" w:cs="Arial" w:eastAsia="Arial" w:hAnsi="Arial"/>
                <w:sz w:val="18"/>
                <w:szCs w:val="18"/>
                <w:b w:val="1"/>
                <w:bCs w:val="1"/>
                <w:color w:val="auto"/>
                <w:w w:val="94"/>
              </w:rPr>
              <w:t>at March 31,</w:t>
            </w:r>
          </w:p>
        </w:tc>
      </w:t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Lender</w:t>
            </w:r>
          </w:p>
        </w:tc>
        <w:tc>
          <w:tcPr>
            <w:tcW w:w="2320" w:type="dxa"/>
            <w:vAlign w:val="bottom"/>
          </w:tcPr>
          <w:p>
            <w:pPr>
              <w:ind w:left="780"/>
              <w:spacing w:after="0"/>
              <w:rPr>
                <w:sz w:val="20"/>
                <w:szCs w:val="20"/>
                <w:color w:val="auto"/>
              </w:rPr>
            </w:pPr>
            <w:r>
              <w:rPr>
                <w:rFonts w:ascii="Arial" w:cs="Arial" w:eastAsia="Arial" w:hAnsi="Arial"/>
                <w:sz w:val="18"/>
                <w:szCs w:val="18"/>
                <w:b w:val="1"/>
                <w:bCs w:val="1"/>
                <w:color w:val="auto"/>
              </w:rPr>
              <w:t>Agreement Date</w:t>
            </w:r>
          </w:p>
        </w:tc>
        <w:tc>
          <w:tcPr>
            <w:tcW w:w="2080" w:type="dxa"/>
            <w:vAlign w:val="bottom"/>
          </w:tcPr>
          <w:p>
            <w:pPr>
              <w:ind w:left="280"/>
              <w:spacing w:after="0"/>
              <w:rPr>
                <w:sz w:val="20"/>
                <w:szCs w:val="20"/>
                <w:color w:val="auto"/>
              </w:rPr>
            </w:pPr>
            <w:r>
              <w:rPr>
                <w:rFonts w:ascii="Arial" w:cs="Arial" w:eastAsia="Arial" w:hAnsi="Arial"/>
                <w:sz w:val="18"/>
                <w:szCs w:val="18"/>
                <w:b w:val="1"/>
                <w:bCs w:val="1"/>
                <w:color w:val="auto"/>
              </w:rPr>
              <w:t>Maturity Date</w:t>
            </w:r>
          </w:p>
        </w:tc>
        <w:tc>
          <w:tcPr>
            <w:tcW w:w="190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Interest Rate</w:t>
            </w:r>
          </w:p>
        </w:tc>
        <w:tc>
          <w:tcPr>
            <w:tcW w:w="1280" w:type="dxa"/>
            <w:vAlign w:val="bottom"/>
          </w:tcPr>
          <w:p>
            <w:pPr>
              <w:ind w:left="240"/>
              <w:spacing w:after="0"/>
              <w:rPr>
                <w:sz w:val="20"/>
                <w:szCs w:val="20"/>
                <w:color w:val="auto"/>
              </w:rPr>
            </w:pPr>
            <w:r>
              <w:rPr>
                <w:rFonts w:ascii="Arial" w:cs="Arial" w:eastAsia="Arial" w:hAnsi="Arial"/>
                <w:sz w:val="18"/>
                <w:szCs w:val="18"/>
                <w:b w:val="1"/>
                <w:bCs w:val="1"/>
                <w:color w:val="auto"/>
              </w:rPr>
              <w:t>Amount(1)</w:t>
            </w:r>
          </w:p>
        </w:tc>
        <w:tc>
          <w:tcPr>
            <w:tcW w:w="118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5777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7771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7"/>
          <w:szCs w:val="17"/>
          <w:color w:val="auto"/>
        </w:rPr>
        <w:t>Bank of Shanghai Pudong Branch</w:t>
      </w:r>
      <w:r>
        <w:rPr>
          <w:rFonts w:ascii="Arial" w:cs="Arial" w:eastAsia="Arial" w:hAnsi="Arial"/>
          <w:sz w:val="33"/>
          <w:szCs w:val="33"/>
          <w:color w:val="auto"/>
          <w:vertAlign w:val="subscript"/>
        </w:rPr>
        <w:t>April 2020</w:t>
      </w:r>
    </w:p>
    <w:p>
      <w:pPr>
        <w:spacing w:after="0" w:line="200" w:lineRule="exact"/>
        <w:rPr>
          <w:sz w:val="20"/>
          <w:szCs w:val="20"/>
          <w:color w:val="auto"/>
        </w:rPr>
      </w:pP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Bank of Communications</w:t>
            </w:r>
          </w:p>
        </w:tc>
        <w:tc>
          <w:tcPr>
            <w:tcW w:w="1460" w:type="dxa"/>
            <w:vAlign w:val="bottom"/>
            <w:vMerge w:val="restart"/>
          </w:tcPr>
          <w:p>
            <w:pPr>
              <w:ind w:left="300"/>
              <w:spacing w:after="0"/>
              <w:rPr>
                <w:sz w:val="20"/>
                <w:szCs w:val="20"/>
                <w:color w:val="auto"/>
              </w:rPr>
            </w:pPr>
            <w:r>
              <w:rPr>
                <w:rFonts w:ascii="Arial" w:cs="Arial" w:eastAsia="Arial" w:hAnsi="Arial"/>
                <w:sz w:val="18"/>
                <w:szCs w:val="18"/>
                <w:color w:val="auto"/>
              </w:rPr>
              <w:t>April 2020</w:t>
            </w: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2140" w:type="dxa"/>
            <w:vAlign w:val="bottom"/>
          </w:tcPr>
          <w:p>
            <w:pPr>
              <w:spacing w:after="0"/>
              <w:rPr>
                <w:sz w:val="20"/>
                <w:szCs w:val="20"/>
                <w:color w:val="auto"/>
              </w:rPr>
            </w:pPr>
            <w:r>
              <w:rPr>
                <w:rFonts w:ascii="Arial" w:cs="Arial" w:eastAsia="Arial" w:hAnsi="Arial"/>
                <w:sz w:val="18"/>
                <w:szCs w:val="18"/>
                <w:color w:val="auto"/>
              </w:rPr>
              <w:t>China Everbright Bank</w:t>
            </w:r>
          </w:p>
        </w:tc>
        <w:tc>
          <w:tcPr>
            <w:tcW w:w="1460" w:type="dxa"/>
            <w:vAlign w:val="bottom"/>
            <w:vMerge w:val="restart"/>
          </w:tcPr>
          <w:p>
            <w:pPr>
              <w:ind w:left="300"/>
              <w:spacing w:after="0"/>
              <w:rPr>
                <w:sz w:val="20"/>
                <w:szCs w:val="20"/>
                <w:color w:val="auto"/>
              </w:rPr>
            </w:pPr>
            <w:r>
              <w:rPr>
                <w:rFonts w:ascii="Arial" w:cs="Arial" w:eastAsia="Arial" w:hAnsi="Arial"/>
                <w:sz w:val="18"/>
                <w:szCs w:val="18"/>
                <w:color w:val="auto"/>
              </w:rPr>
              <w:t>April 2020</w:t>
            </w: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0"/>
                <w:szCs w:val="20"/>
                <w:color w:val="auto"/>
              </w:rPr>
            </w:pPr>
            <w:r>
              <w:rPr>
                <w:rFonts w:ascii="Arial" w:cs="Arial" w:eastAsia="Arial" w:hAnsi="Arial"/>
                <w:sz w:val="18"/>
                <w:szCs w:val="18"/>
                <w:color w:val="auto"/>
              </w:rPr>
              <w:t>China Merchants Bank</w:t>
            </w:r>
          </w:p>
        </w:tc>
        <w:tc>
          <w:tcPr>
            <w:tcW w:w="1460" w:type="dxa"/>
            <w:vAlign w:val="bottom"/>
          </w:tcPr>
          <w:p>
            <w:pPr>
              <w:ind w:left="300"/>
              <w:spacing w:after="0"/>
              <w:rPr>
                <w:sz w:val="20"/>
                <w:szCs w:val="20"/>
                <w:color w:val="auto"/>
              </w:rPr>
            </w:pPr>
            <w:r>
              <w:rPr>
                <w:rFonts w:ascii="Arial" w:cs="Arial" w:eastAsia="Arial" w:hAnsi="Arial"/>
                <w:sz w:val="18"/>
                <w:szCs w:val="18"/>
                <w:color w:val="auto"/>
              </w:rPr>
              <w:t>August 2020</w:t>
            </w:r>
          </w:p>
        </w:tc>
        <w:tc>
          <w:tcPr>
            <w:tcW w:w="0" w:type="dxa"/>
            <w:vAlign w:val="bottom"/>
          </w:tcPr>
          <w:p>
            <w:pPr>
              <w:spacing w:after="0"/>
              <w:rPr>
                <w:sz w:val="1"/>
                <w:szCs w:val="1"/>
                <w:color w:val="auto"/>
              </w:rPr>
            </w:pPr>
          </w:p>
        </w:tc>
      </w:tr>
      <w:tr>
        <w:trPr>
          <w:trHeight w:val="648"/>
        </w:trPr>
        <w:tc>
          <w:tcPr>
            <w:tcW w:w="2140" w:type="dxa"/>
            <w:vAlign w:val="bottom"/>
          </w:tcPr>
          <w:p>
            <w:pPr>
              <w:spacing w:after="0"/>
              <w:rPr>
                <w:sz w:val="20"/>
                <w:szCs w:val="20"/>
                <w:color w:val="auto"/>
              </w:rPr>
            </w:pPr>
            <w:r>
              <w:rPr>
                <w:rFonts w:ascii="Arial" w:cs="Arial" w:eastAsia="Arial" w:hAnsi="Arial"/>
                <w:sz w:val="18"/>
                <w:szCs w:val="18"/>
                <w:color w:val="auto"/>
              </w:rPr>
              <w:t>China Merchants Bank</w:t>
            </w:r>
          </w:p>
        </w:tc>
        <w:tc>
          <w:tcPr>
            <w:tcW w:w="1460" w:type="dxa"/>
            <w:vAlign w:val="bottom"/>
          </w:tcPr>
          <w:p>
            <w:pPr>
              <w:ind w:left="300"/>
              <w:spacing w:after="0"/>
              <w:rPr>
                <w:sz w:val="20"/>
                <w:szCs w:val="20"/>
                <w:color w:val="auto"/>
              </w:rPr>
            </w:pPr>
            <w:r>
              <w:rPr>
                <w:rFonts w:ascii="Arial" w:cs="Arial" w:eastAsia="Arial" w:hAnsi="Arial"/>
                <w:sz w:val="18"/>
                <w:szCs w:val="18"/>
                <w:color w:val="auto"/>
                <w:w w:val="88"/>
              </w:rPr>
              <w:t>November 2020</w:t>
            </w:r>
          </w:p>
        </w:tc>
        <w:tc>
          <w:tcPr>
            <w:tcW w:w="0" w:type="dxa"/>
            <w:vAlign w:val="bottom"/>
          </w:tcPr>
          <w:p>
            <w:pPr>
              <w:spacing w:after="0"/>
              <w:rPr>
                <w:sz w:val="1"/>
                <w:szCs w:val="1"/>
                <w:color w:val="auto"/>
              </w:rPr>
            </w:pPr>
          </w:p>
        </w:tc>
      </w:tr>
      <w:tr>
        <w:trPr>
          <w:trHeight w:val="648"/>
        </w:trPr>
        <w:tc>
          <w:tcPr>
            <w:tcW w:w="2140" w:type="dxa"/>
            <w:vAlign w:val="bottom"/>
          </w:tcPr>
          <w:p>
            <w:pPr>
              <w:spacing w:after="0"/>
              <w:rPr>
                <w:sz w:val="20"/>
                <w:szCs w:val="20"/>
                <w:color w:val="auto"/>
              </w:rPr>
            </w:pPr>
            <w:r>
              <w:rPr>
                <w:rFonts w:ascii="Arial" w:cs="Arial" w:eastAsia="Arial" w:hAnsi="Arial"/>
                <w:sz w:val="18"/>
                <w:szCs w:val="18"/>
                <w:color w:val="auto"/>
              </w:rPr>
              <w:t>Industrial Bank of Korea</w:t>
            </w:r>
          </w:p>
        </w:tc>
        <w:tc>
          <w:tcPr>
            <w:tcW w:w="1460" w:type="dxa"/>
            <w:vAlign w:val="bottom"/>
          </w:tcPr>
          <w:p>
            <w:pPr>
              <w:ind w:left="300"/>
              <w:spacing w:after="0"/>
              <w:rPr>
                <w:sz w:val="20"/>
                <w:szCs w:val="20"/>
                <w:color w:val="auto"/>
              </w:rPr>
            </w:pPr>
            <w:r>
              <w:rPr>
                <w:rFonts w:ascii="Arial" w:cs="Arial" w:eastAsia="Arial" w:hAnsi="Arial"/>
                <w:sz w:val="18"/>
                <w:szCs w:val="18"/>
                <w:color w:val="auto"/>
              </w:rPr>
              <w:t>July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60" w:type="dxa"/>
            <w:vAlign w:val="bottom"/>
            <w:vMerge w:val="restart"/>
          </w:tcPr>
          <w:p>
            <w:pPr>
              <w:spacing w:after="0"/>
              <w:rPr>
                <w:sz w:val="20"/>
                <w:szCs w:val="20"/>
                <w:color w:val="auto"/>
              </w:rPr>
            </w:pPr>
            <w:r>
              <w:rPr>
                <w:rFonts w:ascii="Arial" w:cs="Arial" w:eastAsia="Arial" w:hAnsi="Arial"/>
                <w:sz w:val="18"/>
                <w:szCs w:val="18"/>
                <w:color w:val="auto"/>
              </w:rPr>
              <w:t>May 2021 -</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5"/>
          </w:tcPr>
          <w:p>
            <w:pPr>
              <w:ind w:left="600"/>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187"/>
        </w:trPr>
        <w:tc>
          <w:tcPr>
            <w:tcW w:w="24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RMB70,000</w:t>
            </w:r>
          </w:p>
        </w:tc>
        <w:tc>
          <w:tcPr>
            <w:tcW w:w="120" w:type="dxa"/>
            <w:vAlign w:val="bottom"/>
          </w:tcPr>
          <w:p>
            <w:pPr>
              <w:spacing w:after="0"/>
              <w:rPr>
                <w:sz w:val="16"/>
                <w:szCs w:val="16"/>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RMB54,911</w:t>
            </w:r>
          </w:p>
        </w:tc>
        <w:tc>
          <w:tcPr>
            <w:tcW w:w="0" w:type="dxa"/>
            <w:vAlign w:val="bottom"/>
          </w:tcPr>
          <w:p>
            <w:pPr>
              <w:spacing w:after="0"/>
              <w:rPr>
                <w:sz w:val="1"/>
                <w:szCs w:val="1"/>
                <w:color w:val="auto"/>
              </w:rPr>
            </w:pPr>
          </w:p>
        </w:tc>
      </w:tr>
      <w:tr>
        <w:trPr>
          <w:trHeight w:val="122"/>
        </w:trPr>
        <w:tc>
          <w:tcPr>
            <w:tcW w:w="2460" w:type="dxa"/>
            <w:vAlign w:val="bottom"/>
            <w:vMerge w:val="restart"/>
          </w:tcPr>
          <w:p>
            <w:pPr>
              <w:spacing w:after="0"/>
              <w:rPr>
                <w:sz w:val="20"/>
                <w:szCs w:val="20"/>
                <w:color w:val="auto"/>
              </w:rPr>
            </w:pPr>
            <w:r>
              <w:rPr>
                <w:rFonts w:ascii="Arial" w:cs="Arial" w:eastAsia="Arial" w:hAnsi="Arial"/>
                <w:sz w:val="18"/>
                <w:szCs w:val="18"/>
                <w:color w:val="auto"/>
              </w:rPr>
              <w:t>June 2021</w:t>
            </w: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3.48%-4.68%</w:t>
            </w: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460" w:type="dxa"/>
            <w:vAlign w:val="bottom"/>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60" w:type="dxa"/>
            <w:vAlign w:val="bottom"/>
            <w:vMerge w:val="restart"/>
          </w:tcPr>
          <w:p>
            <w:pPr>
              <w:spacing w:after="0"/>
              <w:rPr>
                <w:sz w:val="20"/>
                <w:szCs w:val="20"/>
                <w:color w:val="auto"/>
              </w:rPr>
            </w:pPr>
            <w:r>
              <w:rPr>
                <w:rFonts w:ascii="Arial" w:cs="Arial" w:eastAsia="Arial" w:hAnsi="Arial"/>
                <w:sz w:val="18"/>
                <w:szCs w:val="18"/>
                <w:color w:val="auto"/>
              </w:rPr>
              <w:t>April 2021 -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10,654</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8,357</w:t>
            </w:r>
          </w:p>
        </w:tc>
        <w:tc>
          <w:tcPr>
            <w:tcW w:w="0" w:type="dxa"/>
            <w:vAlign w:val="bottom"/>
          </w:tcPr>
          <w:p>
            <w:pPr>
              <w:spacing w:after="0"/>
              <w:rPr>
                <w:sz w:val="1"/>
                <w:szCs w:val="1"/>
                <w:color w:val="auto"/>
              </w:rPr>
            </w:pPr>
          </w:p>
        </w:tc>
      </w:tr>
      <w:tr>
        <w:trPr>
          <w:trHeight w:val="202"/>
        </w:trPr>
        <w:tc>
          <w:tcPr>
            <w:tcW w:w="24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RMB20,000</w:t>
            </w:r>
          </w:p>
        </w:tc>
        <w:tc>
          <w:tcPr>
            <w:tcW w:w="120" w:type="dxa"/>
            <w:vAlign w:val="bottom"/>
          </w:tcPr>
          <w:p>
            <w:pPr>
              <w:spacing w:after="0"/>
              <w:rPr>
                <w:sz w:val="17"/>
                <w:szCs w:val="17"/>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RMB20,000</w:t>
            </w:r>
          </w:p>
        </w:tc>
        <w:tc>
          <w:tcPr>
            <w:tcW w:w="0" w:type="dxa"/>
            <w:vAlign w:val="bottom"/>
          </w:tcPr>
          <w:p>
            <w:pPr>
              <w:spacing w:after="0"/>
              <w:rPr>
                <w:sz w:val="1"/>
                <w:szCs w:val="1"/>
                <w:color w:val="auto"/>
              </w:rPr>
            </w:pPr>
          </w:p>
        </w:tc>
      </w:tr>
      <w:tr>
        <w:trPr>
          <w:trHeight w:val="122"/>
        </w:trPr>
        <w:tc>
          <w:tcPr>
            <w:tcW w:w="2460" w:type="dxa"/>
            <w:vAlign w:val="bottom"/>
            <w:vMerge w:val="restart"/>
          </w:tcPr>
          <w:p>
            <w:pPr>
              <w:spacing w:after="0"/>
              <w:rPr>
                <w:sz w:val="20"/>
                <w:szCs w:val="20"/>
                <w:color w:val="auto"/>
              </w:rPr>
            </w:pPr>
            <w:r>
              <w:rPr>
                <w:rFonts w:ascii="Arial" w:cs="Arial" w:eastAsia="Arial" w:hAnsi="Arial"/>
                <w:sz w:val="18"/>
                <w:szCs w:val="18"/>
                <w:color w:val="auto"/>
              </w:rPr>
              <w:t>May 2021</w:t>
            </w: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3.65%-4.65%</w:t>
            </w: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460" w:type="dxa"/>
            <w:vAlign w:val="bottom"/>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60" w:type="dxa"/>
            <w:vAlign w:val="bottom"/>
            <w:vMerge w:val="restart"/>
          </w:tcPr>
          <w:p>
            <w:pPr>
              <w:spacing w:after="0"/>
              <w:rPr>
                <w:sz w:val="20"/>
                <w:szCs w:val="20"/>
                <w:color w:val="auto"/>
              </w:rPr>
            </w:pPr>
            <w:r>
              <w:rPr>
                <w:rFonts w:ascii="Arial" w:cs="Arial" w:eastAsia="Arial" w:hAnsi="Arial"/>
                <w:sz w:val="18"/>
                <w:szCs w:val="18"/>
                <w:color w:val="auto"/>
              </w:rPr>
              <w:t>April 2021 -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3,044</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02"/>
        </w:trPr>
        <w:tc>
          <w:tcPr>
            <w:tcW w:w="24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RMB80,000</w:t>
            </w:r>
          </w:p>
        </w:tc>
        <w:tc>
          <w:tcPr>
            <w:tcW w:w="120" w:type="dxa"/>
            <w:vAlign w:val="bottom"/>
          </w:tcPr>
          <w:p>
            <w:pPr>
              <w:spacing w:after="0"/>
              <w:rPr>
                <w:sz w:val="17"/>
                <w:szCs w:val="17"/>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RMB41,424</w:t>
            </w:r>
          </w:p>
        </w:tc>
        <w:tc>
          <w:tcPr>
            <w:tcW w:w="0" w:type="dxa"/>
            <w:vAlign w:val="bottom"/>
          </w:tcPr>
          <w:p>
            <w:pPr>
              <w:spacing w:after="0"/>
              <w:rPr>
                <w:sz w:val="1"/>
                <w:szCs w:val="1"/>
                <w:color w:val="auto"/>
              </w:rPr>
            </w:pPr>
          </w:p>
        </w:tc>
      </w:tr>
      <w:tr>
        <w:trPr>
          <w:trHeight w:val="122"/>
        </w:trPr>
        <w:tc>
          <w:tcPr>
            <w:tcW w:w="2460" w:type="dxa"/>
            <w:vAlign w:val="bottom"/>
            <w:vMerge w:val="restart"/>
          </w:tcPr>
          <w:p>
            <w:pPr>
              <w:spacing w:after="0"/>
              <w:rPr>
                <w:sz w:val="20"/>
                <w:szCs w:val="20"/>
                <w:color w:val="auto"/>
              </w:rPr>
            </w:pPr>
            <w:r>
              <w:rPr>
                <w:rFonts w:ascii="Arial" w:cs="Arial" w:eastAsia="Arial" w:hAnsi="Arial"/>
                <w:sz w:val="18"/>
                <w:szCs w:val="18"/>
                <w:color w:val="auto"/>
              </w:rPr>
              <w:t>September 2021</w:t>
            </w: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460" w:type="dxa"/>
            <w:vAlign w:val="bottom"/>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12,176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6,305</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August 2021 -February 2022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RMB80,000</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RMB38,000</w:t>
            </w:r>
          </w:p>
        </w:tc>
        <w:tc>
          <w:tcPr>
            <w:tcW w:w="0" w:type="dxa"/>
            <w:vAlign w:val="bottom"/>
          </w:tcPr>
          <w:p>
            <w:pPr>
              <w:spacing w:after="0"/>
              <w:rPr>
                <w:sz w:val="1"/>
                <w:szCs w:val="1"/>
                <w:color w:val="auto"/>
              </w:rPr>
            </w:pPr>
          </w:p>
        </w:tc>
      </w:tr>
      <w:tr>
        <w:trPr>
          <w:trHeight w:val="230"/>
        </w:trPr>
        <w:tc>
          <w:tcPr>
            <w:tcW w:w="2460" w:type="dxa"/>
            <w:vAlign w:val="bottom"/>
            <w:vMerge w:val="restart"/>
          </w:tcPr>
          <w:p>
            <w:pPr>
              <w:spacing w:after="0"/>
              <w:rPr>
                <w:sz w:val="20"/>
                <w:szCs w:val="20"/>
                <w:color w:val="auto"/>
              </w:rPr>
            </w:pPr>
            <w:r>
              <w:rPr>
                <w:rFonts w:ascii="Arial" w:cs="Arial" w:eastAsia="Arial" w:hAnsi="Arial"/>
                <w:sz w:val="18"/>
                <w:szCs w:val="18"/>
                <w:color w:val="auto"/>
                <w:w w:val="99"/>
              </w:rPr>
              <w:t>Repayable by installments and</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12,176</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02"/>
        </w:trPr>
        <w:tc>
          <w:tcPr>
            <w:tcW w:w="24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w w:val="93"/>
              </w:rPr>
              <w:t>the last installments repayable in</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RMB128,500</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RMB125,108</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November 2030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19,558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19,042</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July 2021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KRW500,000</w:t>
            </w:r>
          </w:p>
        </w:tc>
        <w:tc>
          <w:tcPr>
            <w:tcW w:w="12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58,036</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-2519680</wp:posOffset>
            </wp:positionV>
            <wp:extent cx="71323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-2108200</wp:posOffset>
            </wp:positionV>
            <wp:extent cx="71323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-1696720</wp:posOffset>
            </wp:positionV>
            <wp:extent cx="713232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-1285240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-1010920</wp:posOffset>
            </wp:positionV>
            <wp:extent cx="7132320"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-462280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-170815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6380"/>
          </w:cols>
          <w:pgMar w:left="320" w:top="122" w:right="339" w:bottom="1440" w:gutter="0" w:footer="0" w:header="0"/>
          <w:type w:val="continuous"/>
        </w:sectPr>
      </w:pPr>
    </w:p>
    <w:p>
      <w:pPr>
        <w:spacing w:after="0" w:line="29" w:lineRule="exact"/>
        <w:rPr>
          <w:sz w:val="20"/>
          <w:szCs w:val="20"/>
          <w:color w:val="auto"/>
        </w:rPr>
      </w:pPr>
    </w:p>
    <w:p>
      <w:pPr>
        <w:ind w:left="1140" w:right="60" w:hanging="646"/>
        <w:spacing w:after="0" w:line="25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Converted from RMB to dollars as of March 31, 2021. All of the amounts owing under the line of credit with China Everbright Bank are guaranteed by Dr. David Wang, our Chief Executive Officer, President and Chair of the Board. All of the amounts owing under the line of credit with Bank of Shanghai Pudong Branch are guaranteed by Dr. Wang and CleanChip Technologies LTD, a wholly owned subsidiary of ACM Shanghai. All of the amounts owing under the line of credit with Industrial Bank of Korea are guaranteed by YY Kim, Chief Executive Officer of ACM Research (Korea).</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Government Research and Development Grants. </w:t>
      </w:r>
      <w:r>
        <w:rPr>
          <w:rFonts w:ascii="Arial" w:cs="Arial" w:eastAsia="Arial" w:hAnsi="Arial"/>
          <w:sz w:val="18"/>
          <w:szCs w:val="18"/>
          <w:color w:val="auto"/>
        </w:rPr>
        <w:t>As described under “—Key Components of Results of Operations—PRC Government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Funding,” ACM Shanghai has received research and development grants from local and central PRC governmental authorities. ACM Shanghai received cash payments of $584,000 related to such grants in the first three months of 2021, as compared to received cash payments of $1.9 million in the same period of 2020. Not all grant amounts are received in the year in which a grant is awarded.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i w:val="1"/>
                <w:iCs w:val="1"/>
                <w:color w:val="auto"/>
              </w:rPr>
              <w:t xml:space="preserve">Working Capital. </w:t>
            </w:r>
            <w:r>
              <w:rPr>
                <w:rFonts w:ascii="Arial" w:cs="Arial" w:eastAsia="Arial" w:hAnsi="Arial"/>
                <w:sz w:val="18"/>
                <w:szCs w:val="18"/>
                <w:color w:val="auto"/>
              </w:rPr>
              <w:t>The following table sets forth selected working capital information:</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1"/>
        </w:trPr>
        <w:tc>
          <w:tcPr>
            <w:tcW w:w="10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10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1"/>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286,552</w:t>
            </w:r>
          </w:p>
        </w:tc>
        <w:tc>
          <w:tcPr>
            <w:tcW w:w="8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128,035</w:t>
            </w:r>
          </w:p>
        </w:tc>
        <w:tc>
          <w:tcPr>
            <w:tcW w:w="8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158,517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cash and cash equivalents at March 31, 2021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We incurred $1.6 million in capital expenditures during the three months ended March 31, 2021, versus $0.1 in million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in the same period of 2020. Capital expenditures in the three months ended March 31, 2021 were incurred principally for the addition of production capacity and general maintenance and improvements to our global facilities.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we did not have any significant off-balance sheet arrangements, as defined in Item 303(a)(4)(ii) of Regulation S-K of the Securities and Exchange Commission.</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Risks</w:t>
      </w:r>
    </w:p>
    <w:p>
      <w:pPr>
        <w:spacing w:after="0" w:line="256"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Our market risks and the ways we manage them are summarized in the section captioned “Part II, Item 7A. Quantitative and Qualitative Disclosures About Market Risk” in our Annual Report on Form 10-K for the year ended December 31, 2020. There have been no material changes in the first three months of 2021 to our market risks or to our management of such risks.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company’s disclosure controls and procedures pursuant to Rule 13a-15 under the Securities Exchange Act of 1934, or the Exchange Act, as of December 31, 2020.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The effectiveness of the disclosure controls and procedures is also necessarily limited by the staff and other resources available to management and the geographic diversity of our company’s operations. As a result of the COVID-19 pandemic, beginning in 2020 we have faced additional challenges in operating and monitoring our disclosure controls and procedures as a result of employees working remotely and management travel being limited. In addition, we face potential heightened cybersecurity risks as our level of dependence on our IT networks and related systems increases, stemming from employees working remotely, and the number of malware campaigns and phishing attacks preying on the uncertainties surrounding the COVID</w:t>
      </w:r>
      <w:r>
        <w:rPr>
          <w:rFonts w:ascii="MS PGothic" w:cs="MS PGothic" w:eastAsia="MS PGothic" w:hAnsi="MS PGothic"/>
          <w:sz w:val="17"/>
          <w:szCs w:val="17"/>
          <w:color w:val="auto"/>
        </w:rPr>
        <w:t>‑</w:t>
      </w:r>
      <w:r>
        <w:rPr>
          <w:rFonts w:ascii="Arial" w:cs="Arial" w:eastAsia="Arial" w:hAnsi="Arial"/>
          <w:sz w:val="17"/>
          <w:szCs w:val="17"/>
          <w:color w:val="auto"/>
        </w:rPr>
        <w:t>19 pandemic increases.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as of March 31, 2021, our company’s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 and Remediation Efforts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2021 that have materially affected, or are reasonably likely to materially affect, our internal control over financial reporting. We will continue to review and document our disclosure controls and procedures, including our internal control over financial reporting and may from time to time make changes to enhance their effectiveness and ensure that our systems evolve with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Class Action Lawsuit</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December 21, 2020, a putative class action lawsuit against our company and three of our executive officers was filed in the U.S. District Court for the Northern District of California under the caption </w:t>
      </w:r>
      <w:r>
        <w:rPr>
          <w:rFonts w:ascii="Arial" w:cs="Arial" w:eastAsia="Arial" w:hAnsi="Arial"/>
          <w:sz w:val="17"/>
          <w:szCs w:val="17"/>
          <w:i w:val="1"/>
          <w:iCs w:val="1"/>
          <w:color w:val="auto"/>
        </w:rPr>
        <w:t>Kain v. ACM Research, Inc., et al.</w:t>
      </w:r>
      <w:r>
        <w:rPr>
          <w:rFonts w:ascii="Arial" w:cs="Arial" w:eastAsia="Arial" w:hAnsi="Arial"/>
          <w:sz w:val="17"/>
          <w:szCs w:val="17"/>
          <w:color w:val="auto"/>
        </w:rPr>
        <w:t>, No. 3:20-cv-09241, which we refer to as the Securities Class Action. The complaint alleges claims under Sections 10(b) and 20(a) of the Securities Exchange Act of 1934 and Rule 10b-5 promulgated thereunder, and seeks monetary damages in an unspecified amount as well as costs and expenses incurred in the litigation. On April 15, 2021, the court appointed Mr. Kain as lead plaintiff, finding that no better suited candidates emerged during the statutory sixty-day period following public notice of the lawsuit . Our management believes the claims are without merit and intend to vigorously defend this litigation. We are currently unable to predict the outcome of this lawsuit and therefore cannot determine the likelihood of loss nor estimate a range of possible loss.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From time to time we may become involved in other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set forth below, there were no material changes to the risk factors discussed in Item 1A, “Risk Factors” of Part I in our Annual Report.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could be adversely affected if proposed legislation is adopted regarding improved access to audit and other information and audit inspections of accounting firms, including registered public accounting firms operating in the PRC such as our auditor, or if Nasdaq’s proposals requiring additional criteria to companies operating in “restrictive markets” become effective.</w:t>
      </w:r>
    </w:p>
    <w:p>
      <w:pPr>
        <w:spacing w:after="0" w:line="21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BDO China, our independent registered public accounting firm, is not inspected by the U.S. Public Company Accounting Oversight Board, or PCAOB, as described in “Item 1A. Risk Factors—Regulatory Risks—Our auditor, as a registered public accounting firm operating in the PRC, is not permitted to be inspected by the Public Company Accounting Oversight Board, and consequently investors may be deprived of the benefits of such inspections.” in our Annual Report. We are one of 283 companies named in PCAOB’s list of “Public Companies that are Audit Clients of PCAOB-Registered Firms from Non-U.S. Jurisdictions where the PCAOB is Denied Access to Conduct Inspections.”</w:t>
      </w:r>
    </w:p>
    <w:p>
      <w:pPr>
        <w:spacing w:after="0" w:line="215" w:lineRule="exact"/>
        <w:rPr>
          <w:sz w:val="20"/>
          <w:szCs w:val="20"/>
          <w:color w:val="auto"/>
        </w:rPr>
      </w:pPr>
    </w:p>
    <w:p>
      <w:pPr>
        <w:jc w:val="both"/>
        <w:ind w:left="20"/>
        <w:spacing w:after="0" w:line="271" w:lineRule="auto"/>
        <w:rPr>
          <w:sz w:val="20"/>
          <w:szCs w:val="20"/>
          <w:color w:val="auto"/>
        </w:rPr>
      </w:pPr>
      <w:r>
        <w:rPr>
          <w:rFonts w:ascii="Arial" w:cs="Arial" w:eastAsia="Arial" w:hAnsi="Arial"/>
          <w:sz w:val="17"/>
          <w:szCs w:val="17"/>
          <w:color w:val="auto"/>
        </w:rPr>
        <w:t>On March 24, 2021, the U.S. Securities and Exchange Commission, or SEC, adopted interim final amendments to implement congressionally mandated submission and disclosure required of the U.S. Holding Foreign Companies Accountable Act. These interim final amendments will apply to registrants that the SEC identifies as having filed an annual report on Forms 10-K and other forms with an audit report issued by a registered public accounting firm that is located in a foreign jurisdiction and that the PCAOB has determined it is unable to inspect or investigate completely because of a position taken by an authority in that jurisdiction. The SEC will implement a process for identifying such a registrant and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 This action is the latest in a series of recent proposed actions:</w:t>
      </w:r>
    </w:p>
    <w:p>
      <w:pPr>
        <w:spacing w:after="0" w:line="205"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December 2018 the SEC and the PCAOB issued a joint statement highlighting continued challenges faced by U.S. regulators in their oversight of financial statement audits of U.S.-listed reporting companies with significant operations in the PRC.</w:t>
      </w:r>
    </w:p>
    <w:p>
      <w:pPr>
        <w:spacing w:after="0" w:line="197" w:lineRule="exact"/>
        <w:rPr>
          <w:rFonts w:ascii="Arial" w:cs="Arial" w:eastAsia="Arial" w:hAnsi="Arial"/>
          <w:sz w:val="18"/>
          <w:szCs w:val="18"/>
          <w:color w:val="auto"/>
        </w:rPr>
      </w:pPr>
    </w:p>
    <w:p>
      <w:pPr>
        <w:jc w:val="both"/>
        <w:ind w:left="660" w:hanging="328"/>
        <w:spacing w:after="0" w:line="29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June 2019 a bipartisan group of lawmakers introduced bills in both houses of the U.S. Congress that, if passed, would have required the SEC to maintain a list of foreign reporting companies for which the PCAOB is not able to inspect or investigate an auditor report issued by a foreign public accounting firm. The proposed Ensuring Quality Information and Transparency for Abroad-Based Listings on our Exchanges Act, also referred to as the EQUITABLE Act, would have prescribed increased disclosure requirements for these reporting companies and, beginning in 2025, provided for the delisting from U.S. stock exchanges of reporting companies included on the SEC’s list for three consecutive years.</w:t>
      </w:r>
    </w:p>
    <w:p>
      <w:pPr>
        <w:spacing w:after="0" w:line="188"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May 2020 the U.S. Senate approved a bill entitled the “Holding Foreign Companies Accountable Act,” which, if also approved by the U.S. House of Representatives, would allow the SEC to delist the stocks of foreign companies listed on US exchanges that are audited by firms not allowed to be inspected by the PCAOB.</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660" w:hanging="328"/>
        <w:spacing w:after="0" w:line="271"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May 2020 Nasdaq requested approval by the SEC of proposals that would impact companies with businesses principally administered in jurisdictions defined as “restrictive markets,” which likely would encompass the PRC. These proposals contemplate, among other things, the application of more stringent listing criteria if a listed company’s auditor does not demonstrate a PCAOB inspection record (as is the case with our auditor), employee expertise and training, or geographic or other resources sufficient to perform the company’s audit satisfactorily. Examples of more stringent criteria that Nasdaq could apply include requiring: (a) higher levels of equity, assets, earnings or liquidity than are otherwise needed; (b) that any public offering to be underwritten on a firm commitment basis (involving more due diligence by the underwriter); and (c) the imposition of lock-up restrictions on directors and officers to allow market mechanisms to determine an appropriate price for shares before the insiders could sell. Alternatively, Nasdaq could deny continued listing to a company.</w:t>
      </w:r>
    </w:p>
    <w:p>
      <w:pPr>
        <w:spacing w:after="0" w:line="20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April 2020, the SEC and the PCAOB issued a joint statement highlighting the significant disclosure, financial reporting and other risks associated with emerging market investments, including the PCAOB’s continued inability to inspect audit work papers of auditors in the PRC.</w:t>
      </w:r>
    </w:p>
    <w:p>
      <w:pPr>
        <w:spacing w:after="0" w:line="17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It remains unclear what the SEC’s implementation the process related to the March 2021 interim final amendments will entail or what further actions the SEC, the PCAOB or Nasdaq will take to address these issues and what impact those actions will have on U.S. companies that have significant operations in the PRC and have securities listed on a U.S. stock exchange. Any such actions could materially affect our operations and stock price, including by resulting in our being de-listed from Nasdaq or being required to engage a new audit firm, which would require significant expense and management time.</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three months ended March 31, 2021, we issued, pursuant to the exercise of stock options at a per share exercise price of $0.75 per share, an aggregate of 109,152 shares of Class A common stock that were not registered under the Securities Act of 1933. We believe the offer and sale of those shares were exempt from registration under the Securities Act of 1933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were recorded with respect to the shares. The recipients of the shares were accredited investors under Rule 501 of Regulation D.</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In the following summary, amounts in Renminbi, or RMB, have been translated into U.S. dollars solely for the convenience of the reader. The translations have been made at the conversion rate of RMB 6.4734 to U.S. $1.00 effective as of May 4, 2021, as published by the PRC’s State Administration of Foreign Exchange.</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1, 2021, ACM Shanghai entered into a Plant Lease Contract with Shanghai Shengyu Culture Development Co., Ltd., or the Plant Lease Contract. Pursuant to the Plant Lease Contract, ACM Shanghai is leasing an industrial plant facility of approximately 106,076 square feet located in Shanghai, PRC for the period from February 1, 2021 to January 15, 2023. Under the Plant Lease Contract, ACM Shanghai will pay a monthly rental fee of approximately $69,457, such payment to be made every three months. In accordance with the terms of the Plant Lease Contract, ACM Shanghai will also pay property management fees to the property management company, Shanghai Renlian Real Estate Management Co., Ltd. in the amount of $3,197 per month. ACM Shanghai plans to use the industrial plant facility for semiconductor equipment assembly, storage, and office work purposes.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foregoing summary of the Plant Lease Contract is qualified in its entirety by reference to the text of the Plant Lease Contract, which is being filed as Exhibit 10.01 to this report and is incorporated in this report by reference.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3"/>
              </w:rPr>
              <w:t>Exhibit</w:t>
            </w:r>
          </w:p>
        </w:tc>
        <w:tc>
          <w:tcPr>
            <w:tcW w:w="9740" w:type="dxa"/>
            <w:vAlign w:val="bottom"/>
          </w:tcPr>
          <w:p>
            <w:pPr>
              <w:spacing w:after="0"/>
              <w:rPr>
                <w:sz w:val="18"/>
                <w:szCs w:val="18"/>
                <w:color w:val="auto"/>
              </w:rPr>
            </w:pPr>
          </w:p>
        </w:tc>
      </w:tr>
      <w:tr>
        <w:trPr>
          <w:trHeight w:val="241"/>
        </w:trPr>
        <w:tc>
          <w:tcPr>
            <w:tcW w:w="420" w:type="dxa"/>
            <w:vAlign w:val="bottom"/>
          </w:tcPr>
          <w:p>
            <w:pPr>
              <w:spacing w:after="0"/>
              <w:rPr>
                <w:sz w:val="20"/>
                <w:szCs w:val="20"/>
                <w:color w:val="auto"/>
              </w:rPr>
            </w:pPr>
          </w:p>
        </w:tc>
        <w:tc>
          <w:tcPr>
            <w:tcW w:w="108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9"/>
              </w:rPr>
              <w:t>No.</w:t>
            </w:r>
          </w:p>
        </w:tc>
        <w:tc>
          <w:tcPr>
            <w:tcW w:w="9740" w:type="dxa"/>
            <w:vAlign w:val="bottom"/>
          </w:tcPr>
          <w:p>
            <w:pPr>
              <w:ind w:left="44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740" w:type="dxa"/>
            <w:vAlign w:val="bottom"/>
            <w:tcBorders>
              <w:top w:val="single" w:sz="8" w:color="auto"/>
            </w:tcBorders>
          </w:tcPr>
          <w:p>
            <w:pPr>
              <w:spacing w:after="0"/>
              <w:rPr>
                <w:sz w:val="18"/>
                <w:szCs w:val="18"/>
                <w:color w:val="auto"/>
              </w:rPr>
            </w:pPr>
          </w:p>
        </w:tc>
      </w:tr>
      <w:tr>
        <w:trPr>
          <w:trHeight w:val="175"/>
        </w:trPr>
        <w:tc>
          <w:tcPr>
            <w:tcW w:w="1300" w:type="dxa"/>
            <w:vAlign w:val="bottom"/>
            <w:gridSpan w:val="3"/>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10.</w:t>
              </w:r>
              <w:r>
                <w:rPr>
                  <w:rFonts w:ascii="Arial" w:cs="Arial" w:eastAsia="Arial" w:hAnsi="Arial"/>
                  <w:sz w:val="18"/>
                  <w:szCs w:val="18"/>
                  <w:u w:val="single" w:color="auto"/>
                  <w:color w:val="0000EE"/>
                </w:rPr>
                <w:t>01*+±</w:t>
              </w:r>
            </w:hyperlink>
          </w:p>
        </w:tc>
        <w:tc>
          <w:tcPr>
            <w:tcW w:w="200" w:type="dxa"/>
            <w:vAlign w:val="bottom"/>
            <w:shd w:val="clear" w:color="auto" w:fill="CCEEFF"/>
          </w:tcPr>
          <w:p>
            <w:pPr>
              <w:spacing w:after="0"/>
              <w:rPr>
                <w:sz w:val="15"/>
                <w:szCs w:val="15"/>
                <w:color w:val="auto"/>
              </w:rPr>
            </w:pPr>
          </w:p>
        </w:tc>
        <w:tc>
          <w:tcPr>
            <w:tcW w:w="9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Plant Lease Contract dated as of February 1, 2021 between ACM Research (Shanghai), Inc. and Shanghai Shengyu Culture</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9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Development Co., Ltd.</w:t>
            </w:r>
          </w:p>
        </w:tc>
      </w:tr>
      <w:tr>
        <w:trPr>
          <w:trHeight w:val="176"/>
        </w:trPr>
        <w:tc>
          <w:tcPr>
            <w:tcW w:w="700" w:type="dxa"/>
            <w:vAlign w:val="bottom"/>
            <w:gridSpan w:val="2"/>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31.</w:t>
              </w:r>
              <w:r>
                <w:rPr>
                  <w:rFonts w:ascii="Arial" w:cs="Arial" w:eastAsia="Arial" w:hAnsi="Arial"/>
                  <w:sz w:val="18"/>
                  <w:szCs w:val="18"/>
                  <w:u w:val="single" w:color="auto"/>
                  <w:color w:val="0000EE"/>
                </w:rPr>
                <w:t>01</w:t>
              </w:r>
            </w:hyperlink>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40" w:type="dxa"/>
            <w:vAlign w:val="bottom"/>
          </w:tcPr>
          <w:p>
            <w:pPr>
              <w:spacing w:after="0" w:line="176" w:lineRule="exact"/>
              <w:rPr>
                <w:sz w:val="20"/>
                <w:szCs w:val="20"/>
                <w:color w:val="auto"/>
              </w:rPr>
            </w:pPr>
            <w:r>
              <w:rPr>
                <w:rFonts w:ascii="Arial" w:cs="Arial" w:eastAsia="Arial" w:hAnsi="Arial"/>
                <w:sz w:val="18"/>
                <w:szCs w:val="18"/>
                <w:color w:val="auto"/>
                <w:w w:val="92"/>
              </w:rPr>
              <w:t>Certification of Principal Executive Officer Pursuant to Rules 13a-14(a) and 15d-14(a) under the Securities Exchange Act of 1934, as</w:t>
            </w:r>
          </w:p>
        </w:tc>
      </w:tr>
      <w:tr>
        <w:trPr>
          <w:trHeight w:val="237"/>
        </w:trPr>
        <w:tc>
          <w:tcPr>
            <w:tcW w:w="42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175"/>
        </w:trPr>
        <w:tc>
          <w:tcPr>
            <w:tcW w:w="700" w:type="dxa"/>
            <w:vAlign w:val="bottom"/>
            <w:gridSpan w:val="2"/>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31.</w:t>
              </w:r>
              <w:r>
                <w:rPr>
                  <w:rFonts w:ascii="Arial" w:cs="Arial" w:eastAsia="Arial" w:hAnsi="Arial"/>
                  <w:sz w:val="18"/>
                  <w:szCs w:val="18"/>
                  <w:u w:val="single" w:color="auto"/>
                  <w:color w:val="0000EE"/>
                </w:rPr>
                <w:t>02</w:t>
              </w:r>
            </w:hyperlink>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Certification of Principal Financial Officer Pursuant to Rules 13a-14(a) and 15d-14(a) under the Securities Exchange Act of 1934, as</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9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175"/>
        </w:trPr>
        <w:tc>
          <w:tcPr>
            <w:tcW w:w="700" w:type="dxa"/>
            <w:vAlign w:val="bottom"/>
            <w:gridSpan w:val="2"/>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32.</w:t>
              </w:r>
              <w:r>
                <w:rPr>
                  <w:rFonts w:ascii="Arial" w:cs="Arial" w:eastAsia="Arial" w:hAnsi="Arial"/>
                  <w:sz w:val="18"/>
                  <w:szCs w:val="18"/>
                  <w:u w:val="single" w:color="auto"/>
                  <w:color w:val="0000EE"/>
                </w:rPr>
                <w:t>01</w:t>
              </w:r>
            </w:hyperlink>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40" w:type="dxa"/>
            <w:vAlign w:val="bottom"/>
          </w:tcPr>
          <w:p>
            <w:pPr>
              <w:spacing w:after="0" w:line="176" w:lineRule="exact"/>
              <w:rPr>
                <w:sz w:val="20"/>
                <w:szCs w:val="20"/>
                <w:color w:val="auto"/>
              </w:rPr>
            </w:pPr>
            <w:r>
              <w:rPr>
                <w:rFonts w:ascii="Arial" w:cs="Arial" w:eastAsia="Arial" w:hAnsi="Arial"/>
                <w:sz w:val="18"/>
                <w:szCs w:val="18"/>
                <w:color w:val="auto"/>
                <w:w w:val="93"/>
              </w:rPr>
              <w:t>Certification of Principal Executive Officer and Principal Financial Officer Pursuant to 18 U.S.C. Section 1350, as Adopted Pursuant</w:t>
            </w:r>
          </w:p>
        </w:tc>
      </w:tr>
      <w:tr>
        <w:trPr>
          <w:trHeight w:val="237"/>
        </w:trPr>
        <w:tc>
          <w:tcPr>
            <w:tcW w:w="42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tcPr>
          <w:p>
            <w:pPr>
              <w:spacing w:after="0"/>
              <w:rPr>
                <w:sz w:val="20"/>
                <w:szCs w:val="20"/>
                <w:color w:val="auto"/>
              </w:rPr>
            </w:pPr>
            <w:r>
              <w:rPr>
                <w:rFonts w:ascii="Arial" w:cs="Arial" w:eastAsia="Arial" w:hAnsi="Arial"/>
                <w:sz w:val="18"/>
                <w:szCs w:val="18"/>
                <w:color w:val="auto"/>
              </w:rPr>
              <w:t>to Section 906 of the Sarbanes-Oxley Act of 2002</w:t>
            </w:r>
          </w:p>
        </w:tc>
      </w:tr>
      <w:tr>
        <w:trPr>
          <w:trHeight w:val="202"/>
        </w:trPr>
        <w:tc>
          <w:tcPr>
            <w:tcW w:w="15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9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Inline XBRL Instance Document (the instance document does not appear in the Interactive Data File because its XBRL tags are</w:t>
            </w:r>
          </w:p>
        </w:tc>
      </w:tr>
      <w:tr>
        <w:trPr>
          <w:trHeight w:val="230"/>
        </w:trPr>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150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740" w:type="dxa"/>
            <w:vAlign w:val="bottom"/>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101.CAL</w:t>
            </w: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500" w:type="dxa"/>
            <w:vAlign w:val="bottom"/>
            <w:gridSpan w:val="4"/>
          </w:tcPr>
          <w:p>
            <w:pPr>
              <w:spacing w:after="0"/>
              <w:rPr>
                <w:sz w:val="20"/>
                <w:szCs w:val="20"/>
                <w:color w:val="auto"/>
              </w:rPr>
            </w:pPr>
            <w:r>
              <w:rPr>
                <w:rFonts w:ascii="Arial" w:cs="Arial" w:eastAsia="Arial" w:hAnsi="Arial"/>
                <w:sz w:val="18"/>
                <w:szCs w:val="18"/>
                <w:color w:val="auto"/>
              </w:rPr>
              <w:t>101.DEF</w:t>
            </w:r>
          </w:p>
        </w:tc>
        <w:tc>
          <w:tcPr>
            <w:tcW w:w="974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101.LAB</w:t>
            </w: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500" w:type="dxa"/>
            <w:vAlign w:val="bottom"/>
            <w:gridSpan w:val="4"/>
          </w:tcPr>
          <w:p>
            <w:pPr>
              <w:spacing w:after="0"/>
              <w:rPr>
                <w:sz w:val="20"/>
                <w:szCs w:val="20"/>
                <w:color w:val="auto"/>
              </w:rPr>
            </w:pPr>
            <w:r>
              <w:rPr>
                <w:rFonts w:ascii="Arial" w:cs="Arial" w:eastAsia="Arial" w:hAnsi="Arial"/>
                <w:sz w:val="18"/>
                <w:szCs w:val="18"/>
                <w:color w:val="auto"/>
              </w:rPr>
              <w:t>101.PRE</w:t>
            </w:r>
          </w:p>
        </w:tc>
        <w:tc>
          <w:tcPr>
            <w:tcW w:w="974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29"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Unofficial English translation of original document prepared in Mandarin Chinese.</w:t>
      </w:r>
    </w:p>
    <w:p>
      <w:pPr>
        <w:spacing w:after="0" w:line="23" w:lineRule="exact"/>
        <w:rPr>
          <w:sz w:val="20"/>
          <w:szCs w:val="20"/>
          <w:color w:val="auto"/>
        </w:rPr>
      </w:pPr>
    </w:p>
    <w:p>
      <w:pPr>
        <w:ind w:left="500" w:hanging="492"/>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annexes have been omitted pursuant to Item 601(a)(5) of Regulation S-K. A copy of any omitted exhibit will be furnished to the Securities Exchange Commission or its staff upon request.</w:t>
      </w:r>
    </w:p>
    <w:p>
      <w:pPr>
        <w:spacing w:after="0" w:line="1"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information redacted and replaced with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7800" w:type="dxa"/>
            <w:vAlign w:val="bottom"/>
            <w:gridSpan w:val="3"/>
          </w:tcPr>
          <w:p>
            <w:pPr>
              <w:ind w:left="2200"/>
              <w:spacing w:after="0"/>
              <w:rPr>
                <w:sz w:val="20"/>
                <w:szCs w:val="20"/>
                <w:color w:val="auto"/>
              </w:rPr>
            </w:pPr>
            <w:r>
              <w:rPr>
                <w:rFonts w:ascii="Arial" w:cs="Arial" w:eastAsia="Arial" w:hAnsi="Arial"/>
                <w:sz w:val="18"/>
                <w:szCs w:val="18"/>
                <w:color w:val="auto"/>
              </w:rPr>
              <w:t>ACM RESEARCH, INC.</w:t>
            </w: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Date: May 7, 2021</w:t>
            </w:r>
          </w:p>
        </w:tc>
        <w:tc>
          <w:tcPr>
            <w:tcW w:w="7800" w:type="dxa"/>
            <w:vAlign w:val="bottom"/>
            <w:gridSpan w:val="3"/>
          </w:tcPr>
          <w:p>
            <w:pPr>
              <w:ind w:left="2200"/>
              <w:spacing w:after="0"/>
              <w:rPr>
                <w:sz w:val="20"/>
                <w:szCs w:val="20"/>
                <w:color w:val="auto"/>
              </w:rPr>
            </w:pPr>
            <w:r>
              <w:rPr>
                <w:rFonts w:ascii="Arial" w:cs="Arial" w:eastAsia="Arial" w:hAnsi="Arial"/>
                <w:sz w:val="18"/>
                <w:szCs w:val="18"/>
                <w:color w:val="auto"/>
              </w:rPr>
              <w:t>By:  /s/ Mark McKechnie</w:t>
            </w:r>
          </w:p>
        </w:tc>
      </w:tr>
      <w:tr>
        <w:trPr>
          <w:trHeight w:val="202"/>
        </w:trPr>
        <w:tc>
          <w:tcPr>
            <w:tcW w:w="34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McKechnie</w:t>
            </w:r>
          </w:p>
        </w:tc>
        <w:tc>
          <w:tcPr>
            <w:tcW w:w="1300" w:type="dxa"/>
            <w:vAlign w:val="bottom"/>
          </w:tcPr>
          <w:p>
            <w:pPr>
              <w:spacing w:after="0"/>
              <w:rPr>
                <w:sz w:val="17"/>
                <w:szCs w:val="17"/>
                <w:color w:val="auto"/>
              </w:rPr>
            </w:pPr>
          </w:p>
        </w:tc>
      </w:tr>
      <w:tr>
        <w:trPr>
          <w:trHeight w:val="216"/>
        </w:trPr>
        <w:tc>
          <w:tcPr>
            <w:tcW w:w="3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Chief Financial Officer, Executive Vice President and Treasurer</w:t>
            </w:r>
          </w:p>
        </w:tc>
      </w:tr>
      <w:tr>
        <w:trPr>
          <w:trHeight w:val="230"/>
        </w:trPr>
        <w:tc>
          <w:tcPr>
            <w:tcW w:w="34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702"/>
        </w:trPr>
        <w:tc>
          <w:tcPr>
            <w:tcW w:w="3440" w:type="dxa"/>
            <w:vAlign w:val="bottom"/>
          </w:tcPr>
          <w:p>
            <w:pPr>
              <w:spacing w:after="0"/>
              <w:rPr>
                <w:sz w:val="24"/>
                <w:szCs w:val="24"/>
                <w:color w:val="auto"/>
              </w:rPr>
            </w:pPr>
          </w:p>
        </w:tc>
        <w:tc>
          <w:tcPr>
            <w:tcW w:w="2660" w:type="dxa"/>
            <w:vAlign w:val="bottom"/>
          </w:tcPr>
          <w:p>
            <w:pPr>
              <w:jc w:val="right"/>
              <w:ind w:right="290"/>
              <w:spacing w:after="0"/>
              <w:rPr>
                <w:sz w:val="20"/>
                <w:szCs w:val="20"/>
                <w:color w:val="auto"/>
              </w:rPr>
            </w:pPr>
            <w:r>
              <w:rPr>
                <w:rFonts w:ascii="Arial" w:cs="Arial" w:eastAsia="Arial" w:hAnsi="Arial"/>
                <w:sz w:val="18"/>
                <w:szCs w:val="18"/>
                <w:color w:val="auto"/>
              </w:rPr>
              <w:t>50</w:t>
            </w:r>
          </w:p>
        </w:tc>
        <w:tc>
          <w:tcPr>
            <w:tcW w:w="3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02"/>
        </w:trPr>
        <w:tc>
          <w:tcPr>
            <w:tcW w:w="3440" w:type="dxa"/>
            <w:vAlign w:val="bottom"/>
            <w:tcBorders>
              <w:bottom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Plant Lease Contract</w:t>
      </w:r>
    </w:p>
    <w:p>
      <w:pPr>
        <w:spacing w:after="0" w:line="23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22"/>
          <w:szCs w:val="22"/>
          <w:b w:val="1"/>
          <w:bCs w:val="1"/>
          <w:color w:val="auto"/>
        </w:rPr>
        <w:t>(Contract No.: SWH (2021) No.</w:t>
      </w:r>
      <w:r>
        <w:rPr>
          <w:sz w:val="20"/>
          <w:szCs w:val="20"/>
          <w:color w:val="auto"/>
        </w:rPr>
        <w:tab/>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Party A (Lessor): Shanghai Shengyu Culture Development Co., Ltd.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Address: No.185 Zhangjiang Road, Pudong New Area, Shanghai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Post Code: 201203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MINGFU LU</w:t>
      </w:r>
    </w:p>
    <w:p>
      <w:pPr>
        <w:spacing w:after="0" w:line="233"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color w:val="auto"/>
        </w:rPr>
        <w:t>Contact: MIN MIAO</w:t>
        <w:tab/>
        <w:t>Tel.: [***]</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Party B (Lessee): ACM Research (Shanghai),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Address: Building 4, No.1690 Cailun Road, Zhangjiang, Pudong, Shanghai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Post Code: 201203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HUI WANG</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Contact: JIAN WANG  Tel: [***]</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accordance with the Contract Law of the People’s Republic of China, the Regulations of Shanghai Municipality on House Leasing and other laws and regulations, Party A and Party B, on the basis of equality, voluntariness, fairness and good faith, through negotiation, hereby enter into this Contract with respect to the lease of the plant, which is legally tenantable, to Party B by Party 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Article 1 Overview of the Plant on Lease</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1.1 The plant leased by Party A to Party B is located in </w:t>
      </w:r>
      <w:r>
        <w:rPr>
          <w:rFonts w:ascii="Arial" w:cs="Arial" w:eastAsia="Arial" w:hAnsi="Arial"/>
          <w:sz w:val="22"/>
          <w:szCs w:val="22"/>
          <w:u w:val="single" w:color="auto"/>
          <w:color w:val="auto"/>
        </w:rPr>
        <w:t>the whole Building 4, No. 365 Chuanhong Road, Shanghai</w:t>
      </w:r>
      <w:r>
        <w:rPr>
          <w:rFonts w:ascii="Arial" w:cs="Arial" w:eastAsia="Arial" w:hAnsi="Arial"/>
          <w:sz w:val="22"/>
          <w:szCs w:val="22"/>
          <w:color w:val="auto"/>
        </w:rPr>
        <w:t xml:space="preserve"> (the “Plant”). The Plant has a total rental floor area of </w:t>
      </w:r>
      <w:r>
        <w:rPr>
          <w:rFonts w:ascii="Arial" w:cs="Arial" w:eastAsia="Arial" w:hAnsi="Arial"/>
          <w:sz w:val="22"/>
          <w:szCs w:val="22"/>
          <w:u w:val="single" w:color="auto"/>
          <w:color w:val="auto"/>
        </w:rPr>
        <w:t>9,854.76</w:t>
      </w:r>
      <w:r>
        <w:rPr>
          <w:rFonts w:ascii="Arial" w:cs="Arial" w:eastAsia="Arial" w:hAnsi="Arial"/>
          <w:sz w:val="22"/>
          <w:szCs w:val="22"/>
          <w:color w:val="auto"/>
        </w:rPr>
        <w:t xml:space="preserve"> square meters (subject to the area approved in the certificate of real estate ownership), of which the area of the first floor is 4,734.3 square meters, and the area of the second floor is 5,120.46 square meters. The corresponding plans are shown in Annex II hereto.</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1.2 Party A, as the owner of the Plant, establishes a leasing relationship with Party B. Before execution of this Contract, Party A has presented to Party B the Certificate of Land Use Right and the Certificate of Real Estate Ownership concerning the Plant (see Annex I hereto for the said Certificate of Real Estate Ownership No. [HFDPZ (2011)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9" w:name="page50"/>
    <w:bookmarkEnd w:id="49"/>
    <w:p>
      <w:pPr>
        <w:jc w:val="both"/>
        <w:ind w:right="20"/>
        <w:spacing w:after="0" w:line="251" w:lineRule="auto"/>
        <w:rPr>
          <w:sz w:val="20"/>
          <w:szCs w:val="20"/>
          <w:color w:val="auto"/>
        </w:rPr>
      </w:pPr>
      <w:r>
        <w:rPr>
          <w:rFonts w:ascii="Arial" w:cs="Arial" w:eastAsia="Arial" w:hAnsi="Arial"/>
          <w:sz w:val="22"/>
          <w:szCs w:val="22"/>
          <w:color w:val="auto"/>
        </w:rPr>
        <w:t>No. 068242], and has informed Party B that the land corresponding to the Plant has been mortgaged while providing the Commitment on Mortgage.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Article 2 Use Nature and Production Purpose of the Leased Plant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2.1 The Plant shall, in nature, be used for production as an </w:t>
      </w:r>
      <w:r>
        <w:rPr>
          <w:rFonts w:ascii="Arial" w:cs="Arial" w:eastAsia="Arial" w:hAnsi="Arial"/>
          <w:sz w:val="22"/>
          <w:szCs w:val="22"/>
          <w:u w:val="single" w:color="auto"/>
          <w:color w:val="auto"/>
        </w:rPr>
        <w:t>industrial plant</w:t>
      </w:r>
      <w:r>
        <w:rPr>
          <w:rFonts w:ascii="Arial" w:cs="Arial" w:eastAsia="Arial" w:hAnsi="Arial"/>
          <w:sz w:val="22"/>
          <w:szCs w:val="22"/>
          <w:color w:val="auto"/>
        </w:rPr>
        <w:t>.</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2.2 Party A has checked the Business License and corresponding production/operation qualification certificates of Party B. Party B undertakes to lease the Plant from Party A for </w:t>
      </w:r>
      <w:r>
        <w:rPr>
          <w:rFonts w:ascii="Arial" w:cs="Arial" w:eastAsia="Arial" w:hAnsi="Arial"/>
          <w:sz w:val="19"/>
          <w:szCs w:val="19"/>
          <w:u w:val="single" w:color="auto"/>
          <w:color w:val="auto"/>
        </w:rPr>
        <w:t>semiconductor equipment assembly, storage and office work</w:t>
      </w:r>
      <w:r>
        <w:rPr>
          <w:rFonts w:ascii="Arial" w:cs="Arial" w:eastAsia="Arial" w:hAnsi="Arial"/>
          <w:sz w:val="19"/>
          <w:szCs w:val="19"/>
          <w:color w:val="auto"/>
        </w:rPr>
        <w:t xml:space="preserve"> in strict accordance with the approved production and business scope as well as the production and use nature of the Plant.</w:t>
      </w:r>
    </w:p>
    <w:p>
      <w:pPr>
        <w:spacing w:after="0" w:line="16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2.3 Party B guarantees that during the lease term, without the written consent of Party A and the approval of safety production supervision, fire control and other relevant authorities according to the regulations, it will not change the production and use nature of the Plant for product production and business activities other than those specified in the preceding paragraph.</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Article 3 Delivery Date and Lease Term</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3.1 Both Parties agree that Party A shall deliver to Party B the second floor of the Plant before </w:t>
      </w:r>
      <w:r>
        <w:rPr>
          <w:rFonts w:ascii="Arial" w:cs="Arial" w:eastAsia="Arial" w:hAnsi="Arial"/>
          <w:sz w:val="19"/>
          <w:szCs w:val="19"/>
          <w:u w:val="single" w:color="auto"/>
          <w:color w:val="auto"/>
        </w:rPr>
        <w:t>February 1, 2021</w:t>
      </w:r>
      <w:r>
        <w:rPr>
          <w:rFonts w:ascii="Arial" w:cs="Arial" w:eastAsia="Arial" w:hAnsi="Arial"/>
          <w:sz w:val="19"/>
          <w:szCs w:val="19"/>
          <w:color w:val="auto"/>
        </w:rPr>
        <w:t xml:space="preserve"> and the first floor thereof before </w:t>
      </w:r>
      <w:r>
        <w:rPr>
          <w:rFonts w:ascii="Arial" w:cs="Arial" w:eastAsia="Arial" w:hAnsi="Arial"/>
          <w:sz w:val="19"/>
          <w:szCs w:val="19"/>
          <w:u w:val="single" w:color="auto"/>
          <w:color w:val="auto"/>
        </w:rPr>
        <w:t>March 1, 2021</w:t>
      </w:r>
      <w:r>
        <w:rPr>
          <w:rFonts w:ascii="Arial" w:cs="Arial" w:eastAsia="Arial" w:hAnsi="Arial"/>
          <w:sz w:val="19"/>
          <w:szCs w:val="19"/>
          <w:color w:val="auto"/>
        </w:rPr>
        <w:t xml:space="preserve">. The rent-free period shall last from </w:t>
      </w:r>
      <w:r>
        <w:rPr>
          <w:rFonts w:ascii="Arial" w:cs="Arial" w:eastAsia="Arial" w:hAnsi="Arial"/>
          <w:sz w:val="19"/>
          <w:szCs w:val="19"/>
          <w:u w:val="single" w:color="auto"/>
          <w:color w:val="auto"/>
        </w:rPr>
        <w:t>March 1, 2021</w:t>
      </w:r>
      <w:r>
        <w:rPr>
          <w:rFonts w:ascii="Arial" w:cs="Arial" w:eastAsia="Arial" w:hAnsi="Arial"/>
          <w:sz w:val="19"/>
          <w:szCs w:val="19"/>
          <w:color w:val="auto"/>
        </w:rPr>
        <w:t xml:space="preserve"> to </w:t>
      </w:r>
      <w:r>
        <w:rPr>
          <w:rFonts w:ascii="Arial" w:cs="Arial" w:eastAsia="Arial" w:hAnsi="Arial"/>
          <w:sz w:val="19"/>
          <w:szCs w:val="19"/>
          <w:u w:val="single" w:color="auto"/>
          <w:color w:val="auto"/>
        </w:rPr>
        <w:t>April 10, 2021</w:t>
      </w:r>
      <w:r>
        <w:rPr>
          <w:rFonts w:ascii="Arial" w:cs="Arial" w:eastAsia="Arial" w:hAnsi="Arial"/>
          <w:sz w:val="19"/>
          <w:szCs w:val="19"/>
          <w:color w:val="auto"/>
        </w:rPr>
        <w:t xml:space="preserve"> for the first floor, and from </w:t>
      </w:r>
      <w:r>
        <w:rPr>
          <w:rFonts w:ascii="Arial" w:cs="Arial" w:eastAsia="Arial" w:hAnsi="Arial"/>
          <w:sz w:val="19"/>
          <w:szCs w:val="19"/>
          <w:u w:val="single" w:color="auto"/>
          <w:color w:val="auto"/>
        </w:rPr>
        <w:t>February 1, 2021</w:t>
      </w:r>
      <w:r>
        <w:rPr>
          <w:rFonts w:ascii="Arial" w:cs="Arial" w:eastAsia="Arial" w:hAnsi="Arial"/>
          <w:sz w:val="19"/>
          <w:szCs w:val="19"/>
          <w:color w:val="auto"/>
        </w:rPr>
        <w:t xml:space="preserve"> to </w:t>
      </w:r>
      <w:r>
        <w:rPr>
          <w:rFonts w:ascii="Arial" w:cs="Arial" w:eastAsia="Arial" w:hAnsi="Arial"/>
          <w:sz w:val="19"/>
          <w:szCs w:val="19"/>
          <w:u w:val="single" w:color="auto"/>
          <w:color w:val="auto"/>
        </w:rPr>
        <w:t>March 31, 2021</w:t>
      </w:r>
      <w:r>
        <w:rPr>
          <w:rFonts w:ascii="Arial" w:cs="Arial" w:eastAsia="Arial" w:hAnsi="Arial"/>
          <w:sz w:val="19"/>
          <w:szCs w:val="19"/>
          <w:color w:val="auto"/>
        </w:rPr>
        <w:t xml:space="preserve"> for the second floor. During the rent-free period, the </w:t>
      </w:r>
      <w:r>
        <w:rPr>
          <w:rFonts w:ascii="Arial" w:cs="Arial" w:eastAsia="Arial" w:hAnsi="Arial"/>
          <w:sz w:val="19"/>
          <w:szCs w:val="19"/>
          <w:u w:val="single" w:color="auto"/>
          <w:color w:val="auto"/>
        </w:rPr>
        <w:t>water, electricity, gas and other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public utilities expenses and property management fees</w:t>
      </w:r>
      <w:r>
        <w:rPr>
          <w:rFonts w:ascii="Arial" w:cs="Arial" w:eastAsia="Arial" w:hAnsi="Arial"/>
          <w:sz w:val="19"/>
          <w:szCs w:val="19"/>
          <w:color w:val="auto"/>
        </w:rPr>
        <w:t xml:space="preserve">, etc., incurred in the use of the Plant shall be for the account of Party B. On this regard, the property management fees shall be payable from March 1, 2021 as to the first floor, and from February 1, 2021 as to the second floor. The lease term shall commence from </w:t>
      </w:r>
      <w:r>
        <w:rPr>
          <w:rFonts w:ascii="Arial" w:cs="Arial" w:eastAsia="Arial" w:hAnsi="Arial"/>
          <w:sz w:val="19"/>
          <w:szCs w:val="19"/>
          <w:u w:val="single" w:color="auto"/>
          <w:color w:val="auto"/>
        </w:rPr>
        <w:t>February 1, 2021</w:t>
      </w:r>
      <w:r>
        <w:rPr>
          <w:rFonts w:ascii="Arial" w:cs="Arial" w:eastAsia="Arial" w:hAnsi="Arial"/>
          <w:sz w:val="19"/>
          <w:szCs w:val="19"/>
          <w:color w:val="auto"/>
        </w:rPr>
        <w:t xml:space="preserve"> and end on </w:t>
      </w:r>
      <w:r>
        <w:rPr>
          <w:rFonts w:ascii="Arial" w:cs="Arial" w:eastAsia="Arial" w:hAnsi="Arial"/>
          <w:sz w:val="19"/>
          <w:szCs w:val="19"/>
          <w:u w:val="single" w:color="auto"/>
          <w:color w:val="auto"/>
        </w:rPr>
        <w:t>January 15, 2023</w:t>
      </w:r>
      <w:r>
        <w:rPr>
          <w:rFonts w:ascii="Arial" w:cs="Arial" w:eastAsia="Arial" w:hAnsi="Arial"/>
          <w:sz w:val="19"/>
          <w:szCs w:val="19"/>
          <w:color w:val="auto"/>
        </w:rPr>
        <w:t>.</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3.2 Upon expiration of the lease term, Party B shall re-deliver the Plant as scheduled. Party B shall, if it needs to renew the lease, submit a written request for renewal to Party A three months before the expiration of the lease term. With the consent of Party A, both Parties shall enter into a separate lease agreement on the renewal. Party A agrees to fix the renewal rent of the Plant after re-negotiation according to the market price, and that Party B has the priority to renew the lease under the same lease conditions.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Article 4 Rent, Payment Method and Time Limit</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4.1 Both Parties agree that the rent of the Plant shall be RMB1.5 per square meter per day. Accordingly, the monthly rent including tax shall be RMB449,623 (in words: Renminbi Four Hundred and Forty Nine Thousand Six Hundred and Twenty Three only), on the basis of 365 days a year.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jc w:val="both"/>
        <w:spacing w:after="0" w:line="251" w:lineRule="auto"/>
        <w:rPr>
          <w:sz w:val="20"/>
          <w:szCs w:val="20"/>
          <w:color w:val="auto"/>
        </w:rPr>
      </w:pPr>
      <w:r>
        <w:rPr>
          <w:rFonts w:ascii="Arial" w:cs="Arial" w:eastAsia="Arial" w:hAnsi="Arial"/>
          <w:sz w:val="22"/>
          <w:szCs w:val="22"/>
          <w:color w:val="auto"/>
        </w:rPr>
        <w:t>Party A shall, within 3 days after receiving the rent of the Plant, issue the rent-related invoice (in form of special VAT invoice) to Party B.</w:t>
      </w:r>
    </w:p>
    <w:p>
      <w:pPr>
        <w:spacing w:after="0" w:line="20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4.2 During the lease term, the rent shall be paid on a three-month period basis. Both Parties agree that Party B is not required to pay any rent to Party A during the rent-free period.</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Within 10 working days upon execution hereof, Party B shall pay Party A the “deposit” (as defined in Article 5) and the property management fees (as defined in the “Supplementary Agreement” and “Annex III”). From March 16, 2021, Party B shall pay Party A the rent of the next period on schedule. The first-period rent shall be RMB1,277,854 (in words: Renminbi One Million Two Hundred and Seventy Seven Thousand Eight Hundred and Fifty Four only). Starting from the second period, the rent for each period comprising three months shall total to RMB</w:t>
      </w:r>
      <w:r>
        <w:rPr>
          <w:rFonts w:ascii="Arial" w:cs="Arial" w:eastAsia="Arial" w:hAnsi="Arial"/>
          <w:sz w:val="21"/>
          <w:szCs w:val="21"/>
          <w:u w:val="single" w:color="auto"/>
          <w:color w:val="auto"/>
        </w:rPr>
        <w:t>1,348,869</w:t>
      </w:r>
      <w:r>
        <w:rPr>
          <w:rFonts w:ascii="Arial" w:cs="Arial" w:eastAsia="Arial" w:hAnsi="Arial"/>
          <w:sz w:val="21"/>
          <w:szCs w:val="21"/>
          <w:color w:val="auto"/>
        </w:rPr>
        <w:t xml:space="preserve"> (</w:t>
      </w:r>
      <w:r>
        <w:rPr>
          <w:rFonts w:ascii="Arial" w:cs="Arial" w:eastAsia="Arial" w:hAnsi="Arial"/>
          <w:sz w:val="21"/>
          <w:szCs w:val="21"/>
          <w:u w:val="single" w:color="auto"/>
          <w:color w:val="auto"/>
        </w:rPr>
        <w:t>in words: Renminbi One Million Three Hundred and Forty</w:t>
      </w:r>
      <w:r>
        <w:rPr>
          <w:rFonts w:ascii="Arial" w:cs="Arial" w:eastAsia="Arial" w:hAnsi="Arial"/>
          <w:sz w:val="21"/>
          <w:szCs w:val="21"/>
          <w:color w:val="auto"/>
        </w:rPr>
        <w:t xml:space="preserve"> </w:t>
      </w:r>
      <w:r>
        <w:rPr>
          <w:rFonts w:ascii="Arial" w:cs="Arial" w:eastAsia="Arial" w:hAnsi="Arial"/>
          <w:sz w:val="21"/>
          <w:szCs w:val="21"/>
          <w:u w:val="single" w:color="auto"/>
          <w:color w:val="auto"/>
        </w:rPr>
        <w:t>Eight Thousand Eight Hundred and Sixty Nine</w:t>
      </w:r>
      <w:r>
        <w:rPr>
          <w:rFonts w:ascii="Arial" w:cs="Arial" w:eastAsia="Arial" w:hAnsi="Arial"/>
          <w:sz w:val="21"/>
          <w:szCs w:val="21"/>
          <w:color w:val="auto"/>
        </w:rPr>
        <w:t xml:space="preserve"> only). Party B shall, 10 days before the expiration of the previous period, pay Party A the rent for the next period in a lump sum, or shall, in case of delay in the payment, be subject to a late fee at 0.5% of the then-current daily rent for each day of delay. For the schedule and amount of rent payment, please refer to Annex III “Details of Rent Payment”.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4.3 Party B shall remit the rent to the following bank account of Party A </w:t>
      </w:r>
      <w:r>
        <w:rPr>
          <w:rFonts w:ascii="Arial" w:cs="Arial" w:eastAsia="Arial" w:hAnsi="Arial"/>
          <w:sz w:val="22"/>
          <w:szCs w:val="22"/>
          <w:u w:val="single" w:color="auto"/>
          <w:color w:val="auto"/>
        </w:rPr>
        <w:t>by check or transfer</w:t>
      </w:r>
      <w:r>
        <w:rPr>
          <w:rFonts w:ascii="Arial" w:cs="Arial" w:eastAsia="Arial" w:hAnsi="Arial"/>
          <w:sz w:val="22"/>
          <w:szCs w:val="22"/>
          <w:color w:val="auto"/>
        </w:rPr>
        <w:t>:</w:t>
      </w:r>
    </w:p>
    <w:p>
      <w:pPr>
        <w:spacing w:after="0" w:line="233" w:lineRule="exact"/>
        <w:rPr>
          <w:sz w:val="20"/>
          <w:szCs w:val="20"/>
          <w:color w:val="auto"/>
        </w:rPr>
      </w:pPr>
    </w:p>
    <w:p>
      <w:pPr>
        <w:ind w:left="400"/>
        <w:spacing w:after="0"/>
        <w:rPr>
          <w:sz w:val="20"/>
          <w:szCs w:val="20"/>
          <w:color w:val="auto"/>
        </w:rPr>
      </w:pPr>
      <w:r>
        <w:rPr>
          <w:rFonts w:ascii="Arial" w:cs="Arial" w:eastAsia="Arial" w:hAnsi="Arial"/>
          <w:sz w:val="22"/>
          <w:szCs w:val="22"/>
          <w:color w:val="auto"/>
        </w:rPr>
        <w:t>Account Name: [***]</w:t>
      </w:r>
    </w:p>
    <w:p>
      <w:pPr>
        <w:spacing w:after="0" w:line="233" w:lineRule="exact"/>
        <w:rPr>
          <w:sz w:val="20"/>
          <w:szCs w:val="20"/>
          <w:color w:val="auto"/>
        </w:rPr>
      </w:pPr>
    </w:p>
    <w:p>
      <w:pPr>
        <w:ind w:left="400"/>
        <w:spacing w:after="0"/>
        <w:rPr>
          <w:sz w:val="20"/>
          <w:szCs w:val="20"/>
          <w:color w:val="auto"/>
        </w:rPr>
      </w:pPr>
      <w:r>
        <w:rPr>
          <w:rFonts w:ascii="Arial" w:cs="Arial" w:eastAsia="Arial" w:hAnsi="Arial"/>
          <w:sz w:val="22"/>
          <w:szCs w:val="22"/>
          <w:color w:val="auto"/>
        </w:rPr>
        <w:t>Opening Bank: [***]</w:t>
      </w:r>
    </w:p>
    <w:p>
      <w:pPr>
        <w:spacing w:after="0" w:line="233" w:lineRule="exact"/>
        <w:rPr>
          <w:sz w:val="20"/>
          <w:szCs w:val="20"/>
          <w:color w:val="auto"/>
        </w:rPr>
      </w:pPr>
    </w:p>
    <w:p>
      <w:pPr>
        <w:ind w:left="400"/>
        <w:spacing w:after="0"/>
        <w:rPr>
          <w:sz w:val="20"/>
          <w:szCs w:val="20"/>
          <w:color w:val="auto"/>
        </w:rPr>
      </w:pPr>
      <w:r>
        <w:rPr>
          <w:rFonts w:ascii="Arial" w:cs="Arial" w:eastAsia="Arial" w:hAnsi="Arial"/>
          <w:sz w:val="22"/>
          <w:szCs w:val="22"/>
          <w:color w:val="auto"/>
        </w:rPr>
        <w:t>Bank Account No.: [***]</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Article 5 Deposit and Other Expenses</w:t>
      </w:r>
    </w:p>
    <w:p>
      <w:pPr>
        <w:spacing w:after="0" w:line="233"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 xml:space="preserve">5.1 Both Parties agree that Party B shall, within five working days after the execution hereof, pay Party A </w:t>
      </w:r>
      <w:r>
        <w:rPr>
          <w:rFonts w:ascii="Arial" w:cs="Arial" w:eastAsia="Arial" w:hAnsi="Arial"/>
          <w:sz w:val="22"/>
          <w:szCs w:val="22"/>
          <w:u w:val="single" w:color="auto"/>
          <w:color w:val="auto"/>
        </w:rPr>
        <w:t>RMB899,246</w:t>
      </w:r>
      <w:r>
        <w:rPr>
          <w:rFonts w:ascii="Arial" w:cs="Arial" w:eastAsia="Arial" w:hAnsi="Arial"/>
          <w:sz w:val="22"/>
          <w:szCs w:val="22"/>
          <w:color w:val="auto"/>
        </w:rPr>
        <w:t xml:space="preserve"> (in words: </w:t>
      </w:r>
      <w:r>
        <w:rPr>
          <w:rFonts w:ascii="Arial" w:cs="Arial" w:eastAsia="Arial" w:hAnsi="Arial"/>
          <w:sz w:val="22"/>
          <w:szCs w:val="22"/>
          <w:u w:val="single" w:color="auto"/>
          <w:color w:val="auto"/>
        </w:rPr>
        <w:t>Renminbi Eight Hundred and Ninety Nine Thousand Two Hundred and Forty Six</w:t>
      </w:r>
      <w:r>
        <w:rPr>
          <w:rFonts w:ascii="Arial" w:cs="Arial" w:eastAsia="Arial" w:hAnsi="Arial"/>
          <w:sz w:val="22"/>
          <w:szCs w:val="22"/>
          <w:color w:val="auto"/>
        </w:rPr>
        <w:t xml:space="preserve"> only) as the deposit hereunder. Where the rent grows, Party B shall pay additional deposit to Party A.</w:t>
      </w:r>
    </w:p>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5.2 During the lease term, </w:t>
      </w:r>
      <w:r>
        <w:rPr>
          <w:rFonts w:ascii="Arial" w:cs="Arial" w:eastAsia="Arial" w:hAnsi="Arial"/>
          <w:sz w:val="22"/>
          <w:szCs w:val="22"/>
          <w:u w:val="single" w:color="auto"/>
          <w:color w:val="auto"/>
        </w:rPr>
        <w:t>the water, electricity, gas and other public utilities expenses and property management fees</w:t>
      </w:r>
      <w:r>
        <w:rPr>
          <w:rFonts w:ascii="Arial" w:cs="Arial" w:eastAsia="Arial" w:hAnsi="Arial"/>
          <w:sz w:val="22"/>
          <w:szCs w:val="22"/>
          <w:color w:val="auto"/>
        </w:rPr>
        <w:t xml:space="preserve"> incurred in using the Plant shall be borne by Party B, expenses other than which shall be borne by Party A.</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5.3 During the lease term, Party B shall go through the relevant EIA and fire control procedures on its own at its own expense and risk, for which Party A shall provide necessary assistance.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jc w:val="both"/>
        <w:spacing w:after="0" w:line="241" w:lineRule="auto"/>
        <w:rPr>
          <w:sz w:val="20"/>
          <w:szCs w:val="20"/>
          <w:color w:val="auto"/>
        </w:rPr>
      </w:pPr>
      <w:r>
        <w:rPr>
          <w:rFonts w:ascii="Arial" w:cs="Arial" w:eastAsia="Arial" w:hAnsi="Arial"/>
          <w:sz w:val="22"/>
          <w:szCs w:val="22"/>
          <w:color w:val="auto"/>
        </w:rPr>
        <w:t>5.4 During the lease term, the fire alarm system of the area leased by Party B shall be connected to the central control system of the park, with the central control system to be monitored by the property management company in accordance with laws and regulations. In case of an alarm, both Parties shall take emergency measures timely.</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5.5 Party B shall, if the fire alarm point is changed due to its reasonable use and decoration, cooperate to complete the modification of central control procedure free of charge.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Article 6 Requirements for Use of Plant</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6.1 During the lease term, Party B shall, whenever it finds any damage or failure of the Plant and its ancillary facilities, or any damage caused by the fault of a third party, promptly notify Party A for the latter to make repairs. Party A shall, within </w:t>
      </w:r>
      <w:r>
        <w:rPr>
          <w:rFonts w:ascii="Arial" w:cs="Arial" w:eastAsia="Arial" w:hAnsi="Arial"/>
          <w:sz w:val="21"/>
          <w:szCs w:val="21"/>
          <w:u w:val="single" w:color="auto"/>
          <w:color w:val="auto"/>
        </w:rPr>
        <w:t>five</w:t>
      </w:r>
      <w:r>
        <w:rPr>
          <w:rFonts w:ascii="Arial" w:cs="Arial" w:eastAsia="Arial" w:hAnsi="Arial"/>
          <w:sz w:val="21"/>
          <w:szCs w:val="21"/>
          <w:color w:val="auto"/>
        </w:rPr>
        <w:t xml:space="preserve"> days upon receipt of the notice from Party B, repair the same and bear the expenses therefor. In case of failure to repair within the time limit, Party B may proceed with the repair work on behalf of Party A at Party A’s expense.</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6.2 During the lease term, Party B shall reasonably use and take good care of the Plant and its ancillary facilities. In case of damage or failure of the Plant and its ancillary facilities due to improper or unreasonable use by Party B, Party B shall be responsible for the repair. If Party B refuses to repair, Party A may proceed with the repair work on behalf of Party B at Party B’s expense.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6.3 During the lease term, Party A shall ensure that the Plant together with the corresponding facilities and equipment are in normal usable and safe condition. Party A shall give Party B a prior five-day notice in case of a plan to inspect the Plant to fulfill its safety management duties, in which Party B shall cooperate, provided, however, that the inspection shall not affect Party B’s normal business activities. Party A shall have the right to inform Party B in writing and order Party B to make rectifications whenever any potential safety hazard is found on the part of Party B.</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6.4 Party B shall, where it needs to add special equipment, carry out further decoration, change technical process or transform relevant facilities and equipment of Party A in response to its business operation demand, obtain the prior written consent of Party A, the consent of which shall not be withheld or delayed by Party A without reason or unreasonably. If any of such activities is required to be submitted to relevant authorities for approval, Party B shall be responsible for handling relevant approval procedures at its own expense, while Party A shall provide necessary cooperation and assistance therefor.</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6.5 Party B shall operate in accordance with the law and shall not store inflammable, explosive, toxic substances and other pollutants in the Plant. During the lease term, Party B shall be responsible for the internal security work such as fire prevention, explosion-proof and anti-theft in connection with its relevant goods.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jc w:val="both"/>
        <w:spacing w:after="0" w:line="241" w:lineRule="auto"/>
        <w:rPr>
          <w:sz w:val="20"/>
          <w:szCs w:val="20"/>
          <w:color w:val="auto"/>
        </w:rPr>
      </w:pPr>
      <w:r>
        <w:rPr>
          <w:rFonts w:ascii="Arial" w:cs="Arial" w:eastAsia="Arial" w:hAnsi="Arial"/>
          <w:sz w:val="22"/>
          <w:szCs w:val="22"/>
          <w:color w:val="auto"/>
        </w:rPr>
        <w:t>6.6 When the lease relationship is terminated, the deposit to Party A shall be used for offsetting the expenses due from Party B as agreed herein, with the residual amount to be refunded to Party B without interest within ten working days after all the procedures for lease withdrawal are completed.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Article 7 Status of the Plant at the Time of Re-delivery</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7.1 Except where Party A agrees with Party B to renew the lease, Party B shall re-deliver the Plant along with relevant facilities and equipment within </w:t>
      </w:r>
      <w:r>
        <w:rPr>
          <w:rFonts w:ascii="Arial" w:cs="Arial" w:eastAsia="Arial" w:hAnsi="Arial"/>
          <w:sz w:val="22"/>
          <w:szCs w:val="22"/>
          <w:u w:val="single" w:color="auto"/>
          <w:color w:val="auto"/>
        </w:rPr>
        <w:t>ten</w:t>
      </w:r>
      <w:r>
        <w:rPr>
          <w:rFonts w:ascii="Arial" w:cs="Arial" w:eastAsia="Arial" w:hAnsi="Arial"/>
          <w:sz w:val="22"/>
          <w:szCs w:val="22"/>
          <w:color w:val="auto"/>
        </w:rPr>
        <w:t xml:space="preserve"> days after the expiration of the lease term hereof. If the re-delivery is delayed without Party A’s consent, Party B shall pay Party A a usage fee during the occupation period equaling to twice the daily rent applicable to the last period of the lease term for each day of delay.</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7.2 Party B shall, after the expiration of the lease term or when the lease is withdrawn ahead of schedule, re-deliver the Plant as well as relevant facilities and equipment, which shall be in a state corresponding to post-normal use. At the time of re-delivery, Party A shall carry out acceptance inspection according to Annex IV hereto, and both Parties shall settle the relevant expenses to each other.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Article 8 Sublease and Change of Lease Relationship</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8.1 During the lease term, Party B shall obtain the prior written consent of Party A before subletting part or all of the Plant to others. Party B shall, in case of subletting the Plant, enter into a written sublease contract with the sublessee as required.</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8.2 Any transfer by Party B of the lease right on the Plant to a third party during the lease term shall be subject to the written consent of Party A. The new lessee of the Plant with the lease right shall enter into an agreement on contractual party change (covering the deposit change procedure) with Party A and Party B, for the purpose of continuing the performance hereof. The lease contract between Party A and Party B shall still be valid before the agreement on contractual party change is duly signed.</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8.3 During the lease term, Party A shall, insofar as it needs to sell the Plant, notify Party B </w:t>
      </w:r>
      <w:r>
        <w:rPr>
          <w:rFonts w:ascii="Arial" w:cs="Arial" w:eastAsia="Arial" w:hAnsi="Arial"/>
          <w:sz w:val="21"/>
          <w:szCs w:val="21"/>
          <w:u w:val="single" w:color="auto"/>
          <w:color w:val="auto"/>
        </w:rPr>
        <w:t>three</w:t>
      </w:r>
      <w:r>
        <w:rPr>
          <w:rFonts w:ascii="Arial" w:cs="Arial" w:eastAsia="Arial" w:hAnsi="Arial"/>
          <w:sz w:val="21"/>
          <w:szCs w:val="21"/>
          <w:color w:val="auto"/>
        </w:rPr>
        <w:t xml:space="preserve"> months in advance. Party B shall have the right of first refusal under the same conditions. Where Party B waives the right of first refusal, Party A shall make it clear the lease situation of the Plant to the third-party buyer when selling the same, and shall procure and ensure that the new owner of the Plant agrees to perform the obligations of the lessor hereunder.</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Article 9 Termination of Contract</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9.1 Party A and Party B agree that this Contract shall be terminated under any of the following circumstances during the lease term, for which neither Party shall be liable to the other Party: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 The right to use the land within the area occupied by the Plant is recovered in advance according to law.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ind w:left="320" w:hanging="312"/>
        <w:spacing w:after="0"/>
        <w:tabs>
          <w:tab w:leader="none" w:pos="3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Plant is expropriated according to law for the public interest.</w:t>
      </w:r>
    </w:p>
    <w:p>
      <w:pPr>
        <w:spacing w:after="0" w:line="233" w:lineRule="exact"/>
        <w:rPr>
          <w:rFonts w:ascii="Arial" w:cs="Arial" w:eastAsia="Arial" w:hAnsi="Arial"/>
          <w:sz w:val="22"/>
          <w:szCs w:val="22"/>
          <w:color w:val="auto"/>
        </w:rPr>
      </w:pPr>
    </w:p>
    <w:p>
      <w:pPr>
        <w:ind w:left="320" w:hanging="312"/>
        <w:spacing w:after="0"/>
        <w:tabs>
          <w:tab w:leader="none" w:pos="3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Plant is listed in the scope of house demolition permission according to law for the need of municipal construction.</w:t>
      </w:r>
    </w:p>
    <w:p>
      <w:pPr>
        <w:spacing w:after="0" w:line="267" w:lineRule="exact"/>
        <w:rPr>
          <w:rFonts w:ascii="Arial" w:cs="Arial" w:eastAsia="Arial" w:hAnsi="Arial"/>
          <w:sz w:val="19"/>
          <w:szCs w:val="19"/>
          <w:color w:val="auto"/>
        </w:rPr>
      </w:pPr>
    </w:p>
    <w:p>
      <w:pPr>
        <w:ind w:left="320" w:hanging="312"/>
        <w:spacing w:after="0"/>
        <w:tabs>
          <w:tab w:leader="none" w:pos="3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Plant is identified as a dangerous plant or is damaged or lost due to force majeure during the lease term.</w:t>
      </w:r>
    </w:p>
    <w:p>
      <w:pPr>
        <w:spacing w:after="0" w:line="233" w:lineRule="exact"/>
        <w:rPr>
          <w:rFonts w:ascii="Arial" w:cs="Arial" w:eastAsia="Arial" w:hAnsi="Arial"/>
          <w:sz w:val="22"/>
          <w:szCs w:val="22"/>
          <w:color w:val="auto"/>
        </w:rPr>
      </w:pPr>
    </w:p>
    <w:p>
      <w:pPr>
        <w:ind w:left="360" w:hanging="352"/>
        <w:spacing w:after="0"/>
        <w:tabs>
          <w:tab w:leader="none" w:pos="3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Both Parties agree to terminate this Contract after negotiation.</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9.2 Both Parties agree that a Party may terminate this Contract by giving a written notice to the other Party under any of the following circumstances. The breaching Party shall pay liquidated damages to the other Party at a rate equaling to </w:t>
      </w:r>
      <w:r>
        <w:rPr>
          <w:rFonts w:ascii="Arial" w:cs="Arial" w:eastAsia="Arial" w:hAnsi="Arial"/>
          <w:sz w:val="22"/>
          <w:szCs w:val="22"/>
          <w:u w:val="single" w:color="auto"/>
          <w:color w:val="auto"/>
        </w:rPr>
        <w:t>three</w:t>
      </w:r>
      <w:r>
        <w:rPr>
          <w:rFonts w:ascii="Arial" w:cs="Arial" w:eastAsia="Arial" w:hAnsi="Arial"/>
          <w:sz w:val="22"/>
          <w:szCs w:val="22"/>
          <w:color w:val="auto"/>
        </w:rPr>
        <w:t xml:space="preserve"> times of the then-current monthly rent, and shall, to the extent that the liquidated damages paid by it are insufficient to cover the actual losses suffered by the other Party, make up for the difference between the actual losses and the liquidated damages to the other Party as well.</w:t>
      </w:r>
    </w:p>
    <w:p>
      <w:pPr>
        <w:spacing w:after="0" w:line="214" w:lineRule="exact"/>
        <w:rPr>
          <w:sz w:val="20"/>
          <w:szCs w:val="20"/>
          <w:color w:val="auto"/>
        </w:rPr>
      </w:pPr>
    </w:p>
    <w:p>
      <w:pPr>
        <w:ind w:firstLine="8"/>
        <w:spacing w:after="0" w:line="250" w:lineRule="auto"/>
        <w:tabs>
          <w:tab w:leader="none" w:pos="386"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Party A fails to deliver all the Plant along with relevant facilities and equipment on schedule, and still fails to deliver them within </w:t>
      </w:r>
      <w:r>
        <w:rPr>
          <w:rFonts w:ascii="Arial" w:cs="Arial" w:eastAsia="Arial" w:hAnsi="Arial"/>
          <w:sz w:val="22"/>
          <w:szCs w:val="22"/>
          <w:u w:val="single" w:color="auto"/>
          <w:color w:val="auto"/>
        </w:rPr>
        <w:t>ten</w:t>
      </w:r>
      <w:r>
        <w:rPr>
          <w:rFonts w:ascii="Arial" w:cs="Arial" w:eastAsia="Arial" w:hAnsi="Arial"/>
          <w:sz w:val="22"/>
          <w:szCs w:val="22"/>
          <w:color w:val="auto"/>
        </w:rPr>
        <w:t xml:space="preserve"> days after being demanded by Party B.</w:t>
      </w:r>
    </w:p>
    <w:p>
      <w:pPr>
        <w:spacing w:after="0" w:line="201" w:lineRule="exact"/>
        <w:rPr>
          <w:rFonts w:ascii="Arial" w:cs="Arial" w:eastAsia="Arial" w:hAnsi="Arial"/>
          <w:sz w:val="22"/>
          <w:szCs w:val="22"/>
          <w:color w:val="auto"/>
        </w:rPr>
      </w:pPr>
    </w:p>
    <w:p>
      <w:pPr>
        <w:ind w:firstLine="8"/>
        <w:spacing w:after="0" w:line="328" w:lineRule="auto"/>
        <w:tabs>
          <w:tab w:leader="none" w:pos="334"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Plant and its facilities and equipment delivered by Party A do not conform to the provisions hereof, resulting in the failure to realize the purpose of lease hereunder, which has not been corrected within [10] days after Party B’s request.</w:t>
      </w:r>
    </w:p>
    <w:p>
      <w:pPr>
        <w:spacing w:after="0" w:line="131" w:lineRule="exact"/>
        <w:rPr>
          <w:rFonts w:ascii="Arial" w:cs="Arial" w:eastAsia="Arial" w:hAnsi="Arial"/>
          <w:sz w:val="19"/>
          <w:szCs w:val="19"/>
          <w:color w:val="auto"/>
        </w:rPr>
      </w:pPr>
    </w:p>
    <w:p>
      <w:pPr>
        <w:ind w:firstLine="8"/>
        <w:spacing w:after="0" w:line="274" w:lineRule="auto"/>
        <w:tabs>
          <w:tab w:leader="none" w:pos="437" w:val="left"/>
        </w:tabs>
        <w:numPr>
          <w:ilvl w:val="0"/>
          <w:numId w:val="29"/>
        </w:numPr>
        <w:rPr>
          <w:rFonts w:ascii="Arial" w:cs="Arial" w:eastAsia="Arial" w:hAnsi="Arial"/>
          <w:sz w:val="21"/>
          <w:szCs w:val="21"/>
          <w:color w:val="auto"/>
        </w:rPr>
      </w:pPr>
      <w:r>
        <w:rPr>
          <w:rFonts w:ascii="Arial" w:cs="Arial" w:eastAsia="Arial" w:hAnsi="Arial"/>
          <w:sz w:val="21"/>
          <w:szCs w:val="21"/>
          <w:color w:val="auto"/>
        </w:rPr>
        <w:t>Party A having found hidden dangers against production safety on the part of Party B informs Party B in writing for rectification within a reasonable period of time, but Party B fails to so rectify or refuses to do so within the time limit.</w:t>
      </w:r>
    </w:p>
    <w:p>
      <w:pPr>
        <w:spacing w:after="0" w:line="177" w:lineRule="exact"/>
        <w:rPr>
          <w:rFonts w:ascii="Arial" w:cs="Arial" w:eastAsia="Arial" w:hAnsi="Arial"/>
          <w:sz w:val="21"/>
          <w:szCs w:val="21"/>
          <w:color w:val="auto"/>
        </w:rPr>
      </w:pPr>
    </w:p>
    <w:p>
      <w:pPr>
        <w:ind w:right="20" w:firstLine="8"/>
        <w:spacing w:after="0" w:line="250" w:lineRule="auto"/>
        <w:tabs>
          <w:tab w:leader="none" w:pos="366" w:val="left"/>
        </w:tabs>
        <w:numPr>
          <w:ilvl w:val="0"/>
          <w:numId w:val="29"/>
        </w:numPr>
        <w:rPr>
          <w:rFonts w:ascii="Arial" w:cs="Arial" w:eastAsia="Arial" w:hAnsi="Arial"/>
          <w:sz w:val="22"/>
          <w:szCs w:val="22"/>
          <w:color w:val="auto"/>
        </w:rPr>
      </w:pPr>
      <w:r>
        <w:rPr>
          <w:rFonts w:ascii="Arial" w:cs="Arial" w:eastAsia="Arial" w:hAnsi="Arial"/>
          <w:sz w:val="22"/>
          <w:szCs w:val="22"/>
          <w:color w:val="auto"/>
        </w:rPr>
        <w:t>Without the written consent of Party A and the approval of relevant authorities, Party B changes the operation and use nature of the Plant for business activities other than those specified in Article 2.1 hereof.</w:t>
      </w:r>
    </w:p>
    <w:p>
      <w:pPr>
        <w:spacing w:after="0" w:line="201" w:lineRule="exact"/>
        <w:rPr>
          <w:rFonts w:ascii="Arial" w:cs="Arial" w:eastAsia="Arial" w:hAnsi="Arial"/>
          <w:sz w:val="22"/>
          <w:szCs w:val="22"/>
          <w:color w:val="auto"/>
        </w:rPr>
      </w:pPr>
    </w:p>
    <w:p>
      <w:pPr>
        <w:jc w:val="both"/>
        <w:ind w:firstLine="8"/>
        <w:spacing w:after="0"/>
        <w:tabs>
          <w:tab w:leader="none" w:pos="383" w:val="left"/>
        </w:tabs>
        <w:numPr>
          <w:ilvl w:val="0"/>
          <w:numId w:val="29"/>
        </w:numPr>
        <w:rPr>
          <w:rFonts w:ascii="Arial" w:cs="Arial" w:eastAsia="Arial" w:hAnsi="Arial"/>
          <w:sz w:val="22"/>
          <w:szCs w:val="22"/>
          <w:color w:val="auto"/>
        </w:rPr>
      </w:pPr>
      <w:r>
        <w:rPr>
          <w:rFonts w:ascii="Arial" w:cs="Arial" w:eastAsia="Arial" w:hAnsi="Arial"/>
          <w:sz w:val="22"/>
          <w:szCs w:val="22"/>
          <w:color w:val="auto"/>
        </w:rPr>
        <w:t>Party B adds or transforms special equipment, or produces, operates, transports, stores or uses dangerous goods or disposes abandoned hazardous chemicals without the written consent of Party A and the approval of safety production supervision, fire control and other relevant authorities.</w:t>
      </w:r>
    </w:p>
    <w:p>
      <w:pPr>
        <w:spacing w:after="0" w:line="213" w:lineRule="exact"/>
        <w:rPr>
          <w:rFonts w:ascii="Arial" w:cs="Arial" w:eastAsia="Arial" w:hAnsi="Arial"/>
          <w:sz w:val="22"/>
          <w:szCs w:val="22"/>
          <w:color w:val="auto"/>
        </w:rPr>
      </w:pPr>
    </w:p>
    <w:p>
      <w:pPr>
        <w:ind w:left="360" w:hanging="352"/>
        <w:spacing w:after="0"/>
        <w:tabs>
          <w:tab w:leader="none" w:pos="360" w:val="left"/>
        </w:tabs>
        <w:numPr>
          <w:ilvl w:val="0"/>
          <w:numId w:val="29"/>
        </w:numPr>
        <w:rPr>
          <w:rFonts w:ascii="Arial" w:cs="Arial" w:eastAsia="Arial" w:hAnsi="Arial"/>
          <w:sz w:val="21"/>
          <w:szCs w:val="21"/>
          <w:color w:val="auto"/>
        </w:rPr>
      </w:pPr>
      <w:r>
        <w:rPr>
          <w:rFonts w:ascii="Arial" w:cs="Arial" w:eastAsia="Arial" w:hAnsi="Arial"/>
          <w:sz w:val="21"/>
          <w:szCs w:val="21"/>
          <w:color w:val="auto"/>
        </w:rPr>
        <w:t>Without the written consent of Party A, Party B sublets the Plant or exchanges the lease right thereon with others.</w:t>
      </w:r>
    </w:p>
    <w:p>
      <w:pPr>
        <w:spacing w:after="0" w:line="244" w:lineRule="exact"/>
        <w:rPr>
          <w:rFonts w:ascii="Arial" w:cs="Arial" w:eastAsia="Arial" w:hAnsi="Arial"/>
          <w:sz w:val="21"/>
          <w:szCs w:val="21"/>
          <w:color w:val="auto"/>
        </w:rPr>
      </w:pPr>
    </w:p>
    <w:p>
      <w:pPr>
        <w:ind w:left="360" w:hanging="352"/>
        <w:spacing w:after="0"/>
        <w:tabs>
          <w:tab w:leader="none" w:pos="3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Party B has delayed in paying the rent for more than </w:t>
      </w:r>
      <w:r>
        <w:rPr>
          <w:rFonts w:ascii="Arial" w:cs="Arial" w:eastAsia="Arial" w:hAnsi="Arial"/>
          <w:sz w:val="22"/>
          <w:szCs w:val="22"/>
          <w:u w:val="single" w:color="auto"/>
          <w:color w:val="auto"/>
        </w:rPr>
        <w:t>one</w:t>
      </w:r>
      <w:r>
        <w:rPr>
          <w:rFonts w:ascii="Arial" w:cs="Arial" w:eastAsia="Arial" w:hAnsi="Arial"/>
          <w:sz w:val="22"/>
          <w:szCs w:val="22"/>
          <w:color w:val="auto"/>
        </w:rPr>
        <w:t xml:space="preserve"> month.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Article 10 Special Provisions on Breach of Contract</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10.1 In the event Party A has mortgaged the land of the Plant or sold the Plant to a third party rather than Party B during the lease term, thus affecting Party B’s continued leasing operation at the address of the Plant and causing losses to Party B, Party A shall pay Party B liquidated damages at a rate equaling to </w:t>
      </w:r>
      <w:r>
        <w:rPr>
          <w:rFonts w:ascii="Arial" w:cs="Arial" w:eastAsia="Arial" w:hAnsi="Arial"/>
          <w:sz w:val="22"/>
          <w:szCs w:val="22"/>
          <w:u w:val="single" w:color="auto"/>
          <w:color w:val="auto"/>
        </w:rPr>
        <w:t>three</w:t>
      </w:r>
      <w:r>
        <w:rPr>
          <w:rFonts w:ascii="Arial" w:cs="Arial" w:eastAsia="Arial" w:hAnsi="Arial"/>
          <w:sz w:val="22"/>
          <w:szCs w:val="22"/>
          <w:color w:val="auto"/>
        </w:rPr>
        <w:t xml:space="preserve"> times of the then-current monthly rent. If the liquidated damages so paid are insufficient to cover the losses of Party B, Party A shall also be responsible for making up for the difference between the actual losses and the liquidated damages to Party B.</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10.2 Party A shall, to the extent it cancels this Contract without authorization during the lease term and takes back the Plant ahead of schedule under circumstances other than those specified herein, pay Party B liquidated damages at a rate equaling to </w:t>
      </w:r>
      <w:r>
        <w:rPr>
          <w:rFonts w:ascii="Arial" w:cs="Arial" w:eastAsia="Arial" w:hAnsi="Arial"/>
          <w:sz w:val="22"/>
          <w:szCs w:val="22"/>
          <w:u w:val="single" w:color="auto"/>
          <w:color w:val="auto"/>
        </w:rPr>
        <w:t>three</w:t>
      </w:r>
      <w:r>
        <w:rPr>
          <w:rFonts w:ascii="Arial" w:cs="Arial" w:eastAsia="Arial" w:hAnsi="Arial"/>
          <w:sz w:val="22"/>
          <w:szCs w:val="22"/>
          <w:color w:val="auto"/>
        </w:rPr>
        <w:t xml:space="preserve"> times of the then-current monthly rent. If the liquidated damages so paid are insufficient to cover the losses of Party B, Party A shall also be responsible for making up for the difference between the actual losses and the liquidated damages to Party B.</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10.3 During the lease term, if Party A fails to perform the repair and maintenance responsibilities hereunder timely in accordance with Article 6 hereof, resulting in damage to the Plant structure and relevant facilities and equipment, thereby Party B fails to operate normally or incurs losses from business suspension, Party A shall be liable for compensation.</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10.4 In case Party B, without the written consent of Party A or beyond the scope and requirements consented by Party A, changes the building structure of the Plant, carries out decoration works such as power lines, or changes the technical process or production facilities in violation of relevant technical standards and fire safety regulations, Party A shall be entitled to require Party B to restore the Plant and relevant facilities and equipment to their original state and compensate Party A for the losses actually incurred therefrom.</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10.5 Party B shall, if it withdraws the lease without authorization before expiration of the lease term except as stipulated herein, pay Party A liquidated damages at a rate equaling to </w:t>
      </w:r>
      <w:r>
        <w:rPr>
          <w:rFonts w:ascii="Arial" w:cs="Arial" w:eastAsia="Arial" w:hAnsi="Arial"/>
          <w:sz w:val="22"/>
          <w:szCs w:val="22"/>
          <w:u w:val="single" w:color="auto"/>
          <w:color w:val="auto"/>
        </w:rPr>
        <w:t>three</w:t>
      </w:r>
      <w:r>
        <w:rPr>
          <w:rFonts w:ascii="Arial" w:cs="Arial" w:eastAsia="Arial" w:hAnsi="Arial"/>
          <w:sz w:val="22"/>
          <w:szCs w:val="22"/>
          <w:color w:val="auto"/>
        </w:rPr>
        <w:t xml:space="preserve"> times of the then-current monthly rent. Insofar as the liquidated damages are insufficient to cover the losses of Party A, Party B shall be responsible for making up for the shortfall as well. Party A can deduct the liquidated damages from the deposit for lease. If the deposit is insufficient for deduction, the difference shall be paid separately by Party B.</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Article 11 Dispute Resolution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11.1 This Contract shall be governed by the laws and regulations of the People’s Republic of China.</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11.2 Matters not covered herein can be specified by both Parties in separate agreements to be entered into through negotiation.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supplementary agreements and annexes hereto shall be an integral part hereof having the same legal effect herewith.</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line="267" w:lineRule="auto"/>
        <w:rPr>
          <w:sz w:val="20"/>
          <w:szCs w:val="20"/>
          <w:color w:val="auto"/>
        </w:rPr>
      </w:pPr>
      <w:r>
        <w:rPr>
          <w:rFonts w:ascii="Arial" w:cs="Arial" w:eastAsia="Arial" w:hAnsi="Arial"/>
          <w:sz w:val="22"/>
          <w:szCs w:val="22"/>
          <w:color w:val="auto"/>
        </w:rPr>
        <w:t xml:space="preserve">11.3 Any dispute between both Parties during the performance hereof shall be settled through negotiation; if the negotiation fails, both Parties agree to have the dispute resolved by the </w:t>
      </w:r>
      <w:r>
        <w:rPr>
          <w:rFonts w:ascii="Arial" w:cs="Arial" w:eastAsia="Arial" w:hAnsi="Arial"/>
          <w:sz w:val="22"/>
          <w:szCs w:val="22"/>
          <w:u w:val="single" w:color="auto"/>
          <w:color w:val="auto"/>
        </w:rPr>
        <w:t>2</w:t>
      </w:r>
      <w:r>
        <w:rPr>
          <w:rFonts w:ascii="Arial" w:cs="Arial" w:eastAsia="Arial" w:hAnsi="Arial"/>
          <w:sz w:val="35"/>
          <w:szCs w:val="35"/>
          <w:u w:val="single" w:color="auto"/>
          <w:color w:val="auto"/>
          <w:vertAlign w:val="superscript"/>
        </w:rPr>
        <w:t>nd</w:t>
      </w:r>
      <w:r>
        <w:rPr>
          <w:rFonts w:ascii="Arial" w:cs="Arial" w:eastAsia="Arial" w:hAnsi="Arial"/>
          <w:sz w:val="22"/>
          <w:szCs w:val="22"/>
          <w:color w:val="auto"/>
        </w:rPr>
        <w:t xml:space="preserve"> mean as follows:</w:t>
      </w:r>
    </w:p>
    <w:p>
      <w:pPr>
        <w:ind w:left="320" w:hanging="312"/>
        <w:spacing w:after="0"/>
        <w:tabs>
          <w:tab w:leader="none" w:pos="3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Referring the dispute to Shanghai Arbitration Commission for arbitration;</w:t>
      </w:r>
    </w:p>
    <w:p>
      <w:pPr>
        <w:spacing w:after="0" w:line="233" w:lineRule="exact"/>
        <w:rPr>
          <w:rFonts w:ascii="Arial" w:cs="Arial" w:eastAsia="Arial" w:hAnsi="Arial"/>
          <w:sz w:val="22"/>
          <w:szCs w:val="22"/>
          <w:color w:val="auto"/>
        </w:rPr>
      </w:pPr>
    </w:p>
    <w:p>
      <w:pPr>
        <w:ind w:left="320" w:hanging="312"/>
        <w:spacing w:after="0"/>
        <w:tabs>
          <w:tab w:leader="none" w:pos="3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Submitting the dispute to the People’s Court of </w:t>
      </w:r>
      <w:r>
        <w:rPr>
          <w:rFonts w:ascii="Arial" w:cs="Arial" w:eastAsia="Arial" w:hAnsi="Arial"/>
          <w:sz w:val="22"/>
          <w:szCs w:val="22"/>
          <w:u w:val="single" w:color="auto"/>
          <w:color w:val="auto"/>
        </w:rPr>
        <w:t>Pudong New Area</w:t>
      </w:r>
      <w:r>
        <w:rPr>
          <w:rFonts w:ascii="Arial" w:cs="Arial" w:eastAsia="Arial" w:hAnsi="Arial"/>
          <w:sz w:val="22"/>
          <w:szCs w:val="22"/>
          <w:color w:val="auto"/>
        </w:rPr>
        <w:t xml:space="preserve"> for litigation according to law.</w:t>
      </w:r>
    </w:p>
    <w:p>
      <w:pPr>
        <w:spacing w:after="0" w:line="23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11.4 This Contract shall come into force after being signed and sealed by both Parties.</w:t>
      </w:r>
    </w:p>
    <w:p>
      <w:pPr>
        <w:spacing w:after="0" w:line="23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 xml:space="preserve">11.5 This Contract together with its annexes shall be made in </w:t>
      </w:r>
      <w:r>
        <w:rPr>
          <w:rFonts w:ascii="Arial" w:cs="Arial" w:eastAsia="Arial" w:hAnsi="Arial"/>
          <w:sz w:val="22"/>
          <w:szCs w:val="22"/>
          <w:u w:val="single" w:color="auto"/>
          <w:color w:val="auto"/>
        </w:rPr>
        <w:t>two</w:t>
      </w:r>
      <w:r>
        <w:rPr>
          <w:rFonts w:ascii="Arial" w:cs="Arial" w:eastAsia="Arial" w:hAnsi="Arial"/>
          <w:sz w:val="22"/>
          <w:szCs w:val="22"/>
          <w:color w:val="auto"/>
        </w:rPr>
        <w:t xml:space="preserve"> originals, with Party A and Party B each holding </w:t>
      </w:r>
      <w:r>
        <w:rPr>
          <w:rFonts w:ascii="Arial" w:cs="Arial" w:eastAsia="Arial" w:hAnsi="Arial"/>
          <w:sz w:val="22"/>
          <w:szCs w:val="22"/>
          <w:u w:val="single" w:color="auto"/>
          <w:color w:val="auto"/>
        </w:rPr>
        <w:t>one</w:t>
      </w:r>
      <w:r>
        <w:rPr>
          <w:rFonts w:ascii="Arial" w:cs="Arial" w:eastAsia="Arial" w:hAnsi="Arial"/>
          <w:sz w:val="22"/>
          <w:szCs w:val="22"/>
          <w:color w:val="auto"/>
        </w:rPr>
        <w:t xml:space="preserve"> original, and each original having the same legal effect.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Party A:</w:t>
            </w:r>
          </w:p>
        </w:tc>
        <w:tc>
          <w:tcPr>
            <w:tcW w:w="7680" w:type="dxa"/>
            <w:vAlign w:val="bottom"/>
          </w:tcPr>
          <w:p>
            <w:pPr>
              <w:ind w:left="2060"/>
              <w:spacing w:after="0"/>
              <w:rPr>
                <w:sz w:val="20"/>
                <w:szCs w:val="20"/>
                <w:color w:val="auto"/>
              </w:rPr>
            </w:pPr>
            <w:r>
              <w:rPr>
                <w:rFonts w:ascii="Arial" w:cs="Arial" w:eastAsia="Arial" w:hAnsi="Arial"/>
                <w:sz w:val="18"/>
                <w:szCs w:val="18"/>
                <w:color w:val="auto"/>
              </w:rPr>
              <w:t>Party B:</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Signature (Seal):</w:t>
            </w:r>
          </w:p>
        </w:tc>
        <w:tc>
          <w:tcPr>
            <w:tcW w:w="7680" w:type="dxa"/>
            <w:vAlign w:val="bottom"/>
          </w:tcPr>
          <w:p>
            <w:pPr>
              <w:ind w:left="2060"/>
              <w:spacing w:after="0"/>
              <w:rPr>
                <w:sz w:val="20"/>
                <w:szCs w:val="20"/>
                <w:color w:val="auto"/>
              </w:rPr>
            </w:pPr>
            <w:r>
              <w:rPr>
                <w:rFonts w:ascii="Arial" w:cs="Arial" w:eastAsia="Arial" w:hAnsi="Arial"/>
                <w:sz w:val="18"/>
                <w:szCs w:val="18"/>
                <w:color w:val="auto"/>
              </w:rPr>
              <w:t>Signature (Seal):</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ID No.:</w:t>
            </w:r>
          </w:p>
        </w:tc>
        <w:tc>
          <w:tcPr>
            <w:tcW w:w="7680" w:type="dxa"/>
            <w:vAlign w:val="bottom"/>
          </w:tcPr>
          <w:p>
            <w:pPr>
              <w:ind w:left="2060"/>
              <w:spacing w:after="0"/>
              <w:rPr>
                <w:sz w:val="20"/>
                <w:szCs w:val="20"/>
                <w:color w:val="auto"/>
              </w:rPr>
            </w:pPr>
            <w:r>
              <w:rPr>
                <w:rFonts w:ascii="Arial" w:cs="Arial" w:eastAsia="Arial" w:hAnsi="Arial"/>
                <w:sz w:val="18"/>
                <w:szCs w:val="18"/>
                <w:color w:val="auto"/>
              </w:rPr>
              <w:t>ID No.:</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Contact Information:</w:t>
            </w:r>
          </w:p>
        </w:tc>
        <w:tc>
          <w:tcPr>
            <w:tcW w:w="7680" w:type="dxa"/>
            <w:vAlign w:val="bottom"/>
          </w:tcPr>
          <w:p>
            <w:pPr>
              <w:ind w:left="2060"/>
              <w:spacing w:after="0"/>
              <w:rPr>
                <w:sz w:val="20"/>
                <w:szCs w:val="20"/>
                <w:color w:val="auto"/>
              </w:rPr>
            </w:pPr>
            <w:r>
              <w:rPr>
                <w:rFonts w:ascii="Arial" w:cs="Arial" w:eastAsia="Arial" w:hAnsi="Arial"/>
                <w:sz w:val="18"/>
                <w:szCs w:val="18"/>
                <w:color w:val="auto"/>
              </w:rPr>
              <w:t>Contact Information:</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w:t>
            </w:r>
          </w:p>
        </w:tc>
        <w:tc>
          <w:tcPr>
            <w:tcW w:w="7680" w:type="dxa"/>
            <w:vAlign w:val="bottom"/>
          </w:tcPr>
          <w:p>
            <w:pPr>
              <w:ind w:left="2060"/>
              <w:spacing w:after="0"/>
              <w:rPr>
                <w:sz w:val="20"/>
                <w:szCs w:val="20"/>
                <w:color w:val="auto"/>
              </w:rPr>
            </w:pPr>
            <w:r>
              <w:rPr>
                <w:rFonts w:ascii="Arial" w:cs="Arial" w:eastAsia="Arial" w:hAnsi="Arial"/>
                <w:sz w:val="18"/>
                <w:szCs w:val="18"/>
                <w:color w:val="auto"/>
              </w:rPr>
              <w:t>Date:</w:t>
            </w:r>
          </w:p>
        </w:tc>
      </w:tr>
      <w:tr>
        <w:trPr>
          <w:trHeight w:val="582"/>
        </w:trPr>
        <w:tc>
          <w:tcPr>
            <w:tcW w:w="3560" w:type="dxa"/>
            <w:vAlign w:val="bottom"/>
          </w:tcPr>
          <w:p>
            <w:pPr>
              <w:spacing w:after="0"/>
              <w:rPr>
                <w:sz w:val="24"/>
                <w:szCs w:val="24"/>
                <w:color w:val="auto"/>
              </w:rPr>
            </w:pPr>
          </w:p>
        </w:tc>
        <w:tc>
          <w:tcPr>
            <w:tcW w:w="7680" w:type="dxa"/>
            <w:vAlign w:val="bottom"/>
          </w:tcPr>
          <w:p>
            <w:pPr>
              <w:ind w:left="2020"/>
              <w:spacing w:after="0"/>
              <w:rPr>
                <w:sz w:val="20"/>
                <w:szCs w:val="20"/>
                <w:color w:val="auto"/>
              </w:rPr>
            </w:pPr>
            <w:r>
              <w:rPr>
                <w:rFonts w:ascii="Arial" w:cs="Arial" w:eastAsia="Arial" w:hAnsi="Arial"/>
                <w:sz w:val="14"/>
                <w:szCs w:val="14"/>
                <w:color w:val="auto"/>
              </w:rPr>
              <w:t>8</w:t>
            </w:r>
          </w:p>
        </w:tc>
      </w:tr>
      <w:tr>
        <w:trPr>
          <w:trHeight w:val="46"/>
        </w:trPr>
        <w:tc>
          <w:tcPr>
            <w:tcW w:w="3560" w:type="dxa"/>
            <w:vAlign w:val="bottom"/>
            <w:tcBorders>
              <w:bottom w:val="single" w:sz="8" w:color="auto"/>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auto"/>
        </w:rPr>
        <w:t>Supplementary Agreement</w:t>
      </w:r>
    </w:p>
    <w:p>
      <w:pPr>
        <w:spacing w:after="0" w:line="240" w:lineRule="exact"/>
        <w:rPr>
          <w:sz w:val="20"/>
          <w:szCs w:val="20"/>
          <w:color w:val="auto"/>
        </w:rPr>
      </w:pPr>
    </w:p>
    <w:p>
      <w:pPr>
        <w:jc w:val="both"/>
        <w:ind w:firstLine="8"/>
        <w:spacing w:after="0" w:line="238" w:lineRule="auto"/>
        <w:tabs>
          <w:tab w:leader="none" w:pos="235"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property management fees for the Plant leased to Party B shall be calculated at a rate of RMB2.1 per square meter per month, with the corresponding monthly property management fees therefor being RMB20,695. Party B shall pay the property management fees to Shanghai Renlian Real Estate Management Co., Ltd. For details, please refer to the property management convention.</w:t>
      </w:r>
    </w:p>
    <w:p>
      <w:pPr>
        <w:spacing w:after="0" w:line="211" w:lineRule="exact"/>
        <w:rPr>
          <w:rFonts w:ascii="Arial" w:cs="Arial" w:eastAsia="Arial" w:hAnsi="Arial"/>
          <w:sz w:val="22"/>
          <w:szCs w:val="22"/>
          <w:color w:val="auto"/>
        </w:rPr>
      </w:pPr>
    </w:p>
    <w:p>
      <w:pPr>
        <w:jc w:val="both"/>
        <w:ind w:firstLine="8"/>
        <w:spacing w:after="0" w:line="272" w:lineRule="auto"/>
        <w:tabs>
          <w:tab w:leader="none" w:pos="2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During the lease term, Party A agrees to provide Party B with [20] parking spaces free of charge. If Party B needs to rent additional parking spaces, it can apply to the property management company for the latter to arrange the allocation uniformly. The rent of the above-ground parking spaces shall be RMB50 per month per vehicle, and that of the under-ground parking spaces shall be RMB[100] per month per vehicle (if applicable). Party A shall, before the 10th day of each month, pay the property management company the rent for the free-of-charge parking spaces provided to Party B, while Party B shall, before the 10th day of each month, pay the property management company the rent for the additional parking spaces. In case of failure to make the said payment within the time limit, the property management company may sublet such parking spaces. Regarding the above-mentioned rent payable by Party A to the property management company, should Party A fail to effect the payment on time, Party B may make the payment for Party A and recover the same from Party A or deduct it accordingly from the rent for the next period. Party A shall ensure that the parking spaces around the housing area leased by Party B, which Party B shall be entitled to the priority of leasing, are preferentially arranged to Party B. Consultation shall be made with Party B before the property management company leases out the corresponding parking spaces.</w:t>
      </w:r>
    </w:p>
    <w:p>
      <w:pPr>
        <w:spacing w:after="0" w:line="187" w:lineRule="exact"/>
        <w:rPr>
          <w:rFonts w:ascii="Arial" w:cs="Arial" w:eastAsia="Arial" w:hAnsi="Arial"/>
          <w:sz w:val="19"/>
          <w:szCs w:val="19"/>
          <w:color w:val="auto"/>
        </w:rPr>
      </w:pPr>
    </w:p>
    <w:p>
      <w:pPr>
        <w:ind w:firstLine="8"/>
        <w:spacing w:after="0" w:line="328" w:lineRule="auto"/>
        <w:tabs>
          <w:tab w:leader="none" w:pos="256"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use of goods-related transport corridors, unloading areas and public spaces, among others, and the establishment of external logo location shall be subject to the relevant rules formulated by Shanghai Renlian Real Estate Management Co., Ltd.</w:t>
      </w:r>
    </w:p>
    <w:p>
      <w:pPr>
        <w:spacing w:after="0" w:line="131" w:lineRule="exact"/>
        <w:rPr>
          <w:rFonts w:ascii="Arial" w:cs="Arial" w:eastAsia="Arial" w:hAnsi="Arial"/>
          <w:sz w:val="19"/>
          <w:szCs w:val="19"/>
          <w:color w:val="auto"/>
        </w:rPr>
      </w:pPr>
    </w:p>
    <w:p>
      <w:pPr>
        <w:jc w:val="both"/>
        <w:ind w:firstLine="8"/>
        <w:spacing w:after="0" w:line="249" w:lineRule="auto"/>
        <w:tabs>
          <w:tab w:leader="none" w:pos="223" w:val="left"/>
        </w:tabs>
        <w:numPr>
          <w:ilvl w:val="0"/>
          <w:numId w:val="31"/>
        </w:numPr>
        <w:rPr>
          <w:rFonts w:ascii="Arial" w:cs="Arial" w:eastAsia="Arial" w:hAnsi="Arial"/>
          <w:sz w:val="21"/>
          <w:szCs w:val="21"/>
          <w:color w:val="auto"/>
        </w:rPr>
      </w:pPr>
      <w:r>
        <w:rPr>
          <w:rFonts w:ascii="Arial" w:cs="Arial" w:eastAsia="Arial" w:hAnsi="Arial"/>
          <w:sz w:val="21"/>
          <w:szCs w:val="21"/>
          <w:color w:val="auto"/>
        </w:rPr>
        <w:t>Party B shall, where it needs to add other temporary business facilities, give a prior written notice to Party A, and shall obtain the written consent of Party A before it can proceed with the same. In order to ensure the image of the park, Party B shall not hang air conditioning, electrical appliances, light box advertising and other ancillary facilities on the external wall of the main road of the Plant, provided that Party B is allowed to so hang the company name or logo after confirming the hanging scheme with Party A, which confirmation shall not be withheld by Party A without reason.</w:t>
      </w:r>
    </w:p>
    <w:p>
      <w:pPr>
        <w:spacing w:after="0" w:line="205" w:lineRule="exact"/>
        <w:rPr>
          <w:rFonts w:ascii="Arial" w:cs="Arial" w:eastAsia="Arial" w:hAnsi="Arial"/>
          <w:sz w:val="21"/>
          <w:szCs w:val="21"/>
          <w:color w:val="auto"/>
        </w:rPr>
      </w:pPr>
    </w:p>
    <w:p>
      <w:pPr>
        <w:jc w:val="both"/>
        <w:ind w:firstLine="8"/>
        <w:spacing w:after="0" w:line="238" w:lineRule="auto"/>
        <w:tabs>
          <w:tab w:leader="none" w:pos="241" w:val="left"/>
        </w:tabs>
        <w:numPr>
          <w:ilvl w:val="0"/>
          <w:numId w:val="31"/>
        </w:numPr>
        <w:rPr>
          <w:rFonts w:ascii="Arial" w:cs="Arial" w:eastAsia="Arial" w:hAnsi="Arial"/>
          <w:sz w:val="22"/>
          <w:szCs w:val="22"/>
          <w:color w:val="auto"/>
        </w:rPr>
      </w:pPr>
      <w:r>
        <w:rPr>
          <w:rFonts w:ascii="Arial" w:cs="Arial" w:eastAsia="Arial" w:hAnsi="Arial"/>
          <w:sz w:val="22"/>
          <w:szCs w:val="22"/>
          <w:color w:val="auto"/>
        </w:rPr>
        <w:t>Party A shall provide Party B with independent water and electricity meters, and Party B shall pay the corresponding fees according to the amount recorded in the meters every month. The standard power distributed to the subject property in the park is 400KVA, and the relevant expenses incurred for the part beyond the standard power distribution in the park shall be borne by Party B.</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jc w:val="both"/>
        <w:ind w:firstLine="8"/>
        <w:spacing w:after="0" w:line="241" w:lineRule="auto"/>
        <w:tabs>
          <w:tab w:leader="none" w:pos="228" w:val="left"/>
        </w:tabs>
        <w:numPr>
          <w:ilvl w:val="0"/>
          <w:numId w:val="32"/>
        </w:numPr>
        <w:rPr>
          <w:rFonts w:ascii="Arial" w:cs="Arial" w:eastAsia="Arial" w:hAnsi="Arial"/>
          <w:sz w:val="22"/>
          <w:szCs w:val="22"/>
          <w:color w:val="auto"/>
        </w:rPr>
      </w:pPr>
      <w:r>
        <w:rPr>
          <w:rFonts w:ascii="Arial" w:cs="Arial" w:eastAsia="Arial" w:hAnsi="Arial"/>
          <w:sz w:val="22"/>
          <w:szCs w:val="22"/>
          <w:color w:val="auto"/>
        </w:rPr>
        <w:t>Party B shall, in case of a need to install indoor water supply and drainage devices and carry out interior decorations, inform Party A of the decoration scheme and relevant pipeline drawings in advance in writing and obtain Party A’s consent before construction.</w:t>
      </w:r>
    </w:p>
    <w:p>
      <w:pPr>
        <w:spacing w:after="0" w:line="210" w:lineRule="exact"/>
        <w:rPr>
          <w:rFonts w:ascii="Arial" w:cs="Arial" w:eastAsia="Arial" w:hAnsi="Arial"/>
          <w:sz w:val="22"/>
          <w:szCs w:val="22"/>
          <w:color w:val="auto"/>
        </w:rPr>
      </w:pPr>
    </w:p>
    <w:p>
      <w:pPr>
        <w:jc w:val="both"/>
        <w:ind w:firstLine="8"/>
        <w:spacing w:after="0" w:line="246" w:lineRule="auto"/>
        <w:tabs>
          <w:tab w:leader="none" w:pos="219"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property management company shall properly coordinate with the water supply department to enable the around-the-clock supply of required tap water to the site of Party B. The property management company shall be responsible for installing the main pipe for water supply and the water meter to the position designed by Party A, and undertake the corresponding works at its expense, after which Party B shall undertake the arrangement works and bear the costs therefor. In case of water supply failure (whether it is attributable to Party A or the property management company or the water supply department) for more than [24] hours, Party A shall (or procure the property management company to) take such temporary water supply measures as necessary to ensure to meet the normal water demand of Party B.</w:t>
      </w:r>
    </w:p>
    <w:p>
      <w:pPr>
        <w:spacing w:after="0" w:line="211" w:lineRule="exact"/>
        <w:rPr>
          <w:rFonts w:ascii="Arial" w:cs="Arial" w:eastAsia="Arial" w:hAnsi="Arial"/>
          <w:sz w:val="21"/>
          <w:szCs w:val="21"/>
          <w:color w:val="auto"/>
        </w:rPr>
      </w:pPr>
    </w:p>
    <w:p>
      <w:pPr>
        <w:ind w:firstLine="8"/>
        <w:spacing w:after="0" w:line="250" w:lineRule="auto"/>
        <w:tabs>
          <w:tab w:leader="none" w:pos="233" w:val="left"/>
        </w:tabs>
        <w:numPr>
          <w:ilvl w:val="0"/>
          <w:numId w:val="32"/>
        </w:numPr>
        <w:rPr>
          <w:rFonts w:ascii="Arial" w:cs="Arial" w:eastAsia="Arial" w:hAnsi="Arial"/>
          <w:sz w:val="22"/>
          <w:szCs w:val="22"/>
          <w:color w:val="auto"/>
        </w:rPr>
      </w:pPr>
      <w:r>
        <w:rPr>
          <w:rFonts w:ascii="Arial" w:cs="Arial" w:eastAsia="Arial" w:hAnsi="Arial"/>
          <w:sz w:val="22"/>
          <w:szCs w:val="22"/>
          <w:color w:val="auto"/>
        </w:rPr>
        <w:t>Party A agrees with Party B to install large outdoor air conditioning units, and shall, after Party B issues relevant drawings, actively cooperate with and assist Party B in the placement of such units.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Party 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Representative/Authorized Agent (Signature):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Party B:</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Representative/Authorized Agent (Signature):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Executed on: February 1, 2021</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Arial" w:cs="Arial" w:eastAsia="Arial" w:hAnsi="Arial"/>
          <w:sz w:val="22"/>
          <w:szCs w:val="22"/>
          <w:b w:val="1"/>
          <w:bCs w:val="1"/>
          <w:color w:val="auto"/>
        </w:rPr>
        <w:t>Annex I Certificate of Real Estate Ownership</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 II: Floor Plans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above annexes have been omitted pursuant to Item 601(a)(5) of Regulation S-K.</w:t>
      </w:r>
    </w:p>
    <w:p>
      <w:pPr>
        <w:spacing w:after="0" w:line="200" w:lineRule="exact"/>
        <w:rPr>
          <w:sz w:val="20"/>
          <w:szCs w:val="20"/>
          <w:color w:val="auto"/>
        </w:rPr>
      </w:pPr>
    </w:p>
    <w:p>
      <w:pPr>
        <w:spacing w:after="0" w:line="24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color w:val="auto"/>
        </w:rPr>
        <w:t>Annex III Details of Rent Payment</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The rent shall be paid to Party A i.e. Shanghai Shengyu Culture Development Co., Ltd.;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property management fees shall be paid to Shanghai Renlian Real Estate Management Co., Ltd.;</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320" w:type="dxa"/>
            <w:vAlign w:val="bottom"/>
            <w:tcBorders>
              <w:top w:val="single" w:sz="8" w:color="auto"/>
              <w:left w:val="single" w:sz="8" w:color="auto"/>
              <w:right w:val="single" w:sz="8" w:color="auto"/>
            </w:tcBorders>
            <w:shd w:val="clear" w:color="auto" w:fill="8DB4E2"/>
          </w:tcPr>
          <w:p>
            <w:pPr>
              <w:ind w:left="340"/>
              <w:spacing w:after="0"/>
              <w:rPr>
                <w:sz w:val="20"/>
                <w:szCs w:val="20"/>
                <w:color w:val="auto"/>
              </w:rPr>
            </w:pPr>
            <w:r>
              <w:rPr>
                <w:rFonts w:ascii="Arial" w:cs="Arial" w:eastAsia="Arial" w:hAnsi="Arial"/>
                <w:sz w:val="18"/>
                <w:szCs w:val="18"/>
                <w:color w:val="auto"/>
              </w:rPr>
              <w:t>Payment</w:t>
            </w:r>
          </w:p>
        </w:tc>
        <w:tc>
          <w:tcPr>
            <w:tcW w:w="1020" w:type="dxa"/>
            <w:vAlign w:val="bottom"/>
            <w:tcBorders>
              <w:top w:val="single" w:sz="8" w:color="auto"/>
              <w:right w:val="single" w:sz="8" w:color="auto"/>
            </w:tcBorders>
            <w:vMerge w:val="restart"/>
            <w:shd w:val="clear" w:color="auto" w:fill="8DB4E2"/>
          </w:tcPr>
          <w:p>
            <w:pPr>
              <w:ind w:left="220"/>
              <w:spacing w:after="0"/>
              <w:rPr>
                <w:sz w:val="20"/>
                <w:szCs w:val="20"/>
                <w:color w:val="auto"/>
              </w:rPr>
            </w:pPr>
            <w:r>
              <w:rPr>
                <w:rFonts w:ascii="Arial" w:cs="Arial" w:eastAsia="Arial" w:hAnsi="Arial"/>
                <w:sz w:val="18"/>
                <w:szCs w:val="18"/>
                <w:color w:val="auto"/>
              </w:rPr>
              <w:t>Deposit</w:t>
            </w:r>
          </w:p>
        </w:tc>
        <w:tc>
          <w:tcPr>
            <w:tcW w:w="760" w:type="dxa"/>
            <w:vAlign w:val="bottom"/>
            <w:tcBorders>
              <w:top w:val="single" w:sz="8" w:color="auto"/>
            </w:tcBorders>
            <w:shd w:val="clear" w:color="auto" w:fill="8DB4E2"/>
          </w:tcPr>
          <w:p>
            <w:pPr>
              <w:spacing w:after="0"/>
              <w:rPr>
                <w:sz w:val="19"/>
                <w:szCs w:val="19"/>
                <w:color w:val="auto"/>
              </w:rPr>
            </w:pPr>
          </w:p>
        </w:tc>
        <w:tc>
          <w:tcPr>
            <w:tcW w:w="1500" w:type="dxa"/>
            <w:vAlign w:val="bottom"/>
            <w:tcBorders>
              <w:top w:val="single" w:sz="8" w:color="auto"/>
              <w:right w:val="single" w:sz="8" w:color="auto"/>
            </w:tcBorders>
            <w:gridSpan w:val="2"/>
            <w:vMerge w:val="restart"/>
            <w:shd w:val="clear" w:color="auto" w:fill="8DB4E2"/>
          </w:tcPr>
          <w:p>
            <w:pPr>
              <w:ind w:left="180"/>
              <w:spacing w:after="0"/>
              <w:rPr>
                <w:sz w:val="20"/>
                <w:szCs w:val="20"/>
                <w:color w:val="auto"/>
              </w:rPr>
            </w:pPr>
            <w:r>
              <w:rPr>
                <w:rFonts w:ascii="Arial" w:cs="Arial" w:eastAsia="Arial" w:hAnsi="Arial"/>
                <w:sz w:val="18"/>
                <w:szCs w:val="18"/>
                <w:color w:val="auto"/>
              </w:rPr>
              <w:t>Rent</w:t>
            </w:r>
          </w:p>
        </w:tc>
        <w:tc>
          <w:tcPr>
            <w:tcW w:w="620" w:type="dxa"/>
            <w:vAlign w:val="bottom"/>
            <w:tcBorders>
              <w:top w:val="single" w:sz="8" w:color="auto"/>
            </w:tcBorders>
            <w:shd w:val="clear" w:color="auto" w:fill="8DB4E2"/>
          </w:tcPr>
          <w:p>
            <w:pPr>
              <w:spacing w:after="0"/>
              <w:rPr>
                <w:sz w:val="19"/>
                <w:szCs w:val="19"/>
                <w:color w:val="auto"/>
              </w:rPr>
            </w:pPr>
          </w:p>
        </w:tc>
        <w:tc>
          <w:tcPr>
            <w:tcW w:w="1340" w:type="dxa"/>
            <w:vAlign w:val="bottom"/>
            <w:tcBorders>
              <w:top w:val="single" w:sz="8" w:color="auto"/>
              <w:right w:val="single" w:sz="8" w:color="auto"/>
            </w:tcBorders>
            <w:gridSpan w:val="2"/>
            <w:shd w:val="clear" w:color="auto" w:fill="8DB4E2"/>
          </w:tcPr>
          <w:p>
            <w:pPr>
              <w:jc w:val="center"/>
              <w:ind w:right="640"/>
              <w:spacing w:after="0"/>
              <w:rPr>
                <w:sz w:val="20"/>
                <w:szCs w:val="20"/>
                <w:color w:val="auto"/>
              </w:rPr>
            </w:pPr>
            <w:r>
              <w:rPr>
                <w:rFonts w:ascii="Arial" w:cs="Arial" w:eastAsia="Arial" w:hAnsi="Arial"/>
                <w:sz w:val="18"/>
                <w:szCs w:val="18"/>
                <w:color w:val="auto"/>
                <w:w w:val="87"/>
              </w:rPr>
              <w:t>Subtotal</w:t>
            </w:r>
          </w:p>
        </w:tc>
        <w:tc>
          <w:tcPr>
            <w:tcW w:w="1720" w:type="dxa"/>
            <w:vAlign w:val="bottom"/>
            <w:tcBorders>
              <w:top w:val="single" w:sz="8" w:color="auto"/>
              <w:right w:val="single" w:sz="8" w:color="auto"/>
            </w:tcBorders>
            <w:shd w:val="clear" w:color="auto" w:fill="8DB4E2"/>
          </w:tcPr>
          <w:p>
            <w:pPr>
              <w:jc w:val="center"/>
              <w:spacing w:after="0"/>
              <w:rPr>
                <w:sz w:val="20"/>
                <w:szCs w:val="20"/>
                <w:color w:val="auto"/>
              </w:rPr>
            </w:pPr>
            <w:r>
              <w:rPr>
                <w:rFonts w:ascii="Arial" w:cs="Arial" w:eastAsia="Arial" w:hAnsi="Arial"/>
                <w:sz w:val="18"/>
                <w:szCs w:val="18"/>
                <w:color w:val="auto"/>
                <w:w w:val="89"/>
              </w:rPr>
              <w:t>Property Management</w:t>
            </w:r>
          </w:p>
        </w:tc>
        <w:tc>
          <w:tcPr>
            <w:tcW w:w="2960" w:type="dxa"/>
            <w:vAlign w:val="bottom"/>
            <w:tcBorders>
              <w:top w:val="single" w:sz="8" w:color="auto"/>
              <w:right w:val="single" w:sz="8" w:color="auto"/>
            </w:tcBorders>
            <w:vMerge w:val="restart"/>
            <w:shd w:val="clear" w:color="auto" w:fill="8DB4E2"/>
          </w:tcPr>
          <w:p>
            <w:pPr>
              <w:jc w:val="center"/>
              <w:spacing w:after="0"/>
              <w:rPr>
                <w:sz w:val="20"/>
                <w:szCs w:val="20"/>
                <w:color w:val="auto"/>
              </w:rPr>
            </w:pPr>
            <w:r>
              <w:rPr>
                <w:rFonts w:ascii="Arial" w:cs="Arial" w:eastAsia="Arial" w:hAnsi="Arial"/>
                <w:sz w:val="18"/>
                <w:szCs w:val="18"/>
                <w:color w:val="auto"/>
                <w:w w:val="88"/>
              </w:rPr>
              <w:t>Remarks</w:t>
            </w:r>
          </w:p>
        </w:tc>
        <w:tc>
          <w:tcPr>
            <w:tcW w:w="0" w:type="dxa"/>
            <w:vAlign w:val="bottom"/>
          </w:tcPr>
          <w:p>
            <w:pPr>
              <w:spacing w:after="0"/>
              <w:rPr>
                <w:sz w:val="1"/>
                <w:szCs w:val="1"/>
                <w:color w:val="auto"/>
              </w:rPr>
            </w:pPr>
          </w:p>
        </w:tc>
      </w:tr>
      <w:tr>
        <w:trPr>
          <w:trHeight w:val="122"/>
        </w:trPr>
        <w:tc>
          <w:tcPr>
            <w:tcW w:w="1320" w:type="dxa"/>
            <w:vAlign w:val="bottom"/>
            <w:tcBorders>
              <w:left w:val="single" w:sz="8" w:color="auto"/>
              <w:right w:val="single" w:sz="8" w:color="auto"/>
            </w:tcBorders>
            <w:vMerge w:val="restart"/>
            <w:shd w:val="clear" w:color="auto" w:fill="8DB4E2"/>
          </w:tcPr>
          <w:p>
            <w:pPr>
              <w:ind w:left="340"/>
              <w:spacing w:after="0"/>
              <w:rPr>
                <w:sz w:val="20"/>
                <w:szCs w:val="20"/>
                <w:color w:val="auto"/>
              </w:rPr>
            </w:pPr>
            <w:r>
              <w:rPr>
                <w:rFonts w:ascii="Arial" w:cs="Arial" w:eastAsia="Arial" w:hAnsi="Arial"/>
                <w:sz w:val="18"/>
                <w:szCs w:val="18"/>
                <w:color w:val="auto"/>
              </w:rPr>
              <w:t>Schedule</w:t>
            </w:r>
          </w:p>
        </w:tc>
        <w:tc>
          <w:tcPr>
            <w:tcW w:w="1020" w:type="dxa"/>
            <w:vAlign w:val="bottom"/>
            <w:tcBorders>
              <w:right w:val="single" w:sz="8" w:color="auto"/>
            </w:tcBorders>
            <w:vMerge w:val="continue"/>
            <w:shd w:val="clear" w:color="auto" w:fill="8DB4E2"/>
          </w:tcPr>
          <w:p>
            <w:pPr>
              <w:spacing w:after="0"/>
              <w:rPr>
                <w:sz w:val="10"/>
                <w:szCs w:val="10"/>
                <w:color w:val="auto"/>
              </w:rPr>
            </w:pPr>
          </w:p>
        </w:tc>
        <w:tc>
          <w:tcPr>
            <w:tcW w:w="760" w:type="dxa"/>
            <w:vAlign w:val="bottom"/>
            <w:shd w:val="clear" w:color="auto" w:fill="8DB4E2"/>
          </w:tcPr>
          <w:p>
            <w:pPr>
              <w:spacing w:after="0"/>
              <w:rPr>
                <w:sz w:val="10"/>
                <w:szCs w:val="10"/>
                <w:color w:val="auto"/>
              </w:rPr>
            </w:pPr>
          </w:p>
        </w:tc>
        <w:tc>
          <w:tcPr>
            <w:tcW w:w="1500" w:type="dxa"/>
            <w:vAlign w:val="bottom"/>
            <w:tcBorders>
              <w:right w:val="single" w:sz="8" w:color="auto"/>
            </w:tcBorders>
            <w:gridSpan w:val="2"/>
            <w:vMerge w:val="continue"/>
            <w:shd w:val="clear" w:color="auto" w:fill="8DB4E2"/>
          </w:tcPr>
          <w:p>
            <w:pPr>
              <w:spacing w:after="0"/>
              <w:rPr>
                <w:sz w:val="10"/>
                <w:szCs w:val="10"/>
                <w:color w:val="auto"/>
              </w:rPr>
            </w:pPr>
          </w:p>
        </w:tc>
        <w:tc>
          <w:tcPr>
            <w:tcW w:w="1960" w:type="dxa"/>
            <w:vAlign w:val="bottom"/>
            <w:tcBorders>
              <w:right w:val="single" w:sz="8" w:color="auto"/>
            </w:tcBorders>
            <w:gridSpan w:val="3"/>
            <w:vMerge w:val="restart"/>
            <w:shd w:val="clear" w:color="auto" w:fill="8DB4E2"/>
          </w:tcPr>
          <w:p>
            <w:pPr>
              <w:jc w:val="center"/>
              <w:ind w:right="20"/>
              <w:spacing w:after="0"/>
              <w:rPr>
                <w:sz w:val="20"/>
                <w:szCs w:val="20"/>
                <w:color w:val="auto"/>
              </w:rPr>
            </w:pPr>
            <w:r>
              <w:rPr>
                <w:rFonts w:ascii="Arial" w:cs="Arial" w:eastAsia="Arial" w:hAnsi="Arial"/>
                <w:sz w:val="18"/>
                <w:szCs w:val="18"/>
                <w:color w:val="auto"/>
                <w:w w:val="92"/>
              </w:rPr>
              <w:t>(Deposit + Rent)</w:t>
            </w:r>
          </w:p>
        </w:tc>
        <w:tc>
          <w:tcPr>
            <w:tcW w:w="1720" w:type="dxa"/>
            <w:vAlign w:val="bottom"/>
            <w:tcBorders>
              <w:right w:val="single" w:sz="8" w:color="auto"/>
            </w:tcBorders>
            <w:vMerge w:val="restart"/>
            <w:shd w:val="clear" w:color="auto" w:fill="8DB4E2"/>
          </w:tcPr>
          <w:p>
            <w:pPr>
              <w:jc w:val="center"/>
              <w:spacing w:after="0"/>
              <w:rPr>
                <w:sz w:val="20"/>
                <w:szCs w:val="20"/>
                <w:color w:val="auto"/>
              </w:rPr>
            </w:pPr>
            <w:r>
              <w:rPr>
                <w:rFonts w:ascii="Arial" w:cs="Arial" w:eastAsia="Arial" w:hAnsi="Arial"/>
                <w:sz w:val="18"/>
                <w:szCs w:val="18"/>
                <w:color w:val="auto"/>
                <w:w w:val="84"/>
              </w:rPr>
              <w:t>Fees</w:t>
            </w:r>
          </w:p>
        </w:tc>
        <w:tc>
          <w:tcPr>
            <w:tcW w:w="2960" w:type="dxa"/>
            <w:vAlign w:val="bottom"/>
            <w:tcBorders>
              <w:right w:val="single" w:sz="8" w:color="auto"/>
            </w:tcBorders>
            <w:vMerge w:val="continue"/>
            <w:shd w:val="clear" w:color="auto" w:fill="8DB4E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320" w:type="dxa"/>
            <w:vAlign w:val="bottom"/>
            <w:tcBorders>
              <w:left w:val="single" w:sz="8" w:color="auto"/>
              <w:bottom w:val="single" w:sz="8" w:color="auto"/>
              <w:right w:val="single" w:sz="8" w:color="auto"/>
            </w:tcBorders>
            <w:vMerge w:val="continue"/>
            <w:shd w:val="clear" w:color="auto" w:fill="8DB4E2"/>
          </w:tcPr>
          <w:p>
            <w:pPr>
              <w:spacing w:after="0"/>
              <w:rPr>
                <w:sz w:val="10"/>
                <w:szCs w:val="10"/>
                <w:color w:val="auto"/>
              </w:rPr>
            </w:pPr>
          </w:p>
        </w:tc>
        <w:tc>
          <w:tcPr>
            <w:tcW w:w="1020" w:type="dxa"/>
            <w:vAlign w:val="bottom"/>
            <w:tcBorders>
              <w:bottom w:val="single" w:sz="8" w:color="auto"/>
              <w:right w:val="single" w:sz="8" w:color="auto"/>
            </w:tcBorders>
            <w:shd w:val="clear" w:color="auto" w:fill="8DB4E2"/>
          </w:tcPr>
          <w:p>
            <w:pPr>
              <w:spacing w:after="0"/>
              <w:rPr>
                <w:sz w:val="10"/>
                <w:szCs w:val="10"/>
                <w:color w:val="auto"/>
              </w:rPr>
            </w:pPr>
          </w:p>
        </w:tc>
        <w:tc>
          <w:tcPr>
            <w:tcW w:w="760" w:type="dxa"/>
            <w:vAlign w:val="bottom"/>
            <w:tcBorders>
              <w:bottom w:val="single" w:sz="8" w:color="auto"/>
            </w:tcBorders>
            <w:shd w:val="clear" w:color="auto" w:fill="8DB4E2"/>
          </w:tcPr>
          <w:p>
            <w:pPr>
              <w:spacing w:after="0"/>
              <w:rPr>
                <w:sz w:val="10"/>
                <w:szCs w:val="10"/>
                <w:color w:val="auto"/>
              </w:rPr>
            </w:pPr>
          </w:p>
        </w:tc>
        <w:tc>
          <w:tcPr>
            <w:tcW w:w="720" w:type="dxa"/>
            <w:vAlign w:val="bottom"/>
            <w:tcBorders>
              <w:bottom w:val="single" w:sz="8" w:color="auto"/>
            </w:tcBorders>
            <w:shd w:val="clear" w:color="auto" w:fill="8DB4E2"/>
          </w:tcPr>
          <w:p>
            <w:pPr>
              <w:spacing w:after="0"/>
              <w:rPr>
                <w:sz w:val="10"/>
                <w:szCs w:val="10"/>
                <w:color w:val="auto"/>
              </w:rPr>
            </w:pPr>
          </w:p>
        </w:tc>
        <w:tc>
          <w:tcPr>
            <w:tcW w:w="780" w:type="dxa"/>
            <w:vAlign w:val="bottom"/>
            <w:tcBorders>
              <w:bottom w:val="single" w:sz="8" w:color="auto"/>
              <w:right w:val="single" w:sz="8" w:color="auto"/>
            </w:tcBorders>
            <w:shd w:val="clear" w:color="auto" w:fill="8DB4E2"/>
          </w:tcPr>
          <w:p>
            <w:pPr>
              <w:spacing w:after="0"/>
              <w:rPr>
                <w:sz w:val="10"/>
                <w:szCs w:val="10"/>
                <w:color w:val="auto"/>
              </w:rPr>
            </w:pPr>
          </w:p>
        </w:tc>
        <w:tc>
          <w:tcPr>
            <w:tcW w:w="1960" w:type="dxa"/>
            <w:vAlign w:val="bottom"/>
            <w:tcBorders>
              <w:bottom w:val="single" w:sz="8" w:color="auto"/>
              <w:right w:val="single" w:sz="8" w:color="auto"/>
            </w:tcBorders>
            <w:gridSpan w:val="3"/>
            <w:vMerge w:val="continue"/>
            <w:shd w:val="clear" w:color="auto" w:fill="8DB4E2"/>
          </w:tcPr>
          <w:p>
            <w:pPr>
              <w:spacing w:after="0"/>
              <w:rPr>
                <w:sz w:val="10"/>
                <w:szCs w:val="10"/>
                <w:color w:val="auto"/>
              </w:rPr>
            </w:pPr>
          </w:p>
        </w:tc>
        <w:tc>
          <w:tcPr>
            <w:tcW w:w="1720" w:type="dxa"/>
            <w:vAlign w:val="bottom"/>
            <w:tcBorders>
              <w:bottom w:val="single" w:sz="8" w:color="auto"/>
              <w:right w:val="single" w:sz="8" w:color="auto"/>
            </w:tcBorders>
            <w:vMerge w:val="continue"/>
            <w:shd w:val="clear" w:color="auto" w:fill="8DB4E2"/>
          </w:tcPr>
          <w:p>
            <w:pPr>
              <w:spacing w:after="0"/>
              <w:rPr>
                <w:sz w:val="10"/>
                <w:szCs w:val="10"/>
                <w:color w:val="auto"/>
              </w:rPr>
            </w:pPr>
          </w:p>
        </w:tc>
        <w:tc>
          <w:tcPr>
            <w:tcW w:w="2960" w:type="dxa"/>
            <w:vAlign w:val="bottom"/>
            <w:tcBorders>
              <w:bottom w:val="single" w:sz="8" w:color="auto"/>
              <w:right w:val="single" w:sz="8" w:color="auto"/>
            </w:tcBorders>
            <w:shd w:val="clear" w:color="auto" w:fill="8DB4E2"/>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320" w:type="dxa"/>
            <w:vAlign w:val="bottom"/>
            <w:tcBorders>
              <w:left w:val="single" w:sz="8" w:color="auto"/>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Deposit + 2 months’ property fees (1</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Initial payment</w:t>
            </w:r>
          </w:p>
        </w:tc>
        <w:tc>
          <w:tcPr>
            <w:tcW w:w="10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month and 10 days for the first floor; 2</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(before March</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899,246</w:t>
            </w:r>
          </w:p>
        </w:tc>
        <w:tc>
          <w:tcPr>
            <w:tcW w:w="1480" w:type="dxa"/>
            <w:vAlign w:val="bottom"/>
            <w:gridSpan w:val="2"/>
          </w:tcPr>
          <w:p>
            <w:pPr>
              <w:jc w:val="center"/>
              <w:ind w:left="670"/>
              <w:spacing w:after="0"/>
              <w:rPr>
                <w:sz w:val="20"/>
                <w:szCs w:val="20"/>
                <w:color w:val="auto"/>
              </w:rPr>
            </w:pPr>
            <w:r>
              <w:rPr>
                <w:rFonts w:ascii="Arial" w:cs="Arial" w:eastAsia="Arial" w:hAnsi="Arial"/>
                <w:sz w:val="18"/>
                <w:szCs w:val="18"/>
                <w:color w:val="auto"/>
                <w:w w:val="78"/>
              </w:rPr>
              <w:t>/</w:t>
            </w:r>
          </w:p>
        </w:tc>
        <w:tc>
          <w:tcPr>
            <w:tcW w:w="780" w:type="dxa"/>
            <w:vAlign w:val="bottom"/>
            <w:tcBorders>
              <w:right w:val="single" w:sz="8" w:color="auto"/>
            </w:tcBorders>
          </w:tcPr>
          <w:p>
            <w:pPr>
              <w:spacing w:after="0"/>
              <w:rPr>
                <w:sz w:val="18"/>
                <w:szCs w:val="18"/>
                <w:color w:val="auto"/>
              </w:rPr>
            </w:pPr>
          </w:p>
        </w:tc>
        <w:tc>
          <w:tcPr>
            <w:tcW w:w="1320" w:type="dxa"/>
            <w:vAlign w:val="bottom"/>
            <w:gridSpan w:val="2"/>
          </w:tcPr>
          <w:p>
            <w:pPr>
              <w:jc w:val="center"/>
              <w:ind w:left="532"/>
              <w:spacing w:after="0"/>
              <w:rPr>
                <w:sz w:val="20"/>
                <w:szCs w:val="20"/>
                <w:color w:val="auto"/>
              </w:rPr>
            </w:pPr>
            <w:r>
              <w:rPr>
                <w:rFonts w:ascii="Arial" w:cs="Arial" w:eastAsia="Arial" w:hAnsi="Arial"/>
                <w:sz w:val="18"/>
                <w:szCs w:val="18"/>
                <w:color w:val="auto"/>
                <w:w w:val="89"/>
              </w:rPr>
              <w:t>899,246</w:t>
            </w:r>
          </w:p>
        </w:tc>
        <w:tc>
          <w:tcPr>
            <w:tcW w:w="6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34,717</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months for the second floor;)</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15, 2021)</w:t>
            </w:r>
          </w:p>
        </w:tc>
        <w:tc>
          <w:tcPr>
            <w:tcW w:w="10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deposit paid: 404,943;</w:t>
            </w: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property management fees paid: 21,506;</w:t>
            </w:r>
          </w:p>
        </w:tc>
        <w:tc>
          <w:tcPr>
            <w:tcW w:w="0" w:type="dxa"/>
            <w:vAlign w:val="bottom"/>
          </w:tcPr>
          <w:p>
            <w:pPr>
              <w:spacing w:after="0"/>
              <w:rPr>
                <w:sz w:val="1"/>
                <w:szCs w:val="1"/>
                <w:color w:val="auto"/>
              </w:rPr>
            </w:pPr>
          </w:p>
        </w:tc>
      </w:tr>
      <w:tr>
        <w:trPr>
          <w:trHeight w:val="202"/>
        </w:trPr>
        <w:tc>
          <w:tcPr>
            <w:tcW w:w="1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Before March</w:t>
            </w:r>
          </w:p>
        </w:tc>
        <w:tc>
          <w:tcPr>
            <w:tcW w:w="10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April to June 2021 (RMB71,015 per</w:t>
            </w:r>
          </w:p>
        </w:tc>
        <w:tc>
          <w:tcPr>
            <w:tcW w:w="0" w:type="dxa"/>
            <w:vAlign w:val="bottom"/>
          </w:tcPr>
          <w:p>
            <w:pPr>
              <w:spacing w:after="0"/>
              <w:rPr>
                <w:sz w:val="1"/>
                <w:szCs w:val="1"/>
                <w:color w:val="auto"/>
              </w:rPr>
            </w:pPr>
          </w:p>
        </w:tc>
      </w:tr>
      <w:tr>
        <w:trPr>
          <w:trHeight w:val="108"/>
        </w:trPr>
        <w:tc>
          <w:tcPr>
            <w:tcW w:w="1320" w:type="dxa"/>
            <w:vAlign w:val="bottom"/>
            <w:tcBorders>
              <w:left w:val="single" w:sz="8" w:color="auto"/>
              <w:right w:val="single" w:sz="8" w:color="auto"/>
            </w:tcBorders>
            <w:vMerge w:val="continue"/>
          </w:tcPr>
          <w:p>
            <w:pPr>
              <w:spacing w:after="0"/>
              <w:rPr>
                <w:sz w:val="9"/>
                <w:szCs w:val="9"/>
                <w:color w:val="auto"/>
              </w:rPr>
            </w:pPr>
          </w:p>
        </w:tc>
        <w:tc>
          <w:tcPr>
            <w:tcW w:w="1020" w:type="dxa"/>
            <w:vAlign w:val="bottom"/>
            <w:tcBorders>
              <w:right w:val="single" w:sz="8" w:color="auto"/>
            </w:tcBorders>
            <w:vMerge w:val="restart"/>
          </w:tcPr>
          <w:p>
            <w:pPr>
              <w:jc w:val="center"/>
              <w:spacing w:after="0" w:line="190" w:lineRule="exact"/>
              <w:rPr>
                <w:sz w:val="20"/>
                <w:szCs w:val="20"/>
                <w:color w:val="auto"/>
              </w:rPr>
            </w:pPr>
            <w:r>
              <w:rPr>
                <w:rFonts w:ascii="Arial" w:cs="Arial" w:eastAsia="Arial" w:hAnsi="Arial"/>
                <w:sz w:val="18"/>
                <w:szCs w:val="18"/>
                <w:color w:val="auto"/>
                <w:w w:val="78"/>
              </w:rPr>
              <w:t>/</w:t>
            </w:r>
          </w:p>
        </w:tc>
        <w:tc>
          <w:tcPr>
            <w:tcW w:w="2260" w:type="dxa"/>
            <w:vAlign w:val="bottom"/>
            <w:tcBorders>
              <w:right w:val="single" w:sz="8" w:color="auto"/>
            </w:tcBorders>
            <w:gridSpan w:val="3"/>
            <w:vMerge w:val="restart"/>
          </w:tcPr>
          <w:p>
            <w:pPr>
              <w:jc w:val="center"/>
              <w:ind w:right="20"/>
              <w:spacing w:after="0" w:line="190" w:lineRule="exact"/>
              <w:rPr>
                <w:sz w:val="20"/>
                <w:szCs w:val="20"/>
                <w:color w:val="auto"/>
              </w:rPr>
            </w:pPr>
            <w:r>
              <w:rPr>
                <w:rFonts w:ascii="Arial" w:cs="Arial" w:eastAsia="Arial" w:hAnsi="Arial"/>
                <w:sz w:val="18"/>
                <w:szCs w:val="18"/>
                <w:color w:val="auto"/>
                <w:w w:val="89"/>
              </w:rPr>
              <w:t>1,277,854</w:t>
            </w:r>
          </w:p>
        </w:tc>
        <w:tc>
          <w:tcPr>
            <w:tcW w:w="1320" w:type="dxa"/>
            <w:vAlign w:val="bottom"/>
            <w:gridSpan w:val="2"/>
            <w:vMerge w:val="restart"/>
          </w:tcPr>
          <w:p>
            <w:pPr>
              <w:jc w:val="center"/>
              <w:ind w:left="532"/>
              <w:spacing w:after="0" w:line="190" w:lineRule="exact"/>
              <w:rPr>
                <w:sz w:val="20"/>
                <w:szCs w:val="20"/>
                <w:color w:val="auto"/>
              </w:rPr>
            </w:pPr>
            <w:r>
              <w:rPr>
                <w:rFonts w:ascii="Arial" w:cs="Arial" w:eastAsia="Arial" w:hAnsi="Arial"/>
                <w:sz w:val="18"/>
                <w:szCs w:val="18"/>
                <w:color w:val="auto"/>
                <w:w w:val="87"/>
              </w:rPr>
              <w:t>1,277,854</w:t>
            </w:r>
          </w:p>
        </w:tc>
        <w:tc>
          <w:tcPr>
            <w:tcW w:w="64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vMerge w:val="restart"/>
          </w:tcPr>
          <w:p>
            <w:pPr>
              <w:jc w:val="center"/>
              <w:spacing w:after="0" w:line="190" w:lineRule="exact"/>
              <w:rPr>
                <w:sz w:val="20"/>
                <w:szCs w:val="20"/>
                <w:color w:val="auto"/>
              </w:rPr>
            </w:pPr>
            <w:r>
              <w:rPr>
                <w:rFonts w:ascii="Arial" w:cs="Arial" w:eastAsia="Arial" w:hAnsi="Arial"/>
                <w:sz w:val="18"/>
                <w:szCs w:val="18"/>
                <w:color w:val="auto"/>
                <w:w w:val="90"/>
              </w:rPr>
              <w:t>58,816</w:t>
            </w:r>
          </w:p>
        </w:tc>
        <w:tc>
          <w:tcPr>
            <w:tcW w:w="2960" w:type="dxa"/>
            <w:vAlign w:val="bottom"/>
            <w:tcBorders>
              <w:right w:val="single" w:sz="8" w:color="auto"/>
            </w:tcBorders>
            <w:vMerge w:val="restart"/>
          </w:tcPr>
          <w:p>
            <w:pPr>
              <w:jc w:val="center"/>
              <w:spacing w:after="0" w:line="190" w:lineRule="exact"/>
              <w:rPr>
                <w:sz w:val="20"/>
                <w:szCs w:val="20"/>
                <w:color w:val="auto"/>
              </w:rPr>
            </w:pPr>
            <w:r>
              <w:rPr>
                <w:rFonts w:ascii="Arial" w:cs="Arial" w:eastAsia="Arial" w:hAnsi="Arial"/>
                <w:sz w:val="18"/>
                <w:szCs w:val="18"/>
                <w:color w:val="auto"/>
                <w:w w:val="90"/>
              </w:rPr>
              <w:t>day, after deducting the 10 days’ rent-</w:t>
            </w:r>
          </w:p>
        </w:tc>
        <w:tc>
          <w:tcPr>
            <w:tcW w:w="0" w:type="dxa"/>
            <w:vAlign w:val="bottom"/>
          </w:tcPr>
          <w:p>
            <w:pPr>
              <w:spacing w:after="0"/>
              <w:rPr>
                <w:sz w:val="1"/>
                <w:szCs w:val="1"/>
                <w:color w:val="auto"/>
              </w:rPr>
            </w:pPr>
          </w:p>
        </w:tc>
      </w:tr>
      <w:tr>
        <w:trPr>
          <w:trHeight w:val="82"/>
        </w:trPr>
        <w:tc>
          <w:tcPr>
            <w:tcW w:w="1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20, 2021</w:t>
            </w:r>
          </w:p>
        </w:tc>
        <w:tc>
          <w:tcPr>
            <w:tcW w:w="102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gridSpan w:val="3"/>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2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20" w:type="dxa"/>
            <w:vAlign w:val="bottom"/>
            <w:tcBorders>
              <w:left w:val="single" w:sz="8" w:color="auto"/>
              <w:right w:val="single" w:sz="8" w:color="auto"/>
            </w:tcBorders>
            <w:vMerge w:val="continue"/>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free period for the first floor)</w:t>
            </w:r>
          </w:p>
        </w:tc>
        <w:tc>
          <w:tcPr>
            <w:tcW w:w="0" w:type="dxa"/>
            <w:vAlign w:val="bottom"/>
          </w:tcPr>
          <w:p>
            <w:pPr>
              <w:spacing w:after="0"/>
              <w:rPr>
                <w:sz w:val="1"/>
                <w:szCs w:val="1"/>
                <w:color w:val="auto"/>
              </w:rPr>
            </w:pPr>
          </w:p>
        </w:tc>
      </w:tr>
      <w:tr>
        <w:trPr>
          <w:trHeight w:val="115"/>
        </w:trPr>
        <w:tc>
          <w:tcPr>
            <w:tcW w:w="132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3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7"/>
              </w:rPr>
              <w:t>Before June 20,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8"/>
              </w:rPr>
              <w:t>/</w:t>
            </w:r>
          </w:p>
        </w:tc>
        <w:tc>
          <w:tcPr>
            <w:tcW w:w="22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8"/>
                <w:szCs w:val="18"/>
                <w:color w:val="auto"/>
                <w:w w:val="89"/>
              </w:rPr>
              <w:t>1,348,869</w:t>
            </w:r>
          </w:p>
        </w:tc>
        <w:tc>
          <w:tcPr>
            <w:tcW w:w="1320" w:type="dxa"/>
            <w:vAlign w:val="bottom"/>
            <w:gridSpan w:val="2"/>
            <w:vMerge w:val="restart"/>
          </w:tcPr>
          <w:p>
            <w:pPr>
              <w:jc w:val="center"/>
              <w:ind w:left="532"/>
              <w:spacing w:after="0"/>
              <w:rPr>
                <w:sz w:val="20"/>
                <w:szCs w:val="20"/>
                <w:color w:val="auto"/>
              </w:rPr>
            </w:pPr>
            <w:r>
              <w:rPr>
                <w:rFonts w:ascii="Arial" w:cs="Arial" w:eastAsia="Arial" w:hAnsi="Arial"/>
                <w:sz w:val="18"/>
                <w:szCs w:val="18"/>
                <w:color w:val="auto"/>
                <w:w w:val="87"/>
              </w:rPr>
              <w:t>1,348,869</w:t>
            </w:r>
          </w:p>
        </w:tc>
        <w:tc>
          <w:tcPr>
            <w:tcW w:w="6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62,085</w:t>
            </w: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July to September 2021</w:t>
            </w:r>
          </w:p>
        </w:tc>
        <w:tc>
          <w:tcPr>
            <w:tcW w:w="0" w:type="dxa"/>
            <w:vAlign w:val="bottom"/>
          </w:tcPr>
          <w:p>
            <w:pPr>
              <w:spacing w:after="0"/>
              <w:rPr>
                <w:sz w:val="1"/>
                <w:szCs w:val="1"/>
                <w:color w:val="auto"/>
              </w:rPr>
            </w:pPr>
          </w:p>
        </w:tc>
      </w:tr>
      <w:tr>
        <w:trPr>
          <w:trHeight w:val="82"/>
        </w:trPr>
        <w:tc>
          <w:tcPr>
            <w:tcW w:w="1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2021</w:t>
            </w:r>
          </w:p>
        </w:tc>
        <w:tc>
          <w:tcPr>
            <w:tcW w:w="102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gridSpan w:val="3"/>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2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2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2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3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Before</w:t>
            </w:r>
          </w:p>
        </w:tc>
        <w:tc>
          <w:tcPr>
            <w:tcW w:w="10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320" w:type="dxa"/>
            <w:vAlign w:val="bottom"/>
            <w:tcBorders>
              <w:left w:val="single" w:sz="8" w:color="auto"/>
              <w:right w:val="single" w:sz="8" w:color="auto"/>
            </w:tcBorders>
          </w:tcPr>
          <w:p>
            <w:pPr>
              <w:ind w:left="40"/>
              <w:spacing w:after="0" w:line="190" w:lineRule="exact"/>
              <w:rPr>
                <w:sz w:val="20"/>
                <w:szCs w:val="20"/>
                <w:color w:val="auto"/>
              </w:rPr>
            </w:pPr>
            <w:r>
              <w:rPr>
                <w:rFonts w:ascii="Arial" w:cs="Arial" w:eastAsia="Arial" w:hAnsi="Arial"/>
                <w:sz w:val="18"/>
                <w:szCs w:val="18"/>
                <w:color w:val="auto"/>
              </w:rPr>
              <w:t>September 20,</w:t>
            </w:r>
          </w:p>
        </w:tc>
        <w:tc>
          <w:tcPr>
            <w:tcW w:w="10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78"/>
              </w:rPr>
              <w:t>/</w:t>
            </w:r>
          </w:p>
        </w:tc>
        <w:tc>
          <w:tcPr>
            <w:tcW w:w="2260" w:type="dxa"/>
            <w:vAlign w:val="bottom"/>
            <w:tcBorders>
              <w:right w:val="single" w:sz="8" w:color="auto"/>
            </w:tcBorders>
            <w:gridSpan w:val="3"/>
          </w:tcPr>
          <w:p>
            <w:pPr>
              <w:jc w:val="center"/>
              <w:ind w:right="20"/>
              <w:spacing w:after="0" w:line="190" w:lineRule="exact"/>
              <w:rPr>
                <w:sz w:val="20"/>
                <w:szCs w:val="20"/>
                <w:color w:val="auto"/>
              </w:rPr>
            </w:pPr>
            <w:r>
              <w:rPr>
                <w:rFonts w:ascii="Arial" w:cs="Arial" w:eastAsia="Arial" w:hAnsi="Arial"/>
                <w:sz w:val="18"/>
                <w:szCs w:val="18"/>
                <w:color w:val="auto"/>
                <w:w w:val="89"/>
              </w:rPr>
              <w:t>1,348,869</w:t>
            </w:r>
          </w:p>
        </w:tc>
        <w:tc>
          <w:tcPr>
            <w:tcW w:w="1320" w:type="dxa"/>
            <w:vAlign w:val="bottom"/>
            <w:gridSpan w:val="2"/>
          </w:tcPr>
          <w:p>
            <w:pPr>
              <w:jc w:val="center"/>
              <w:ind w:left="532"/>
              <w:spacing w:after="0" w:line="190" w:lineRule="exact"/>
              <w:rPr>
                <w:sz w:val="20"/>
                <w:szCs w:val="20"/>
                <w:color w:val="auto"/>
              </w:rPr>
            </w:pPr>
            <w:r>
              <w:rPr>
                <w:rFonts w:ascii="Arial" w:cs="Arial" w:eastAsia="Arial" w:hAnsi="Arial"/>
                <w:sz w:val="18"/>
                <w:szCs w:val="18"/>
                <w:color w:val="auto"/>
                <w:w w:val="87"/>
              </w:rPr>
              <w:t>1,348,869</w:t>
            </w:r>
          </w:p>
        </w:tc>
        <w:tc>
          <w:tcPr>
            <w:tcW w:w="6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90"/>
              </w:rPr>
              <w:t>62,085</w:t>
            </w:r>
          </w:p>
        </w:tc>
        <w:tc>
          <w:tcPr>
            <w:tcW w:w="296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89"/>
              </w:rPr>
              <w:t>October to December 2021</w:t>
            </w:r>
          </w:p>
        </w:tc>
        <w:tc>
          <w:tcPr>
            <w:tcW w:w="0" w:type="dxa"/>
            <w:vAlign w:val="bottom"/>
          </w:tcPr>
          <w:p>
            <w:pPr>
              <w:spacing w:after="0"/>
              <w:rPr>
                <w:sz w:val="1"/>
                <w:szCs w:val="1"/>
                <w:color w:val="auto"/>
              </w:rPr>
            </w:pPr>
          </w:p>
        </w:tc>
      </w:tr>
      <w:tr>
        <w:trPr>
          <w:trHeight w:val="243"/>
        </w:trPr>
        <w:tc>
          <w:tcPr>
            <w:tcW w:w="1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2021</w:t>
            </w:r>
          </w:p>
        </w:tc>
        <w:tc>
          <w:tcPr>
            <w:tcW w:w="102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2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3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Before</w:t>
            </w:r>
          </w:p>
        </w:tc>
        <w:tc>
          <w:tcPr>
            <w:tcW w:w="10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320" w:type="dxa"/>
            <w:vAlign w:val="bottom"/>
            <w:tcBorders>
              <w:left w:val="single" w:sz="8" w:color="auto"/>
              <w:right w:val="single" w:sz="8" w:color="auto"/>
            </w:tcBorders>
          </w:tcPr>
          <w:p>
            <w:pPr>
              <w:ind w:left="40"/>
              <w:spacing w:after="0" w:line="190" w:lineRule="exact"/>
              <w:rPr>
                <w:sz w:val="20"/>
                <w:szCs w:val="20"/>
                <w:color w:val="auto"/>
              </w:rPr>
            </w:pPr>
            <w:r>
              <w:rPr>
                <w:rFonts w:ascii="Arial" w:cs="Arial" w:eastAsia="Arial" w:hAnsi="Arial"/>
                <w:sz w:val="18"/>
                <w:szCs w:val="18"/>
                <w:color w:val="auto"/>
              </w:rPr>
              <w:t>December 20,</w:t>
            </w:r>
          </w:p>
        </w:tc>
        <w:tc>
          <w:tcPr>
            <w:tcW w:w="10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78"/>
              </w:rPr>
              <w:t>/</w:t>
            </w:r>
          </w:p>
        </w:tc>
        <w:tc>
          <w:tcPr>
            <w:tcW w:w="2260" w:type="dxa"/>
            <w:vAlign w:val="bottom"/>
            <w:tcBorders>
              <w:right w:val="single" w:sz="8" w:color="auto"/>
            </w:tcBorders>
            <w:gridSpan w:val="3"/>
          </w:tcPr>
          <w:p>
            <w:pPr>
              <w:jc w:val="center"/>
              <w:ind w:right="20"/>
              <w:spacing w:after="0" w:line="190" w:lineRule="exact"/>
              <w:rPr>
                <w:sz w:val="20"/>
                <w:szCs w:val="20"/>
                <w:color w:val="auto"/>
              </w:rPr>
            </w:pPr>
            <w:r>
              <w:rPr>
                <w:rFonts w:ascii="Arial" w:cs="Arial" w:eastAsia="Arial" w:hAnsi="Arial"/>
                <w:sz w:val="18"/>
                <w:szCs w:val="18"/>
                <w:color w:val="auto"/>
                <w:w w:val="89"/>
              </w:rPr>
              <w:t>1,348,869</w:t>
            </w:r>
          </w:p>
        </w:tc>
        <w:tc>
          <w:tcPr>
            <w:tcW w:w="1320" w:type="dxa"/>
            <w:vAlign w:val="bottom"/>
            <w:gridSpan w:val="2"/>
          </w:tcPr>
          <w:p>
            <w:pPr>
              <w:jc w:val="center"/>
              <w:ind w:left="532"/>
              <w:spacing w:after="0" w:line="190" w:lineRule="exact"/>
              <w:rPr>
                <w:sz w:val="20"/>
                <w:szCs w:val="20"/>
                <w:color w:val="auto"/>
              </w:rPr>
            </w:pPr>
            <w:r>
              <w:rPr>
                <w:rFonts w:ascii="Arial" w:cs="Arial" w:eastAsia="Arial" w:hAnsi="Arial"/>
                <w:sz w:val="18"/>
                <w:szCs w:val="18"/>
                <w:color w:val="auto"/>
                <w:w w:val="87"/>
              </w:rPr>
              <w:t>1,348,869</w:t>
            </w:r>
          </w:p>
        </w:tc>
        <w:tc>
          <w:tcPr>
            <w:tcW w:w="6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90"/>
              </w:rPr>
              <w:t>62,085</w:t>
            </w:r>
          </w:p>
        </w:tc>
        <w:tc>
          <w:tcPr>
            <w:tcW w:w="296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90"/>
              </w:rPr>
              <w:t>January to March 2022</w:t>
            </w:r>
          </w:p>
        </w:tc>
        <w:tc>
          <w:tcPr>
            <w:tcW w:w="0" w:type="dxa"/>
            <w:vAlign w:val="bottom"/>
          </w:tcPr>
          <w:p>
            <w:pPr>
              <w:spacing w:after="0"/>
              <w:rPr>
                <w:sz w:val="1"/>
                <w:szCs w:val="1"/>
                <w:color w:val="auto"/>
              </w:rPr>
            </w:pPr>
          </w:p>
        </w:tc>
      </w:tr>
      <w:tr>
        <w:trPr>
          <w:trHeight w:val="243"/>
        </w:trPr>
        <w:tc>
          <w:tcPr>
            <w:tcW w:w="1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2021</w:t>
            </w:r>
          </w:p>
        </w:tc>
        <w:tc>
          <w:tcPr>
            <w:tcW w:w="102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2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3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Before March</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8"/>
              </w:rPr>
              <w:t>/</w:t>
            </w:r>
          </w:p>
        </w:tc>
        <w:tc>
          <w:tcPr>
            <w:tcW w:w="22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8"/>
                <w:szCs w:val="18"/>
                <w:color w:val="auto"/>
                <w:w w:val="89"/>
              </w:rPr>
              <w:t>1,348,869</w:t>
            </w:r>
          </w:p>
        </w:tc>
        <w:tc>
          <w:tcPr>
            <w:tcW w:w="1320" w:type="dxa"/>
            <w:vAlign w:val="bottom"/>
            <w:gridSpan w:val="2"/>
            <w:vMerge w:val="restart"/>
          </w:tcPr>
          <w:p>
            <w:pPr>
              <w:jc w:val="center"/>
              <w:ind w:left="532"/>
              <w:spacing w:after="0"/>
              <w:rPr>
                <w:sz w:val="20"/>
                <w:szCs w:val="20"/>
                <w:color w:val="auto"/>
              </w:rPr>
            </w:pPr>
            <w:r>
              <w:rPr>
                <w:rFonts w:ascii="Arial" w:cs="Arial" w:eastAsia="Arial" w:hAnsi="Arial"/>
                <w:sz w:val="18"/>
                <w:szCs w:val="18"/>
                <w:color w:val="auto"/>
                <w:w w:val="87"/>
              </w:rPr>
              <w:t>1,348,869</w:t>
            </w:r>
          </w:p>
        </w:tc>
        <w:tc>
          <w:tcPr>
            <w:tcW w:w="6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62,085</w:t>
            </w: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April to June 2022</w:t>
            </w:r>
          </w:p>
        </w:tc>
        <w:tc>
          <w:tcPr>
            <w:tcW w:w="0" w:type="dxa"/>
            <w:vAlign w:val="bottom"/>
          </w:tcPr>
          <w:p>
            <w:pPr>
              <w:spacing w:after="0"/>
              <w:rPr>
                <w:sz w:val="1"/>
                <w:szCs w:val="1"/>
                <w:color w:val="auto"/>
              </w:rPr>
            </w:pPr>
          </w:p>
        </w:tc>
      </w:tr>
      <w:tr>
        <w:trPr>
          <w:trHeight w:val="82"/>
        </w:trPr>
        <w:tc>
          <w:tcPr>
            <w:tcW w:w="1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20, 2022</w:t>
            </w:r>
          </w:p>
        </w:tc>
        <w:tc>
          <w:tcPr>
            <w:tcW w:w="102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gridSpan w:val="3"/>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2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32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2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3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7"/>
              </w:rPr>
              <w:t>Before June 20,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8"/>
              </w:rPr>
              <w:t>/</w:t>
            </w:r>
          </w:p>
        </w:tc>
        <w:tc>
          <w:tcPr>
            <w:tcW w:w="22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8"/>
                <w:szCs w:val="18"/>
                <w:color w:val="auto"/>
                <w:w w:val="89"/>
              </w:rPr>
              <w:t>1,348,869</w:t>
            </w:r>
          </w:p>
        </w:tc>
        <w:tc>
          <w:tcPr>
            <w:tcW w:w="1320" w:type="dxa"/>
            <w:vAlign w:val="bottom"/>
            <w:gridSpan w:val="2"/>
            <w:vMerge w:val="restart"/>
          </w:tcPr>
          <w:p>
            <w:pPr>
              <w:jc w:val="center"/>
              <w:ind w:left="532"/>
              <w:spacing w:after="0"/>
              <w:rPr>
                <w:sz w:val="20"/>
                <w:szCs w:val="20"/>
                <w:color w:val="auto"/>
              </w:rPr>
            </w:pPr>
            <w:r>
              <w:rPr>
                <w:rFonts w:ascii="Arial" w:cs="Arial" w:eastAsia="Arial" w:hAnsi="Arial"/>
                <w:sz w:val="18"/>
                <w:szCs w:val="18"/>
                <w:color w:val="auto"/>
                <w:w w:val="87"/>
              </w:rPr>
              <w:t>1,348,869</w:t>
            </w:r>
          </w:p>
        </w:tc>
        <w:tc>
          <w:tcPr>
            <w:tcW w:w="6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62,085</w:t>
            </w: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July to September 2022</w:t>
            </w:r>
          </w:p>
        </w:tc>
        <w:tc>
          <w:tcPr>
            <w:tcW w:w="0" w:type="dxa"/>
            <w:vAlign w:val="bottom"/>
          </w:tcPr>
          <w:p>
            <w:pPr>
              <w:spacing w:after="0"/>
              <w:rPr>
                <w:sz w:val="1"/>
                <w:szCs w:val="1"/>
                <w:color w:val="auto"/>
              </w:rPr>
            </w:pPr>
          </w:p>
        </w:tc>
      </w:tr>
      <w:tr>
        <w:trPr>
          <w:trHeight w:val="82"/>
        </w:trPr>
        <w:tc>
          <w:tcPr>
            <w:tcW w:w="1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2022</w:t>
            </w:r>
          </w:p>
        </w:tc>
        <w:tc>
          <w:tcPr>
            <w:tcW w:w="102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gridSpan w:val="3"/>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2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32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2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3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Before</w:t>
            </w:r>
          </w:p>
        </w:tc>
        <w:tc>
          <w:tcPr>
            <w:tcW w:w="10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October 2022 to January 15, 2023</w:t>
            </w:r>
          </w:p>
        </w:tc>
        <w:tc>
          <w:tcPr>
            <w:tcW w:w="0" w:type="dxa"/>
            <w:vAlign w:val="bottom"/>
          </w:tcPr>
          <w:p>
            <w:pPr>
              <w:spacing w:after="0"/>
              <w:rPr>
                <w:sz w:val="1"/>
                <w:szCs w:val="1"/>
                <w:color w:val="auto"/>
              </w:rPr>
            </w:pPr>
          </w:p>
        </w:tc>
      </w:tr>
      <w:tr>
        <w:trPr>
          <w:trHeight w:val="108"/>
        </w:trPr>
        <w:tc>
          <w:tcPr>
            <w:tcW w:w="1320" w:type="dxa"/>
            <w:vAlign w:val="bottom"/>
            <w:tcBorders>
              <w:left w:val="single" w:sz="8" w:color="auto"/>
              <w:right w:val="single" w:sz="8" w:color="auto"/>
            </w:tcBorders>
            <w:vMerge w:val="restart"/>
          </w:tcPr>
          <w:p>
            <w:pPr>
              <w:ind w:left="40"/>
              <w:spacing w:after="0" w:line="190" w:lineRule="exact"/>
              <w:rPr>
                <w:sz w:val="20"/>
                <w:szCs w:val="20"/>
                <w:color w:val="auto"/>
              </w:rPr>
            </w:pPr>
            <w:r>
              <w:rPr>
                <w:rFonts w:ascii="Arial" w:cs="Arial" w:eastAsia="Arial" w:hAnsi="Arial"/>
                <w:sz w:val="18"/>
                <w:szCs w:val="18"/>
                <w:color w:val="auto"/>
              </w:rPr>
              <w:t>September 20,</w:t>
            </w:r>
          </w:p>
        </w:tc>
        <w:tc>
          <w:tcPr>
            <w:tcW w:w="1020" w:type="dxa"/>
            <w:vAlign w:val="bottom"/>
            <w:tcBorders>
              <w:right w:val="single" w:sz="8" w:color="auto"/>
            </w:tcBorders>
            <w:vMerge w:val="restart"/>
          </w:tcPr>
          <w:p>
            <w:pPr>
              <w:jc w:val="center"/>
              <w:spacing w:after="0" w:line="190" w:lineRule="exact"/>
              <w:rPr>
                <w:sz w:val="20"/>
                <w:szCs w:val="20"/>
                <w:color w:val="auto"/>
              </w:rPr>
            </w:pPr>
            <w:r>
              <w:rPr>
                <w:rFonts w:ascii="Arial" w:cs="Arial" w:eastAsia="Arial" w:hAnsi="Arial"/>
                <w:sz w:val="18"/>
                <w:szCs w:val="18"/>
                <w:color w:val="auto"/>
                <w:w w:val="78"/>
              </w:rPr>
              <w:t>/</w:t>
            </w:r>
          </w:p>
        </w:tc>
        <w:tc>
          <w:tcPr>
            <w:tcW w:w="2260" w:type="dxa"/>
            <w:vAlign w:val="bottom"/>
            <w:tcBorders>
              <w:right w:val="single" w:sz="8" w:color="auto"/>
            </w:tcBorders>
            <w:gridSpan w:val="3"/>
            <w:vMerge w:val="restart"/>
          </w:tcPr>
          <w:p>
            <w:pPr>
              <w:jc w:val="center"/>
              <w:ind w:right="20"/>
              <w:spacing w:after="0" w:line="190" w:lineRule="exact"/>
              <w:rPr>
                <w:sz w:val="20"/>
                <w:szCs w:val="20"/>
                <w:color w:val="auto"/>
              </w:rPr>
            </w:pPr>
            <w:r>
              <w:rPr>
                <w:rFonts w:ascii="Arial" w:cs="Arial" w:eastAsia="Arial" w:hAnsi="Arial"/>
                <w:sz w:val="18"/>
                <w:szCs w:val="18"/>
                <w:color w:val="auto"/>
                <w:w w:val="90"/>
              </w:rPr>
              <w:t>1,348,869+221,732=1,570,601</w:t>
            </w:r>
          </w:p>
        </w:tc>
        <w:tc>
          <w:tcPr>
            <w:tcW w:w="1320" w:type="dxa"/>
            <w:vAlign w:val="bottom"/>
            <w:gridSpan w:val="2"/>
            <w:vMerge w:val="restart"/>
          </w:tcPr>
          <w:p>
            <w:pPr>
              <w:jc w:val="center"/>
              <w:ind w:left="532"/>
              <w:spacing w:after="0" w:line="190" w:lineRule="exact"/>
              <w:rPr>
                <w:sz w:val="20"/>
                <w:szCs w:val="20"/>
                <w:color w:val="auto"/>
              </w:rPr>
            </w:pPr>
            <w:r>
              <w:rPr>
                <w:rFonts w:ascii="Arial" w:cs="Arial" w:eastAsia="Arial" w:hAnsi="Arial"/>
                <w:sz w:val="18"/>
                <w:szCs w:val="18"/>
                <w:color w:val="auto"/>
                <w:w w:val="87"/>
              </w:rPr>
              <w:t>1,348,869</w:t>
            </w:r>
          </w:p>
        </w:tc>
        <w:tc>
          <w:tcPr>
            <w:tcW w:w="64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vMerge w:val="restart"/>
          </w:tcPr>
          <w:p>
            <w:pPr>
              <w:jc w:val="center"/>
              <w:spacing w:after="0" w:line="190" w:lineRule="exact"/>
              <w:rPr>
                <w:sz w:val="20"/>
                <w:szCs w:val="20"/>
                <w:color w:val="auto"/>
              </w:rPr>
            </w:pPr>
            <w:r>
              <w:rPr>
                <w:rFonts w:ascii="Arial" w:cs="Arial" w:eastAsia="Arial" w:hAnsi="Arial"/>
                <w:sz w:val="18"/>
                <w:szCs w:val="18"/>
                <w:color w:val="auto"/>
                <w:w w:val="91"/>
              </w:rPr>
              <w:t>62,085+10,206=72,291</w:t>
            </w:r>
          </w:p>
        </w:tc>
        <w:tc>
          <w:tcPr>
            <w:tcW w:w="2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320" w:type="dxa"/>
            <w:vAlign w:val="bottom"/>
            <w:tcBorders>
              <w:left w:val="single" w:sz="8" w:color="auto"/>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gridSpan w:val="3"/>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(15 days for January 2023)</w:t>
            </w:r>
          </w:p>
        </w:tc>
        <w:tc>
          <w:tcPr>
            <w:tcW w:w="0" w:type="dxa"/>
            <w:vAlign w:val="bottom"/>
          </w:tcPr>
          <w:p>
            <w:pPr>
              <w:spacing w:after="0"/>
              <w:rPr>
                <w:sz w:val="1"/>
                <w:szCs w:val="1"/>
                <w:color w:val="auto"/>
              </w:rPr>
            </w:pPr>
          </w:p>
        </w:tc>
      </w:tr>
      <w:tr>
        <w:trPr>
          <w:trHeight w:val="129"/>
        </w:trPr>
        <w:tc>
          <w:tcPr>
            <w:tcW w:w="1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2022</w:t>
            </w:r>
          </w:p>
        </w:tc>
        <w:tc>
          <w:tcPr>
            <w:tcW w:w="1020" w:type="dxa"/>
            <w:vAlign w:val="bottom"/>
            <w:tcBorders>
              <w:right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2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3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29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2"/>
        </w:trPr>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4"/>
                <w:szCs w:val="14"/>
                <w:color w:val="auto"/>
              </w:rPr>
              <w:t>12</w:t>
            </w: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60" w:name="page61"/>
    <w:bookmarkEnd w:id="60"/>
    <w:p>
      <w:pPr>
        <w:spacing w:after="0"/>
        <w:rPr>
          <w:sz w:val="20"/>
          <w:szCs w:val="20"/>
          <w:color w:val="auto"/>
        </w:rPr>
      </w:pPr>
      <w:r>
        <w:rPr>
          <w:rFonts w:ascii="Arial" w:cs="Arial" w:eastAsia="Arial" w:hAnsi="Arial"/>
          <w:sz w:val="22"/>
          <w:szCs w:val="22"/>
          <w:b w:val="1"/>
          <w:bCs w:val="1"/>
          <w:color w:val="auto"/>
        </w:rPr>
        <w:t>Annex IV</w:t>
      </w:r>
    </w:p>
    <w:p>
      <w:pPr>
        <w:spacing w:after="0" w:line="234"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Overview of Existing Decorations, Ancillary Facilities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165100</wp:posOffset>
            </wp:positionV>
            <wp:extent cx="570928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Floor: cement floor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Inner wall: brick structure with tie column, cement mortar painting</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External wall: brick structure with tie column, cement mortar painting</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Ceiling and lighting: lighting lamp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Fire control: fire hydrant and smoke sensing system</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other decoration-related demands in response to special operations shall be negotiated by both Parties and confirmed by Party A, with the corresponding expenses to be borne by Party B.</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Equipment and Facilities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Air conditioning: </w:t>
      </w:r>
      <w:r>
        <w:rPr>
          <w:rFonts w:ascii="Arial" w:cs="Arial" w:eastAsia="Arial" w:hAnsi="Arial"/>
          <w:sz w:val="18"/>
          <w:szCs w:val="18"/>
          <w:color w:val="auto"/>
        </w:rPr>
        <w:t>Party B shall be responsible for the installation and bear the relevant expenses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Power supply: </w:t>
      </w:r>
      <w:r>
        <w:rPr>
          <w:rFonts w:ascii="Arial" w:cs="Arial" w:eastAsia="Arial" w:hAnsi="Arial"/>
          <w:sz w:val="17"/>
          <w:szCs w:val="17"/>
          <w:color w:val="auto"/>
        </w:rPr>
        <w:t>The property management company shall properly coordinate with the power supply department in enabling the around-the-clock supply of</w:t>
      </w:r>
      <w:r>
        <w:rPr>
          <w:rFonts w:ascii="Arial" w:cs="Arial" w:eastAsia="Arial" w:hAnsi="Arial"/>
          <w:sz w:val="17"/>
          <w:szCs w:val="17"/>
          <w:b w:val="1"/>
          <w:bCs w:val="1"/>
          <w:color w:val="auto"/>
        </w:rPr>
        <w:t xml:space="preserve"> </w:t>
      </w:r>
      <w:r>
        <w:rPr>
          <w:rFonts w:ascii="Arial" w:cs="Arial" w:eastAsia="Arial" w:hAnsi="Arial"/>
          <w:sz w:val="17"/>
          <w:szCs w:val="17"/>
          <w:color w:val="auto"/>
        </w:rPr>
        <w:t>lighting and power to Party B as required for its business (except for the maintenance and troubleshooting to be conducted by the power supply department in the place where the Plant is located). In case of power supply failure (whether it is attributable to Party A or the property management company or the power supply department) for more than [24] hours, Party A shall (or procure the property management company to) take such temporary power supply measures as necessary to ensure to meet the normal power demand of Party B.</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Fire control, alarm and spray system: </w:t>
      </w:r>
      <w:r>
        <w:rPr>
          <w:rFonts w:ascii="Arial" w:cs="Arial" w:eastAsia="Arial" w:hAnsi="Arial"/>
          <w:sz w:val="18"/>
          <w:szCs w:val="18"/>
          <w:color w:val="auto"/>
        </w:rPr>
        <w:t>Party A shall provide fire control system facilities required in the specifications. Party B shall arrange the design</w:t>
      </w:r>
      <w:r>
        <w:rPr>
          <w:rFonts w:ascii="Arial" w:cs="Arial" w:eastAsia="Arial" w:hAnsi="Arial"/>
          <w:sz w:val="18"/>
          <w:szCs w:val="18"/>
          <w:b w:val="1"/>
          <w:bCs w:val="1"/>
          <w:color w:val="auto"/>
        </w:rPr>
        <w:t xml:space="preserve"> </w:t>
      </w:r>
      <w:r>
        <w:rPr>
          <w:rFonts w:ascii="Arial" w:cs="Arial" w:eastAsia="Arial" w:hAnsi="Arial"/>
          <w:sz w:val="18"/>
          <w:szCs w:val="18"/>
          <w:color w:val="auto"/>
        </w:rPr>
        <w:t>drawings of fire control, alarm and spray terminals by itself and report them to the local fire department. After approval, the construction shall be carried out by the professional fire control company designated by the property management company. Party B shall be responsible for the materials and bear the installation costs of the above terminal facilities.</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Telephone line and network line: </w:t>
      </w:r>
      <w:r>
        <w:rPr>
          <w:rFonts w:ascii="Arial" w:cs="Arial" w:eastAsia="Arial" w:hAnsi="Arial"/>
          <w:sz w:val="18"/>
          <w:szCs w:val="18"/>
          <w:color w:val="auto"/>
        </w:rPr>
        <w:t>Party B shall be responsible for the design, construction and installation of the work from each household to the weak</w:t>
      </w:r>
      <w:r>
        <w:rPr>
          <w:rFonts w:ascii="Arial" w:cs="Arial" w:eastAsia="Arial" w:hAnsi="Arial"/>
          <w:sz w:val="18"/>
          <w:szCs w:val="18"/>
          <w:b w:val="1"/>
          <w:bCs w:val="1"/>
          <w:color w:val="auto"/>
        </w:rPr>
        <w:t xml:space="preserve"> </w:t>
      </w:r>
      <w:r>
        <w:rPr>
          <w:rFonts w:ascii="Arial" w:cs="Arial" w:eastAsia="Arial" w:hAnsi="Arial"/>
          <w:sz w:val="18"/>
          <w:szCs w:val="18"/>
          <w:color w:val="auto"/>
        </w:rPr>
        <w:t>case and the subsequent work, and shall report the same to relevant departments by itself.</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jc w:val="both"/>
        <w:spacing w:after="0" w:line="266" w:lineRule="auto"/>
        <w:rPr>
          <w:sz w:val="20"/>
          <w:szCs w:val="20"/>
          <w:color w:val="auto"/>
        </w:rPr>
      </w:pPr>
      <w:r>
        <w:rPr>
          <w:rFonts w:ascii="Arial" w:cs="Arial" w:eastAsia="Arial" w:hAnsi="Arial"/>
          <w:sz w:val="18"/>
          <w:szCs w:val="18"/>
          <w:b w:val="1"/>
          <w:bCs w:val="1"/>
          <w:color w:val="auto"/>
        </w:rPr>
        <w:t xml:space="preserve">Water supply: </w:t>
      </w:r>
      <w:r>
        <w:rPr>
          <w:rFonts w:ascii="Arial" w:cs="Arial" w:eastAsia="Arial" w:hAnsi="Arial"/>
          <w:sz w:val="18"/>
          <w:szCs w:val="18"/>
          <w:color w:val="auto"/>
        </w:rPr>
        <w:t>the property management company shall supply tap water as required around the clock to the site, be responsible for installing the main</w:t>
      </w:r>
      <w:r>
        <w:rPr>
          <w:rFonts w:ascii="Arial" w:cs="Arial" w:eastAsia="Arial" w:hAnsi="Arial"/>
          <w:sz w:val="18"/>
          <w:szCs w:val="18"/>
          <w:b w:val="1"/>
          <w:bCs w:val="1"/>
          <w:color w:val="auto"/>
        </w:rPr>
        <w:t xml:space="preserve"> </w:t>
      </w:r>
      <w:r>
        <w:rPr>
          <w:rFonts w:ascii="Arial" w:cs="Arial" w:eastAsia="Arial" w:hAnsi="Arial"/>
          <w:sz w:val="18"/>
          <w:szCs w:val="18"/>
          <w:color w:val="auto"/>
        </w:rPr>
        <w:t>pipe for water supply and the water meter to the position designed by Party A, and undertake the corresponding works at its expense; after which Party B shall undertake the arrangement works and bear the costs therefor.</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pipelines and equipment in the toilet shall meet the requirements of Party B.</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b w:val="1"/>
          <w:bCs w:val="1"/>
          <w:color w:val="auto"/>
        </w:rPr>
        <w:t>Annex V</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Confirmation on House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165100</wp:posOffset>
            </wp:positionV>
            <wp:extent cx="570928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Party A and Party B hereby state that Party A has delivered to Party B the second floor of the Plant before </w:t>
      </w:r>
      <w:r>
        <w:rPr>
          <w:rFonts w:ascii="Arial" w:cs="Arial" w:eastAsia="Arial" w:hAnsi="Arial"/>
          <w:sz w:val="22"/>
          <w:szCs w:val="22"/>
          <w:u w:val="single" w:color="auto"/>
          <w:color w:val="auto"/>
        </w:rPr>
        <w:t>February 1, 2021</w:t>
      </w:r>
      <w:r>
        <w:rPr>
          <w:rFonts w:ascii="Arial" w:cs="Arial" w:eastAsia="Arial" w:hAnsi="Arial"/>
          <w:sz w:val="22"/>
          <w:szCs w:val="22"/>
          <w:color w:val="auto"/>
        </w:rPr>
        <w:t xml:space="preserve"> and the first floor thereof before </w:t>
      </w:r>
      <w:r>
        <w:rPr>
          <w:rFonts w:ascii="Arial" w:cs="Arial" w:eastAsia="Arial" w:hAnsi="Arial"/>
          <w:sz w:val="22"/>
          <w:szCs w:val="22"/>
          <w:u w:val="single" w:color="auto"/>
          <w:color w:val="auto"/>
        </w:rPr>
        <w:t>March 1, 2021</w:t>
      </w:r>
      <w:r>
        <w:rPr>
          <w:rFonts w:ascii="Arial" w:cs="Arial" w:eastAsia="Arial" w:hAnsi="Arial"/>
          <w:sz w:val="22"/>
          <w:szCs w:val="22"/>
          <w:color w:val="auto"/>
        </w:rPr>
        <w:t>. From the date of actual delivery, the Plant has been under the control of Party B, both Parties having no need to go through other delivery procedures.</w:t>
      </w:r>
    </w:p>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Both parties confirm that the Plant has a floor area of </w:t>
      </w:r>
      <w:r>
        <w:rPr>
          <w:rFonts w:ascii="Arial" w:cs="Arial" w:eastAsia="Arial" w:hAnsi="Arial"/>
          <w:sz w:val="19"/>
          <w:szCs w:val="19"/>
          <w:u w:val="single" w:color="auto"/>
          <w:color w:val="auto"/>
        </w:rPr>
        <w:t>[9,854.76]</w:t>
      </w:r>
      <w:r>
        <w:rPr>
          <w:rFonts w:ascii="Arial" w:cs="Arial" w:eastAsia="Arial" w:hAnsi="Arial"/>
          <w:sz w:val="19"/>
          <w:szCs w:val="19"/>
          <w:color w:val="auto"/>
        </w:rPr>
        <w:t xml:space="preserve"> square meters (the rent, property management fees and other related expenses to be counted hereunder shall be subject to the area approved in the certificate of real estate ownership).</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Both Parties confirm that the following defects are found on the part of the Plant at the time of delivery: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Party 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Representative/Authorized Agent (Signature):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Party B:</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Representative/Authorized Agent (Signature):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Executed on:</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David H. Wang, certify that:</w:t>
      </w:r>
    </w:p>
    <w:p>
      <w:pPr>
        <w:spacing w:after="0" w:line="233"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ACM Research, Inc.</w:t>
      </w:r>
    </w:p>
    <w:p>
      <w:pPr>
        <w:spacing w:after="0" w:line="233" w:lineRule="exact"/>
        <w:rPr>
          <w:rFonts w:ascii="Arial" w:cs="Arial" w:eastAsia="Arial" w:hAnsi="Arial"/>
          <w:sz w:val="22"/>
          <w:szCs w:val="22"/>
          <w:color w:val="auto"/>
        </w:rPr>
      </w:pPr>
    </w:p>
    <w:p>
      <w:pPr>
        <w:jc w:val="both"/>
        <w:ind w:right="360" w:firstLine="8"/>
        <w:spacing w:after="0"/>
        <w:tabs>
          <w:tab w:leader="none" w:pos="216" w:val="left"/>
        </w:tabs>
        <w:numPr>
          <w:ilvl w:val="0"/>
          <w:numId w:val="33"/>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3" w:lineRule="exact"/>
        <w:rPr>
          <w:rFonts w:ascii="Arial" w:cs="Arial" w:eastAsia="Arial" w:hAnsi="Arial"/>
          <w:sz w:val="22"/>
          <w:szCs w:val="22"/>
          <w:color w:val="auto"/>
        </w:rPr>
      </w:pPr>
    </w:p>
    <w:p>
      <w:pPr>
        <w:ind w:right="40" w:firstLine="8"/>
        <w:spacing w:after="0"/>
        <w:tabs>
          <w:tab w:leader="none" w:pos="216" w:val="left"/>
        </w:tabs>
        <w:numPr>
          <w:ilvl w:val="0"/>
          <w:numId w:val="33"/>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right="160" w:firstLine="8"/>
        <w:spacing w:after="0"/>
        <w:tabs>
          <w:tab w:leader="none" w:pos="216"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Arial" w:cs="Arial" w:eastAsia="Arial" w:hAnsi="Arial"/>
          <w:sz w:val="22"/>
          <w:szCs w:val="22"/>
          <w:color w:val="auto"/>
        </w:rPr>
      </w:pPr>
    </w:p>
    <w:p>
      <w:pPr>
        <w:ind w:left="940" w:hanging="284"/>
        <w:spacing w:after="0"/>
        <w:tabs>
          <w:tab w:leader="none" w:pos="940" w:val="left"/>
        </w:tabs>
        <w:numPr>
          <w:ilvl w:val="1"/>
          <w:numId w:val="33"/>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w:t>
      </w:r>
    </w:p>
    <w:p>
      <w:pPr>
        <w:spacing w:after="0" w:line="42" w:lineRule="exact"/>
        <w:rPr>
          <w:rFonts w:ascii="Arial" w:cs="Arial" w:eastAsia="Arial" w:hAnsi="Arial"/>
          <w:sz w:val="19"/>
          <w:szCs w:val="19"/>
          <w:color w:val="auto"/>
        </w:rPr>
      </w:pPr>
    </w:p>
    <w:p>
      <w:pPr>
        <w:ind w:left="660" w:right="20"/>
        <w:spacing w:after="0" w:line="308" w:lineRule="auto"/>
        <w:rPr>
          <w:rFonts w:ascii="Arial" w:cs="Arial" w:eastAsia="Arial" w:hAnsi="Arial"/>
          <w:sz w:val="19"/>
          <w:szCs w:val="19"/>
          <w:color w:val="auto"/>
        </w:rPr>
      </w:pPr>
      <w:r>
        <w:rPr>
          <w:rFonts w:ascii="Arial" w:cs="Arial" w:eastAsia="Arial" w:hAnsi="Arial"/>
          <w:sz w:val="19"/>
          <w:szCs w:val="19"/>
          <w:color w:val="auto"/>
        </w:rPr>
        <w:t>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9"/>
          <w:szCs w:val="19"/>
          <w:color w:val="auto"/>
        </w:rPr>
      </w:pPr>
    </w:p>
    <w:p>
      <w:pPr>
        <w:ind w:left="660" w:right="260" w:hanging="4"/>
        <w:spacing w:after="0" w:line="297" w:lineRule="auto"/>
        <w:tabs>
          <w:tab w:leader="none" w:pos="966" w:val="left"/>
        </w:tabs>
        <w:numPr>
          <w:ilvl w:val="1"/>
          <w:numId w:val="3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9"/>
          <w:szCs w:val="19"/>
          <w:color w:val="auto"/>
        </w:rPr>
      </w:pPr>
    </w:p>
    <w:p>
      <w:pPr>
        <w:ind w:left="660" w:right="200" w:hanging="4"/>
        <w:spacing w:after="0"/>
        <w:tabs>
          <w:tab w:leader="none" w:pos="954" w:val="left"/>
        </w:tabs>
        <w:numPr>
          <w:ilvl w:val="1"/>
          <w:numId w:val="33"/>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ind w:left="660" w:right="140" w:hanging="4"/>
        <w:spacing w:after="0" w:line="297" w:lineRule="auto"/>
        <w:tabs>
          <w:tab w:leader="none" w:pos="966" w:val="left"/>
        </w:tabs>
        <w:numPr>
          <w:ilvl w:val="1"/>
          <w:numId w:val="33"/>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0" w:lineRule="exact"/>
        <w:rPr>
          <w:rFonts w:ascii="Arial" w:cs="Arial" w:eastAsia="Arial" w:hAnsi="Arial"/>
          <w:sz w:val="19"/>
          <w:szCs w:val="19"/>
          <w:color w:val="auto"/>
        </w:rPr>
      </w:pPr>
    </w:p>
    <w:p>
      <w:pPr>
        <w:ind w:right="560" w:firstLine="8"/>
        <w:spacing w:after="0"/>
        <w:tabs>
          <w:tab w:leader="none" w:pos="216"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rFonts w:ascii="Arial" w:cs="Arial" w:eastAsia="Arial" w:hAnsi="Arial"/>
          <w:sz w:val="22"/>
          <w:szCs w:val="22"/>
          <w:color w:val="auto"/>
        </w:rPr>
      </w:pPr>
    </w:p>
    <w:p>
      <w:pPr>
        <w:ind w:left="660" w:right="200" w:hanging="4"/>
        <w:spacing w:after="0"/>
        <w:tabs>
          <w:tab w:leader="none" w:pos="954" w:val="left"/>
        </w:tabs>
        <w:numPr>
          <w:ilvl w:val="1"/>
          <w:numId w:val="33"/>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660" w:right="300" w:hanging="4"/>
        <w:spacing w:after="0" w:line="250" w:lineRule="auto"/>
        <w:tabs>
          <w:tab w:leader="none" w:pos="966" w:val="left"/>
        </w:tabs>
        <w:numPr>
          <w:ilvl w:val="1"/>
          <w:numId w:val="33"/>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H. Wang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31.02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Mark McKechnie, certify that:</w:t>
      </w:r>
    </w:p>
    <w:p>
      <w:pPr>
        <w:spacing w:after="0" w:line="233"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ACM Research, Inc.</w:t>
      </w:r>
    </w:p>
    <w:p>
      <w:pPr>
        <w:spacing w:after="0" w:line="233" w:lineRule="exact"/>
        <w:rPr>
          <w:rFonts w:ascii="Arial" w:cs="Arial" w:eastAsia="Arial" w:hAnsi="Arial"/>
          <w:sz w:val="22"/>
          <w:szCs w:val="22"/>
          <w:color w:val="auto"/>
        </w:rPr>
      </w:pPr>
    </w:p>
    <w:p>
      <w:pPr>
        <w:jc w:val="both"/>
        <w:ind w:right="360" w:firstLine="8"/>
        <w:spacing w:after="0"/>
        <w:tabs>
          <w:tab w:leader="none" w:pos="216" w:val="left"/>
        </w:tabs>
        <w:numPr>
          <w:ilvl w:val="0"/>
          <w:numId w:val="34"/>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3" w:lineRule="exact"/>
        <w:rPr>
          <w:rFonts w:ascii="Arial" w:cs="Arial" w:eastAsia="Arial" w:hAnsi="Arial"/>
          <w:sz w:val="22"/>
          <w:szCs w:val="22"/>
          <w:color w:val="auto"/>
        </w:rPr>
      </w:pPr>
    </w:p>
    <w:p>
      <w:pPr>
        <w:ind w:right="40" w:firstLine="8"/>
        <w:spacing w:after="0"/>
        <w:tabs>
          <w:tab w:leader="none" w:pos="216" w:val="left"/>
        </w:tabs>
        <w:numPr>
          <w:ilvl w:val="0"/>
          <w:numId w:val="34"/>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right="160" w:firstLine="8"/>
        <w:spacing w:after="0"/>
        <w:tabs>
          <w:tab w:leader="none" w:pos="216"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Arial" w:cs="Arial" w:eastAsia="Arial" w:hAnsi="Arial"/>
          <w:sz w:val="22"/>
          <w:szCs w:val="22"/>
          <w:color w:val="auto"/>
        </w:rPr>
      </w:pPr>
    </w:p>
    <w:p>
      <w:pPr>
        <w:ind w:left="940" w:hanging="284"/>
        <w:spacing w:after="0"/>
        <w:tabs>
          <w:tab w:leader="none" w:pos="940" w:val="left"/>
        </w:tabs>
        <w:numPr>
          <w:ilvl w:val="1"/>
          <w:numId w:val="34"/>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w:t>
      </w:r>
    </w:p>
    <w:p>
      <w:pPr>
        <w:spacing w:after="0" w:line="42" w:lineRule="exact"/>
        <w:rPr>
          <w:rFonts w:ascii="Arial" w:cs="Arial" w:eastAsia="Arial" w:hAnsi="Arial"/>
          <w:sz w:val="19"/>
          <w:szCs w:val="19"/>
          <w:color w:val="auto"/>
        </w:rPr>
      </w:pPr>
    </w:p>
    <w:p>
      <w:pPr>
        <w:ind w:left="660" w:right="20"/>
        <w:spacing w:after="0" w:line="308" w:lineRule="auto"/>
        <w:rPr>
          <w:rFonts w:ascii="Arial" w:cs="Arial" w:eastAsia="Arial" w:hAnsi="Arial"/>
          <w:sz w:val="19"/>
          <w:szCs w:val="19"/>
          <w:color w:val="auto"/>
        </w:rPr>
      </w:pPr>
      <w:r>
        <w:rPr>
          <w:rFonts w:ascii="Arial" w:cs="Arial" w:eastAsia="Arial" w:hAnsi="Arial"/>
          <w:sz w:val="19"/>
          <w:szCs w:val="19"/>
          <w:color w:val="auto"/>
        </w:rPr>
        <w:t>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9"/>
          <w:szCs w:val="19"/>
          <w:color w:val="auto"/>
        </w:rPr>
      </w:pPr>
    </w:p>
    <w:p>
      <w:pPr>
        <w:ind w:left="660" w:right="260" w:hanging="4"/>
        <w:spacing w:after="0" w:line="297" w:lineRule="auto"/>
        <w:tabs>
          <w:tab w:leader="none" w:pos="966" w:val="left"/>
        </w:tabs>
        <w:numPr>
          <w:ilvl w:val="1"/>
          <w:numId w:val="3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9"/>
          <w:szCs w:val="19"/>
          <w:color w:val="auto"/>
        </w:rPr>
      </w:pPr>
    </w:p>
    <w:p>
      <w:pPr>
        <w:ind w:left="660" w:right="200" w:hanging="4"/>
        <w:spacing w:after="0"/>
        <w:tabs>
          <w:tab w:leader="none" w:pos="954" w:val="left"/>
        </w:tabs>
        <w:numPr>
          <w:ilvl w:val="1"/>
          <w:numId w:val="34"/>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ind w:left="660" w:right="140" w:hanging="4"/>
        <w:spacing w:after="0" w:line="297" w:lineRule="auto"/>
        <w:tabs>
          <w:tab w:leader="none" w:pos="966" w:val="left"/>
        </w:tabs>
        <w:numPr>
          <w:ilvl w:val="1"/>
          <w:numId w:val="34"/>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0" w:lineRule="exact"/>
        <w:rPr>
          <w:rFonts w:ascii="Arial" w:cs="Arial" w:eastAsia="Arial" w:hAnsi="Arial"/>
          <w:sz w:val="19"/>
          <w:szCs w:val="19"/>
          <w:color w:val="auto"/>
        </w:rPr>
      </w:pPr>
    </w:p>
    <w:p>
      <w:pPr>
        <w:ind w:right="260" w:firstLine="8"/>
        <w:spacing w:after="0"/>
        <w:tabs>
          <w:tab w:leader="none" w:pos="216"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13" w:lineRule="exact"/>
        <w:rPr>
          <w:rFonts w:ascii="Arial" w:cs="Arial" w:eastAsia="Arial" w:hAnsi="Arial"/>
          <w:sz w:val="22"/>
          <w:szCs w:val="22"/>
          <w:color w:val="auto"/>
        </w:rPr>
      </w:pPr>
    </w:p>
    <w:p>
      <w:pPr>
        <w:ind w:left="660" w:right="200" w:hanging="4"/>
        <w:spacing w:after="0"/>
        <w:tabs>
          <w:tab w:leader="none" w:pos="954" w:val="left"/>
        </w:tabs>
        <w:numPr>
          <w:ilvl w:val="1"/>
          <w:numId w:val="34"/>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660" w:right="300" w:hanging="4"/>
        <w:spacing w:after="0" w:line="250" w:lineRule="auto"/>
        <w:tabs>
          <w:tab w:leader="none" w:pos="966"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7"/>
          <w:szCs w:val="17"/>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Executive Vice President and 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connection with the Quarterly Report on Form 10-Q of ACM Research, Inc. for the quarterly period ended September 30, 2020,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211"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120" w:firstLine="8"/>
        <w:spacing w:after="0" w:line="277"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ACM Research, Inc. for the period presented therein.</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H. Wang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7"/>
          <w:szCs w:val="17"/>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Executive Vice President and 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2"/>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6"/>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2021-05-07T16:26:17Z</dcterms:created>
  <dcterms:modified xsi:type="dcterms:W3CDTF">2021-05-07T16:26:17Z</dcterms:modified>
</cp:coreProperties>
</file>