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204470</wp:posOffset>
            </wp:positionH>
            <wp:positionV relativeFrom="page">
              <wp:posOffset>161925</wp:posOffset>
            </wp:positionV>
            <wp:extent cx="713994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274955</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i w:val="1"/>
          <w:iCs w:val="1"/>
          <w:color w:val="auto"/>
        </w:rPr>
        <w:t>(Mark One)</w:t>
      </w:r>
    </w:p>
    <w:p>
      <w:pPr>
        <w:spacing w:after="0" w:line="2" w:lineRule="exact"/>
        <w:rPr>
          <w:sz w:val="24"/>
          <w:szCs w:val="24"/>
          <w:color w:val="auto"/>
        </w:rPr>
      </w:pPr>
    </w:p>
    <w:p>
      <w:pPr>
        <w:ind w:left="460" w:right="2160" w:hanging="458"/>
        <w:spacing w:after="0" w:line="252" w:lineRule="auto"/>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4" w:lineRule="exact"/>
        <w:rPr>
          <w:sz w:val="24"/>
          <w:szCs w:val="24"/>
          <w:color w:val="auto"/>
        </w:rPr>
      </w:pPr>
    </w:p>
    <w:p>
      <w:pPr>
        <w:ind w:left="460" w:right="2140" w:hanging="458"/>
        <w:spacing w:after="0" w:line="264" w:lineRule="auto"/>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 to _____________</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3324860</wp:posOffset>
            </wp:positionH>
            <wp:positionV relativeFrom="paragraph">
              <wp:posOffset>161290</wp:posOffset>
            </wp:positionV>
            <wp:extent cx="493395" cy="307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3395" cy="3073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ACM Research,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219" w:lineRule="exact"/>
        <w:rPr>
          <w:sz w:val="24"/>
          <w:szCs w:val="24"/>
          <w:color w:val="auto"/>
        </w:rPr>
      </w:pPr>
    </w:p>
    <w:tbl>
      <w:tblPr>
        <w:tblLayout w:type="fixed"/>
        <w:tblInd w:w="640" w:type="dxa"/>
        <w:tblCellMar>
          <w:top w:w="0" w:type="dxa"/>
          <w:left w:w="0" w:type="dxa"/>
          <w:bottom w:w="0" w:type="dxa"/>
          <w:right w:w="0" w:type="dxa"/>
        </w:tblCellMar>
      </w:tblPr>
      <w:tr>
        <w:trPr>
          <w:trHeight w:val="208"/>
        </w:trPr>
        <w:tc>
          <w:tcPr>
            <w:tcW w:w="5440" w:type="dxa"/>
            <w:vAlign w:val="bottom"/>
          </w:tcPr>
          <w:p>
            <w:pPr>
              <w:jc w:val="center"/>
              <w:ind w:right="1115"/>
              <w:spacing w:after="0"/>
              <w:rPr>
                <w:sz w:val="20"/>
                <w:szCs w:val="20"/>
                <w:color w:val="auto"/>
              </w:rPr>
            </w:pPr>
            <w:r>
              <w:rPr>
                <w:rFonts w:ascii="Arial" w:cs="Arial" w:eastAsia="Arial" w:hAnsi="Arial"/>
                <w:sz w:val="17"/>
                <w:szCs w:val="17"/>
                <w:b w:val="1"/>
                <w:bCs w:val="1"/>
                <w:color w:val="auto"/>
                <w:w w:val="91"/>
              </w:rPr>
              <w:t>Delaware</w:t>
            </w:r>
          </w:p>
        </w:tc>
        <w:tc>
          <w:tcPr>
            <w:tcW w:w="3620" w:type="dxa"/>
            <w:vAlign w:val="bottom"/>
          </w:tcPr>
          <w:p>
            <w:pPr>
              <w:jc w:val="right"/>
              <w:ind w:right="715"/>
              <w:spacing w:after="0"/>
              <w:rPr>
                <w:sz w:val="20"/>
                <w:szCs w:val="20"/>
                <w:color w:val="auto"/>
              </w:rPr>
            </w:pPr>
            <w:r>
              <w:rPr>
                <w:rFonts w:ascii="Arial" w:cs="Arial" w:eastAsia="Arial" w:hAnsi="Arial"/>
                <w:sz w:val="17"/>
                <w:szCs w:val="17"/>
                <w:b w:val="1"/>
                <w:bCs w:val="1"/>
                <w:color w:val="auto"/>
              </w:rPr>
              <w:t>94-3290283</w:t>
            </w:r>
          </w:p>
        </w:tc>
      </w:tr>
      <w:tr>
        <w:trPr>
          <w:trHeight w:val="215"/>
        </w:trPr>
        <w:tc>
          <w:tcPr>
            <w:tcW w:w="5440" w:type="dxa"/>
            <w:vAlign w:val="bottom"/>
          </w:tcPr>
          <w:p>
            <w:pPr>
              <w:jc w:val="center"/>
              <w:ind w:right="1115"/>
              <w:spacing w:after="0"/>
              <w:rPr>
                <w:sz w:val="20"/>
                <w:szCs w:val="20"/>
                <w:color w:val="auto"/>
              </w:rPr>
            </w:pPr>
            <w:r>
              <w:rPr>
                <w:rFonts w:ascii="Arial" w:cs="Arial" w:eastAsia="Arial" w:hAnsi="Arial"/>
                <w:sz w:val="17"/>
                <w:szCs w:val="17"/>
                <w:i w:val="1"/>
                <w:iCs w:val="1"/>
                <w:color w:val="auto"/>
                <w:w w:val="93"/>
              </w:rPr>
              <w:t>(State or Other Jurisdiction of Incorporation or Organization)</w:t>
            </w:r>
          </w:p>
        </w:tc>
        <w:tc>
          <w:tcPr>
            <w:tcW w:w="3620" w:type="dxa"/>
            <w:vAlign w:val="bottom"/>
          </w:tcPr>
          <w:p>
            <w:pPr>
              <w:jc w:val="center"/>
              <w:ind w:left="1115"/>
              <w:spacing w:after="0"/>
              <w:rPr>
                <w:sz w:val="20"/>
                <w:szCs w:val="20"/>
                <w:color w:val="auto"/>
              </w:rPr>
            </w:pPr>
            <w:r>
              <w:rPr>
                <w:rFonts w:ascii="Arial" w:cs="Arial" w:eastAsia="Arial" w:hAnsi="Arial"/>
                <w:sz w:val="17"/>
                <w:szCs w:val="17"/>
                <w:i w:val="1"/>
                <w:iCs w:val="1"/>
                <w:color w:val="auto"/>
                <w:w w:val="92"/>
              </w:rPr>
              <w:t>(I.R.S. Employer Identification No.)</w:t>
            </w:r>
          </w:p>
        </w:tc>
      </w:tr>
      <w:tr>
        <w:trPr>
          <w:trHeight w:val="392"/>
        </w:trPr>
        <w:tc>
          <w:tcPr>
            <w:tcW w:w="5440" w:type="dxa"/>
            <w:vAlign w:val="bottom"/>
          </w:tcPr>
          <w:p>
            <w:pPr>
              <w:jc w:val="center"/>
              <w:ind w:right="1115"/>
              <w:spacing w:after="0"/>
              <w:rPr>
                <w:sz w:val="20"/>
                <w:szCs w:val="20"/>
                <w:color w:val="auto"/>
              </w:rPr>
            </w:pPr>
            <w:r>
              <w:rPr>
                <w:rFonts w:ascii="Arial" w:cs="Arial" w:eastAsia="Arial" w:hAnsi="Arial"/>
                <w:sz w:val="17"/>
                <w:szCs w:val="17"/>
                <w:b w:val="1"/>
                <w:bCs w:val="1"/>
                <w:color w:val="auto"/>
                <w:w w:val="89"/>
              </w:rPr>
              <w:t>42307 Osgood Road, Suite I</w:t>
            </w:r>
          </w:p>
        </w:tc>
        <w:tc>
          <w:tcPr>
            <w:tcW w:w="3620" w:type="dxa"/>
            <w:vAlign w:val="bottom"/>
          </w:tcPr>
          <w:p>
            <w:pPr>
              <w:spacing w:after="0"/>
              <w:rPr>
                <w:sz w:val="24"/>
                <w:szCs w:val="24"/>
                <w:color w:val="auto"/>
              </w:rPr>
            </w:pPr>
          </w:p>
        </w:tc>
      </w:tr>
      <w:tr>
        <w:trPr>
          <w:trHeight w:val="208"/>
        </w:trPr>
        <w:tc>
          <w:tcPr>
            <w:tcW w:w="5440" w:type="dxa"/>
            <w:vAlign w:val="bottom"/>
          </w:tcPr>
          <w:p>
            <w:pPr>
              <w:jc w:val="center"/>
              <w:ind w:right="1135"/>
              <w:spacing w:after="0"/>
              <w:rPr>
                <w:sz w:val="20"/>
                <w:szCs w:val="20"/>
                <w:color w:val="auto"/>
              </w:rPr>
            </w:pPr>
            <w:r>
              <w:rPr>
                <w:rFonts w:ascii="Arial" w:cs="Arial" w:eastAsia="Arial" w:hAnsi="Arial"/>
                <w:sz w:val="17"/>
                <w:szCs w:val="17"/>
                <w:b w:val="1"/>
                <w:bCs w:val="1"/>
                <w:color w:val="auto"/>
                <w:w w:val="93"/>
              </w:rPr>
              <w:t>Fremont, California</w:t>
            </w:r>
          </w:p>
        </w:tc>
        <w:tc>
          <w:tcPr>
            <w:tcW w:w="3620" w:type="dxa"/>
            <w:vAlign w:val="bottom"/>
          </w:tcPr>
          <w:p>
            <w:pPr>
              <w:jc w:val="right"/>
              <w:ind w:right="915"/>
              <w:spacing w:after="0"/>
              <w:rPr>
                <w:sz w:val="20"/>
                <w:szCs w:val="20"/>
                <w:color w:val="auto"/>
              </w:rPr>
            </w:pPr>
            <w:r>
              <w:rPr>
                <w:rFonts w:ascii="Arial" w:cs="Arial" w:eastAsia="Arial" w:hAnsi="Arial"/>
                <w:sz w:val="17"/>
                <w:szCs w:val="17"/>
                <w:b w:val="1"/>
                <w:bCs w:val="1"/>
                <w:color w:val="auto"/>
              </w:rPr>
              <w:t>94539</w:t>
            </w:r>
          </w:p>
        </w:tc>
      </w:tr>
      <w:tr>
        <w:trPr>
          <w:trHeight w:val="215"/>
        </w:trPr>
        <w:tc>
          <w:tcPr>
            <w:tcW w:w="5440" w:type="dxa"/>
            <w:vAlign w:val="bottom"/>
          </w:tcPr>
          <w:p>
            <w:pPr>
              <w:jc w:val="center"/>
              <w:ind w:right="1115"/>
              <w:spacing w:after="0"/>
              <w:rPr>
                <w:sz w:val="20"/>
                <w:szCs w:val="20"/>
                <w:color w:val="auto"/>
              </w:rPr>
            </w:pPr>
            <w:r>
              <w:rPr>
                <w:rFonts w:ascii="Arial" w:cs="Arial" w:eastAsia="Arial" w:hAnsi="Arial"/>
                <w:sz w:val="17"/>
                <w:szCs w:val="17"/>
                <w:i w:val="1"/>
                <w:iCs w:val="1"/>
                <w:color w:val="auto"/>
                <w:w w:val="91"/>
              </w:rPr>
              <w:t>(Address of Principal Executive Offices)</w:t>
            </w:r>
          </w:p>
        </w:tc>
        <w:tc>
          <w:tcPr>
            <w:tcW w:w="3620" w:type="dxa"/>
            <w:vAlign w:val="bottom"/>
          </w:tcPr>
          <w:p>
            <w:pPr>
              <w:jc w:val="center"/>
              <w:ind w:left="1115"/>
              <w:spacing w:after="0"/>
              <w:rPr>
                <w:sz w:val="20"/>
                <w:szCs w:val="20"/>
                <w:color w:val="auto"/>
              </w:rPr>
            </w:pPr>
            <w:r>
              <w:rPr>
                <w:rFonts w:ascii="Arial" w:cs="Arial" w:eastAsia="Arial" w:hAnsi="Arial"/>
                <w:sz w:val="17"/>
                <w:szCs w:val="17"/>
                <w:i w:val="1"/>
                <w:iCs w:val="1"/>
                <w:color w:val="auto"/>
                <w:w w:val="92"/>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 xml:space="preserve">Registrant’s telephone number, including area code: </w:t>
      </w:r>
      <w:r>
        <w:rPr>
          <w:rFonts w:ascii="Arial" w:cs="Arial" w:eastAsia="Arial" w:hAnsi="Arial"/>
          <w:sz w:val="17"/>
          <w:szCs w:val="17"/>
          <w:b w:val="1"/>
          <w:bCs w:val="1"/>
          <w:color w:val="auto"/>
        </w:rPr>
        <w:t>(510) 445-3700</w:t>
      </w: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20" w:type="dxa"/>
            <w:vAlign w:val="bottom"/>
            <w:gridSpan w:val="3"/>
          </w:tcPr>
          <w:p>
            <w:pPr>
              <w:ind w:left="140"/>
              <w:spacing w:after="0"/>
              <w:rPr>
                <w:sz w:val="20"/>
                <w:szCs w:val="20"/>
                <w:color w:val="auto"/>
              </w:rPr>
            </w:pPr>
            <w:r>
              <w:rPr>
                <w:rFonts w:ascii="Arial" w:cs="Arial" w:eastAsia="Arial" w:hAnsi="Arial"/>
                <w:sz w:val="17"/>
                <w:szCs w:val="17"/>
                <w:color w:val="auto"/>
              </w:rPr>
              <w:t>Securities registered pursuant to Section 12(b) of the Act:</w:t>
            </w:r>
          </w:p>
        </w:tc>
      </w:tr>
      <w:tr>
        <w:trPr>
          <w:trHeight w:val="439"/>
        </w:trPr>
        <w:tc>
          <w:tcPr>
            <w:tcW w:w="352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Title of Each Class</w:t>
            </w:r>
          </w:p>
        </w:tc>
        <w:tc>
          <w:tcPr>
            <w:tcW w:w="350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Trading Symbol</w:t>
            </w:r>
          </w:p>
        </w:tc>
        <w:tc>
          <w:tcPr>
            <w:tcW w:w="4220" w:type="dxa"/>
            <w:vAlign w:val="bottom"/>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219"/>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Class A Common Stock, $0.0001 par value</w:t>
            </w:r>
          </w:p>
        </w:tc>
        <w:tc>
          <w:tcPr>
            <w:tcW w:w="120" w:type="dxa"/>
            <w:vAlign w:val="bottom"/>
          </w:tcPr>
          <w:p>
            <w:pPr>
              <w:spacing w:after="0"/>
              <w:rPr>
                <w:sz w:val="19"/>
                <w:szCs w:val="19"/>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ACMR</w:t>
            </w:r>
          </w:p>
        </w:tc>
        <w:tc>
          <w:tcPr>
            <w:tcW w:w="100" w:type="dxa"/>
            <w:vAlign w:val="bottom"/>
          </w:tcPr>
          <w:p>
            <w:pPr>
              <w:spacing w:after="0"/>
              <w:rPr>
                <w:sz w:val="19"/>
                <w:szCs w:val="19"/>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NASDAQ Global Market</w:t>
            </w:r>
          </w:p>
        </w:tc>
      </w:tr>
    </w:tbl>
    <w:p>
      <w:pPr>
        <w:spacing w:after="0" w:line="201" w:lineRule="exact"/>
        <w:rPr>
          <w:sz w:val="24"/>
          <w:szCs w:val="24"/>
          <w:color w:val="auto"/>
        </w:rPr>
      </w:pPr>
    </w:p>
    <w:p>
      <w:pPr>
        <w:jc w:val="both"/>
        <w:spacing w:after="0" w:line="21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8" w:lineRule="exact"/>
        <w:rPr>
          <w:sz w:val="24"/>
          <w:szCs w:val="24"/>
          <w:color w:val="auto"/>
        </w:rPr>
      </w:pPr>
    </w:p>
    <w:p>
      <w:pPr>
        <w:jc w:val="both"/>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8" w:lineRule="exact"/>
        <w:rPr>
          <w:sz w:val="24"/>
          <w:szCs w:val="24"/>
          <w:color w:val="auto"/>
        </w:rPr>
      </w:pPr>
    </w:p>
    <w:p>
      <w:pPr>
        <w:jc w:val="both"/>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8" w:lineRule="exact"/>
        <w:rPr>
          <w:sz w:val="24"/>
          <w:szCs w:val="24"/>
          <w:color w:val="auto"/>
        </w:rPr>
      </w:pPr>
    </w:p>
    <w:tbl>
      <w:tblPr>
        <w:tblLayout w:type="fixed"/>
        <w:tblInd w:w="580" w:type="dxa"/>
        <w:tblCellMar>
          <w:top w:w="0" w:type="dxa"/>
          <w:left w:w="0" w:type="dxa"/>
          <w:bottom w:w="0" w:type="dxa"/>
          <w:right w:w="0" w:type="dxa"/>
        </w:tblCellMar>
      </w:tblPr>
      <w:tr>
        <w:trPr>
          <w:trHeight w:val="204"/>
        </w:trPr>
        <w:tc>
          <w:tcPr>
            <w:tcW w:w="1560" w:type="dxa"/>
            <w:vAlign w:val="bottom"/>
          </w:tcPr>
          <w:p>
            <w:pPr>
              <w:spacing w:after="0"/>
              <w:rPr>
                <w:sz w:val="20"/>
                <w:szCs w:val="20"/>
                <w:color w:val="auto"/>
              </w:rPr>
            </w:pPr>
            <w:r>
              <w:rPr>
                <w:rFonts w:ascii="Arial" w:cs="Arial" w:eastAsia="Arial" w:hAnsi="Arial"/>
                <w:sz w:val="17"/>
                <w:szCs w:val="17"/>
                <w:color w:val="auto"/>
                <w:w w:val="91"/>
              </w:rPr>
              <w:t>Large accelerated filer</w:t>
            </w:r>
          </w:p>
        </w:tc>
        <w:tc>
          <w:tcPr>
            <w:tcW w:w="296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780"/>
              <w:spacing w:after="0"/>
              <w:rPr>
                <w:sz w:val="20"/>
                <w:szCs w:val="20"/>
                <w:color w:val="auto"/>
              </w:rPr>
            </w:pPr>
            <w:r>
              <w:rPr>
                <w:rFonts w:ascii="Arial" w:cs="Arial" w:eastAsia="Arial" w:hAnsi="Arial"/>
                <w:sz w:val="17"/>
                <w:szCs w:val="17"/>
                <w:color w:val="auto"/>
              </w:rPr>
              <w:t>Accelerated filer</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4"/>
        </w:trPr>
        <w:tc>
          <w:tcPr>
            <w:tcW w:w="1560" w:type="dxa"/>
            <w:vAlign w:val="bottom"/>
          </w:tcPr>
          <w:p>
            <w:pPr>
              <w:spacing w:after="0"/>
              <w:rPr>
                <w:sz w:val="20"/>
                <w:szCs w:val="20"/>
                <w:color w:val="auto"/>
              </w:rPr>
            </w:pPr>
            <w:r>
              <w:rPr>
                <w:rFonts w:ascii="Arial" w:cs="Arial" w:eastAsia="Arial" w:hAnsi="Arial"/>
                <w:sz w:val="17"/>
                <w:szCs w:val="17"/>
                <w:color w:val="auto"/>
                <w:w w:val="98"/>
              </w:rPr>
              <w:t>Non-accelerated filer</w:t>
            </w:r>
          </w:p>
        </w:tc>
        <w:tc>
          <w:tcPr>
            <w:tcW w:w="296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780"/>
              <w:spacing w:after="0"/>
              <w:rPr>
                <w:sz w:val="20"/>
                <w:szCs w:val="20"/>
                <w:color w:val="auto"/>
              </w:rPr>
            </w:pPr>
            <w:r>
              <w:rPr>
                <w:rFonts w:ascii="Arial" w:cs="Arial" w:eastAsia="Arial" w:hAnsi="Arial"/>
                <w:sz w:val="17"/>
                <w:szCs w:val="17"/>
                <w:color w:val="auto"/>
              </w:rPr>
              <w:t>Smaller reporting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8"/>
        </w:trPr>
        <w:tc>
          <w:tcPr>
            <w:tcW w:w="156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5080" w:type="dxa"/>
            <w:vAlign w:val="bottom"/>
          </w:tcPr>
          <w:p>
            <w:pPr>
              <w:ind w:left="2780"/>
              <w:spacing w:after="0"/>
              <w:rPr>
                <w:sz w:val="20"/>
                <w:szCs w:val="20"/>
                <w:color w:val="auto"/>
              </w:rPr>
            </w:pPr>
            <w:r>
              <w:rPr>
                <w:rFonts w:ascii="Arial" w:cs="Arial" w:eastAsia="Arial" w:hAnsi="Arial"/>
                <w:sz w:val="17"/>
                <w:szCs w:val="17"/>
                <w:color w:val="auto"/>
              </w:rPr>
              <w:t>Emerging growth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2"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registrant’s classes of common stock, as of the latest practicable date.</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2860" w:type="dxa"/>
            <w:vAlign w:val="bottom"/>
            <w:gridSpan w:val="2"/>
          </w:tcPr>
          <w:p>
            <w:pPr>
              <w:jc w:val="center"/>
              <w:ind w:right="2480"/>
              <w:spacing w:after="0"/>
              <w:rPr>
                <w:sz w:val="20"/>
                <w:szCs w:val="20"/>
                <w:color w:val="auto"/>
              </w:rPr>
            </w:pPr>
            <w:r>
              <w:rPr>
                <w:rFonts w:ascii="Arial" w:cs="Arial" w:eastAsia="Arial" w:hAnsi="Arial"/>
                <w:sz w:val="17"/>
                <w:szCs w:val="17"/>
                <w:b w:val="1"/>
                <w:bCs w:val="1"/>
                <w:color w:val="auto"/>
                <w:w w:val="83"/>
              </w:rPr>
              <w:t>Class</w:t>
            </w:r>
          </w:p>
        </w:tc>
        <w:tc>
          <w:tcPr>
            <w:tcW w:w="1820" w:type="dxa"/>
            <w:vAlign w:val="bottom"/>
          </w:tcPr>
          <w:p>
            <w:pPr>
              <w:spacing w:after="0"/>
              <w:rPr>
                <w:sz w:val="16"/>
                <w:szCs w:val="16"/>
                <w:color w:val="auto"/>
              </w:rPr>
            </w:pPr>
          </w:p>
        </w:tc>
        <w:tc>
          <w:tcPr>
            <w:tcW w:w="3940" w:type="dxa"/>
            <w:vAlign w:val="bottom"/>
            <w:gridSpan w:val="2"/>
          </w:tcPr>
          <w:p>
            <w:pPr>
              <w:jc w:val="center"/>
              <w:ind w:right="1660"/>
              <w:spacing w:after="0"/>
              <w:rPr>
                <w:sz w:val="20"/>
                <w:szCs w:val="20"/>
                <w:color w:val="auto"/>
              </w:rPr>
            </w:pPr>
            <w:r>
              <w:rPr>
                <w:rFonts w:ascii="Arial" w:cs="Arial" w:eastAsia="Arial" w:hAnsi="Arial"/>
                <w:sz w:val="17"/>
                <w:szCs w:val="17"/>
                <w:b w:val="1"/>
                <w:bCs w:val="1"/>
                <w:color w:val="auto"/>
                <w:w w:val="90"/>
              </w:rPr>
              <w:t>Number of Shares Outstanding</w:t>
            </w:r>
          </w:p>
        </w:tc>
      </w:tr>
      <w:tr>
        <w:trPr>
          <w:trHeight w:val="20"/>
        </w:trPr>
        <w:tc>
          <w:tcPr>
            <w:tcW w:w="2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0"/>
        </w:trPr>
        <w:tc>
          <w:tcPr>
            <w:tcW w:w="5480" w:type="dxa"/>
            <w:vAlign w:val="bottom"/>
            <w:gridSpan w:val="3"/>
          </w:tcPr>
          <w:p>
            <w:pPr>
              <w:jc w:val="center"/>
              <w:ind w:left="55"/>
              <w:spacing w:after="0"/>
              <w:rPr>
                <w:sz w:val="20"/>
                <w:szCs w:val="20"/>
                <w:color w:val="auto"/>
              </w:rPr>
            </w:pPr>
            <w:r>
              <w:rPr>
                <w:rFonts w:ascii="Arial" w:cs="Arial" w:eastAsia="Arial" w:hAnsi="Arial"/>
                <w:sz w:val="17"/>
                <w:szCs w:val="17"/>
                <w:color w:val="auto"/>
                <w:w w:val="90"/>
              </w:rPr>
              <w:t>Class A Common Stock, $0.0001 par value</w:t>
            </w:r>
          </w:p>
        </w:tc>
        <w:tc>
          <w:tcPr>
            <w:tcW w:w="5760" w:type="dxa"/>
            <w:vAlign w:val="bottom"/>
            <w:gridSpan w:val="3"/>
          </w:tcPr>
          <w:p>
            <w:pPr>
              <w:jc w:val="center"/>
              <w:ind w:left="75"/>
              <w:spacing w:after="0"/>
              <w:rPr>
                <w:sz w:val="20"/>
                <w:szCs w:val="20"/>
                <w:color w:val="auto"/>
              </w:rPr>
            </w:pPr>
            <w:r>
              <w:rPr>
                <w:rFonts w:ascii="Arial" w:cs="Arial" w:eastAsia="Arial" w:hAnsi="Arial"/>
                <w:sz w:val="17"/>
                <w:szCs w:val="17"/>
                <w:color w:val="auto"/>
                <w:w w:val="89"/>
              </w:rPr>
              <w:t>17,680,409 shares outstanding as of August 3, 2021</w:t>
            </w:r>
          </w:p>
        </w:tc>
      </w:tr>
      <w:tr>
        <w:trPr>
          <w:trHeight w:val="215"/>
        </w:trPr>
        <w:tc>
          <w:tcPr>
            <w:tcW w:w="5480" w:type="dxa"/>
            <w:vAlign w:val="bottom"/>
            <w:gridSpan w:val="3"/>
          </w:tcPr>
          <w:p>
            <w:pPr>
              <w:jc w:val="center"/>
              <w:ind w:left="75"/>
              <w:spacing w:after="0"/>
              <w:rPr>
                <w:sz w:val="20"/>
                <w:szCs w:val="20"/>
                <w:color w:val="auto"/>
              </w:rPr>
            </w:pPr>
            <w:r>
              <w:rPr>
                <w:rFonts w:ascii="Arial" w:cs="Arial" w:eastAsia="Arial" w:hAnsi="Arial"/>
                <w:sz w:val="17"/>
                <w:szCs w:val="17"/>
                <w:color w:val="auto"/>
                <w:w w:val="89"/>
              </w:rPr>
              <w:t>Class B Common Stock, $0.0001 par value</w:t>
            </w:r>
          </w:p>
        </w:tc>
        <w:tc>
          <w:tcPr>
            <w:tcW w:w="5760" w:type="dxa"/>
            <w:vAlign w:val="bottom"/>
            <w:gridSpan w:val="3"/>
          </w:tcPr>
          <w:p>
            <w:pPr>
              <w:jc w:val="center"/>
              <w:ind w:left="75"/>
              <w:spacing w:after="0"/>
              <w:rPr>
                <w:sz w:val="20"/>
                <w:szCs w:val="20"/>
                <w:color w:val="auto"/>
              </w:rPr>
            </w:pPr>
            <w:r>
              <w:rPr>
                <w:rFonts w:ascii="Arial" w:cs="Arial" w:eastAsia="Arial" w:hAnsi="Arial"/>
                <w:sz w:val="17"/>
                <w:szCs w:val="17"/>
                <w:color w:val="auto"/>
                <w:w w:val="89"/>
              </w:rPr>
              <w:t>1,707,605 shares outstanding as of August 3, 2021</w:t>
            </w:r>
          </w:p>
        </w:tc>
      </w:tr>
      <w:tr>
        <w:trPr>
          <w:trHeight w:val="307"/>
        </w:trPr>
        <w:tc>
          <w:tcPr>
            <w:tcW w:w="2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r>
        <w:trPr>
          <w:trHeight w:val="151"/>
        </w:trPr>
        <w:tc>
          <w:tcPr>
            <w:tcW w:w="26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r>
      <w:tr>
        <w:trPr>
          <w:trHeight w:val="770"/>
        </w:trPr>
        <w:tc>
          <w:tcPr>
            <w:tcW w:w="2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1"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320" w:type="dxa"/>
            <w:vAlign w:val="bottom"/>
            <w:gridSpan w:val="9"/>
          </w:tcPr>
          <w:p>
            <w:pPr>
              <w:ind w:left="1340"/>
              <w:spacing w:after="0"/>
              <w:rPr>
                <w:sz w:val="20"/>
                <w:szCs w:val="20"/>
                <w:color w:val="auto"/>
              </w:rPr>
            </w:pPr>
            <w:r>
              <w:rPr>
                <w:rFonts w:ascii="Arial" w:cs="Arial" w:eastAsia="Arial" w:hAnsi="Arial"/>
                <w:sz w:val="17"/>
                <w:szCs w:val="17"/>
                <w:b w:val="1"/>
                <w:bCs w:val="1"/>
                <w:color w:val="auto"/>
              </w:rPr>
              <w:t>TABLE OF CONTENTS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120" w:type="dxa"/>
            <w:vAlign w:val="bottom"/>
            <w:gridSpan w:val="2"/>
            <w:shd w:val="clear" w:color="auto" w:fill="CCEEFF"/>
          </w:tcPr>
          <w:p>
            <w:pPr>
              <w:spacing w:after="0" w:line="166" w:lineRule="exact"/>
              <w:rPr>
                <w:sz w:val="20"/>
                <w:szCs w:val="20"/>
                <w:color w:val="auto"/>
              </w:rPr>
            </w:pPr>
            <w:r>
              <w:rPr>
                <w:rFonts w:ascii="Arial" w:cs="Arial" w:eastAsia="Arial" w:hAnsi="Arial"/>
                <w:sz w:val="17"/>
                <w:szCs w:val="17"/>
                <w:color w:val="auto"/>
              </w:rPr>
              <w:t>PART I.</w:t>
            </w:r>
          </w:p>
        </w:tc>
        <w:tc>
          <w:tcPr>
            <w:tcW w:w="9560" w:type="dxa"/>
            <w:vAlign w:val="bottom"/>
            <w:gridSpan w:val="17"/>
            <w:shd w:val="clear" w:color="auto" w:fill="CCEEFF"/>
          </w:tcPr>
          <w:p>
            <w:pPr>
              <w:spacing w:after="0" w:line="166" w:lineRule="exact"/>
              <w:rPr>
                <w:rFonts w:ascii="Arial" w:cs="Arial" w:eastAsia="Arial" w:hAnsi="Arial"/>
                <w:sz w:val="17"/>
                <w:szCs w:val="17"/>
                <w:color w:val="0000EE"/>
              </w:rPr>
            </w:pPr>
            <w:hyperlink w:anchor="page4">
              <w:r>
                <w:rPr>
                  <w:rFonts w:ascii="Arial" w:cs="Arial" w:eastAsia="Arial" w:hAnsi="Arial"/>
                  <w:sz w:val="17"/>
                  <w:szCs w:val="17"/>
                  <w:color w:val="0000EE"/>
                </w:rPr>
                <w:t>FINANCIAL INFORMATION</w:t>
              </w:r>
            </w:hyperlink>
          </w:p>
        </w:tc>
        <w:tc>
          <w:tcPr>
            <w:tcW w:w="540" w:type="dxa"/>
            <w:vAlign w:val="bottom"/>
            <w:shd w:val="clear" w:color="auto" w:fill="CCEEFF"/>
          </w:tcPr>
          <w:p>
            <w:pPr>
              <w:jc w:val="right"/>
              <w:spacing w:after="0" w:line="166" w:lineRule="exact"/>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gridSpan w:val="2"/>
          </w:tcPr>
          <w:p>
            <w:pPr>
              <w:ind w:left="240"/>
              <w:spacing w:after="0" w:line="166" w:lineRule="exact"/>
              <w:rPr>
                <w:sz w:val="20"/>
                <w:szCs w:val="20"/>
                <w:color w:val="auto"/>
              </w:rPr>
            </w:pPr>
            <w:r>
              <w:rPr>
                <w:rFonts w:ascii="Arial" w:cs="Arial" w:eastAsia="Arial" w:hAnsi="Arial"/>
                <w:sz w:val="17"/>
                <w:szCs w:val="17"/>
                <w:color w:val="auto"/>
              </w:rPr>
              <w:t>Item 1.</w:t>
            </w:r>
          </w:p>
        </w:tc>
        <w:tc>
          <w:tcPr>
            <w:tcW w:w="2240" w:type="dxa"/>
            <w:vAlign w:val="bottom"/>
            <w:tcBorders>
              <w:bottom w:val="single" w:sz="8" w:color="0000EE"/>
            </w:tcBorders>
            <w:gridSpan w:val="8"/>
          </w:tcPr>
          <w:p>
            <w:pPr>
              <w:spacing w:after="0" w:line="166" w:lineRule="exact"/>
              <w:rPr>
                <w:rFonts w:ascii="Arial" w:cs="Arial" w:eastAsia="Arial" w:hAnsi="Arial"/>
                <w:sz w:val="17"/>
                <w:szCs w:val="17"/>
                <w:color w:val="0000EE"/>
                <w:w w:val="88"/>
              </w:rPr>
            </w:pPr>
            <w:hyperlink w:anchor="page4">
              <w:r>
                <w:rPr>
                  <w:rFonts w:ascii="Arial" w:cs="Arial" w:eastAsia="Arial" w:hAnsi="Arial"/>
                  <w:sz w:val="17"/>
                  <w:szCs w:val="17"/>
                  <w:color w:val="0000EE"/>
                  <w:w w:val="88"/>
                </w:rPr>
                <w:t>Financial Statements (unaudited)</w:t>
              </w:r>
            </w:hyperlink>
          </w:p>
        </w:tc>
        <w:tc>
          <w:tcPr>
            <w:tcW w:w="7320" w:type="dxa"/>
            <w:vAlign w:val="bottom"/>
            <w:gridSpan w:val="9"/>
          </w:tcPr>
          <w:p>
            <w:pPr>
              <w:spacing w:after="0"/>
              <w:rPr>
                <w:sz w:val="14"/>
                <w:szCs w:val="14"/>
                <w:color w:val="auto"/>
              </w:rPr>
            </w:pPr>
          </w:p>
        </w:tc>
        <w:tc>
          <w:tcPr>
            <w:tcW w:w="540" w:type="dxa"/>
            <w:vAlign w:val="bottom"/>
          </w:tcPr>
          <w:p>
            <w:pPr>
              <w:jc w:val="right"/>
              <w:spacing w:after="0" w:line="166"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560" w:type="dxa"/>
            <w:vAlign w:val="bottom"/>
            <w:gridSpan w:val="17"/>
            <w:shd w:val="clear" w:color="auto" w:fill="CCEEFF"/>
          </w:tcPr>
          <w:p>
            <w:pPr>
              <w:spacing w:after="0" w:line="184" w:lineRule="exact"/>
              <w:rPr>
                <w:rFonts w:ascii="Arial" w:cs="Arial" w:eastAsia="Arial" w:hAnsi="Arial"/>
                <w:sz w:val="17"/>
                <w:szCs w:val="17"/>
                <w:color w:val="0000EE"/>
              </w:rPr>
            </w:pPr>
            <w:hyperlink w:anchor="page4">
              <w:r>
                <w:rPr>
                  <w:rFonts w:ascii="Arial" w:cs="Arial" w:eastAsia="Arial" w:hAnsi="Arial"/>
                  <w:sz w:val="17"/>
                  <w:szCs w:val="17"/>
                  <w:color w:val="0000EE"/>
                </w:rPr>
                <w:t>Condensed Consolidated Balance Sheets as of June 30, 2021 and December 31, 2020</w:t>
              </w:r>
            </w:hyperlink>
          </w:p>
        </w:tc>
        <w:tc>
          <w:tcPr>
            <w:tcW w:w="5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52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6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560" w:type="dxa"/>
            <w:vAlign w:val="bottom"/>
            <w:gridSpan w:val="17"/>
          </w:tcPr>
          <w:p>
            <w:pPr>
              <w:spacing w:after="0" w:line="166" w:lineRule="exact"/>
              <w:rPr>
                <w:rFonts w:ascii="Arial" w:cs="Arial" w:eastAsia="Arial" w:hAnsi="Arial"/>
                <w:sz w:val="17"/>
                <w:szCs w:val="17"/>
                <w:color w:val="0000EE"/>
                <w:w w:val="92"/>
              </w:rPr>
            </w:pPr>
            <w:hyperlink w:anchor="page5">
              <w:r>
                <w:rPr>
                  <w:rFonts w:ascii="Arial" w:cs="Arial" w:eastAsia="Arial" w:hAnsi="Arial"/>
                  <w:sz w:val="17"/>
                  <w:szCs w:val="17"/>
                  <w:color w:val="0000EE"/>
                  <w:w w:val="92"/>
                </w:rPr>
                <w:t>Condensed Consolidated Statements of Operations and Comprehensive Income for the Three and Six Months Ended June 30, 2021 and</w:t>
              </w:r>
            </w:hyperlink>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Borders>
              <w:top w:val="single" w:sz="8" w:color="0000EE"/>
              <w:bottom w:val="single" w:sz="8" w:color="0000EE"/>
            </w:tcBorders>
          </w:tcPr>
          <w:p>
            <w:pPr>
              <w:spacing w:after="0" w:line="184" w:lineRule="exact"/>
              <w:rPr>
                <w:rFonts w:ascii="Arial" w:cs="Arial" w:eastAsia="Arial" w:hAnsi="Arial"/>
                <w:sz w:val="17"/>
                <w:szCs w:val="17"/>
                <w:color w:val="0000EE"/>
                <w:w w:val="84"/>
              </w:rPr>
            </w:pPr>
            <w:hyperlink w:anchor="page5">
              <w:r>
                <w:rPr>
                  <w:rFonts w:ascii="Arial" w:cs="Arial" w:eastAsia="Arial" w:hAnsi="Arial"/>
                  <w:sz w:val="17"/>
                  <w:szCs w:val="17"/>
                  <w:color w:val="0000EE"/>
                  <w:w w:val="84"/>
                </w:rPr>
                <w:t>2020</w:t>
              </w:r>
            </w:hyperlink>
          </w:p>
        </w:tc>
        <w:tc>
          <w:tcPr>
            <w:tcW w:w="2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5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2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560" w:type="dxa"/>
            <w:vAlign w:val="bottom"/>
            <w:gridSpan w:val="17"/>
            <w:shd w:val="clear" w:color="auto" w:fill="CCEEFF"/>
          </w:tcPr>
          <w:p>
            <w:pPr>
              <w:spacing w:after="0" w:line="184" w:lineRule="exact"/>
              <w:rPr>
                <w:rFonts w:ascii="Arial" w:cs="Arial" w:eastAsia="Arial" w:hAnsi="Arial"/>
                <w:sz w:val="17"/>
                <w:szCs w:val="17"/>
                <w:color w:val="0000EE"/>
                <w:w w:val="93"/>
              </w:rPr>
            </w:pPr>
            <w:hyperlink w:anchor="page6">
              <w:r>
                <w:rPr>
                  <w:rFonts w:ascii="Arial" w:cs="Arial" w:eastAsia="Arial" w:hAnsi="Arial"/>
                  <w:sz w:val="17"/>
                  <w:szCs w:val="17"/>
                  <w:color w:val="0000EE"/>
                  <w:w w:val="93"/>
                </w:rPr>
                <w:t>Condensed Consolidated Statements of Changes in Stockholders’ Equity for the Three and Six Months Ended June 30, 2021 and 2020</w:t>
              </w:r>
            </w:hyperlink>
          </w:p>
        </w:tc>
        <w:tc>
          <w:tcPr>
            <w:tcW w:w="5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6960" w:type="dxa"/>
            <w:vAlign w:val="bottom"/>
            <w:tcBorders>
              <w:top w:val="single" w:sz="8" w:color="0000EE"/>
              <w:bottom w:val="single" w:sz="8" w:color="0000EE"/>
            </w:tcBorders>
            <w:gridSpan w:val="14"/>
          </w:tcPr>
          <w:p>
            <w:pPr>
              <w:spacing w:after="0" w:line="166" w:lineRule="exact"/>
              <w:rPr>
                <w:rFonts w:ascii="Arial" w:cs="Arial" w:eastAsia="Arial" w:hAnsi="Arial"/>
                <w:sz w:val="17"/>
                <w:szCs w:val="17"/>
                <w:color w:val="0000EE"/>
                <w:w w:val="89"/>
              </w:rPr>
            </w:pPr>
            <w:hyperlink w:anchor="page8">
              <w:r>
                <w:rPr>
                  <w:rFonts w:ascii="Arial" w:cs="Arial" w:eastAsia="Arial" w:hAnsi="Arial"/>
                  <w:sz w:val="17"/>
                  <w:szCs w:val="17"/>
                  <w:color w:val="0000EE"/>
                  <w:w w:val="89"/>
                </w:rPr>
                <w:t>Condensed Consolidated Statements of Cash Flows for the Six Months Ended June 30, 2021 and 2020</w:t>
              </w:r>
            </w:hyperlink>
          </w:p>
        </w:tc>
        <w:tc>
          <w:tcPr>
            <w:tcW w:w="2160" w:type="dxa"/>
            <w:vAlign w:val="bottom"/>
            <w:tcBorders>
              <w:top w:val="single" w:sz="8" w:color="0000EE"/>
            </w:tcBorders>
          </w:tcPr>
          <w:p>
            <w:pPr>
              <w:spacing w:after="0"/>
              <w:rPr>
                <w:sz w:val="14"/>
                <w:szCs w:val="14"/>
                <w:color w:val="auto"/>
              </w:rPr>
            </w:pPr>
          </w:p>
        </w:tc>
        <w:tc>
          <w:tcPr>
            <w:tcW w:w="440" w:type="dxa"/>
            <w:vAlign w:val="bottom"/>
            <w:tcBorders>
              <w:top w:val="single" w:sz="8" w:color="CCEEFF"/>
            </w:tcBorders>
            <w:gridSpan w:val="2"/>
          </w:tcPr>
          <w:p>
            <w:pPr>
              <w:spacing w:after="0"/>
              <w:rPr>
                <w:sz w:val="14"/>
                <w:szCs w:val="14"/>
                <w:color w:val="auto"/>
              </w:rPr>
            </w:pPr>
          </w:p>
        </w:tc>
        <w:tc>
          <w:tcPr>
            <w:tcW w:w="540" w:type="dxa"/>
            <w:vAlign w:val="bottom"/>
            <w:tcBorders>
              <w:top w:val="single" w:sz="8" w:color="CCEEFF"/>
            </w:tcBorders>
          </w:tcPr>
          <w:p>
            <w:pPr>
              <w:jc w:val="right"/>
              <w:spacing w:after="0" w:line="166" w:lineRule="exact"/>
              <w:rPr>
                <w:sz w:val="20"/>
                <w:szCs w:val="20"/>
                <w:color w:val="auto"/>
              </w:rPr>
            </w:pPr>
            <w:r>
              <w:rPr>
                <w:rFonts w:ascii="Arial" w:cs="Arial" w:eastAsia="Arial" w:hAnsi="Arial"/>
                <w:sz w:val="17"/>
                <w:szCs w:val="17"/>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560" w:type="dxa"/>
            <w:vAlign w:val="bottom"/>
            <w:gridSpan w:val="17"/>
            <w:shd w:val="clear" w:color="auto" w:fill="CCEEFF"/>
          </w:tcPr>
          <w:p>
            <w:pPr>
              <w:spacing w:after="0" w:line="184" w:lineRule="exact"/>
              <w:rPr>
                <w:rFonts w:ascii="Arial" w:cs="Arial" w:eastAsia="Arial" w:hAnsi="Arial"/>
                <w:sz w:val="17"/>
                <w:szCs w:val="17"/>
                <w:color w:val="0000EE"/>
              </w:rPr>
            </w:pPr>
            <w:hyperlink w:anchor="page9">
              <w:r>
                <w:rPr>
                  <w:rFonts w:ascii="Arial" w:cs="Arial" w:eastAsia="Arial" w:hAnsi="Arial"/>
                  <w:sz w:val="17"/>
                  <w:szCs w:val="17"/>
                  <w:color w:val="0000EE"/>
                </w:rPr>
                <w:t>Notes to Condensed Consolidated Financial Statements</w:t>
              </w:r>
            </w:hyperlink>
          </w:p>
        </w:tc>
        <w:tc>
          <w:tcPr>
            <w:tcW w:w="5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520" w:type="dxa"/>
            <w:vAlign w:val="bottom"/>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gridSpan w:val="2"/>
          </w:tcPr>
          <w:p>
            <w:pPr>
              <w:ind w:left="240"/>
              <w:spacing w:after="0" w:line="166" w:lineRule="exact"/>
              <w:rPr>
                <w:sz w:val="20"/>
                <w:szCs w:val="20"/>
                <w:color w:val="auto"/>
              </w:rPr>
            </w:pPr>
            <w:r>
              <w:rPr>
                <w:rFonts w:ascii="Arial" w:cs="Arial" w:eastAsia="Arial" w:hAnsi="Arial"/>
                <w:sz w:val="17"/>
                <w:szCs w:val="17"/>
                <w:color w:val="auto"/>
              </w:rPr>
              <w:t>Item 2.</w:t>
            </w:r>
          </w:p>
        </w:tc>
        <w:tc>
          <w:tcPr>
            <w:tcW w:w="9560" w:type="dxa"/>
            <w:vAlign w:val="bottom"/>
            <w:gridSpan w:val="17"/>
          </w:tcPr>
          <w:p>
            <w:pPr>
              <w:spacing w:after="0" w:line="166" w:lineRule="exact"/>
              <w:rPr>
                <w:rFonts w:ascii="Arial" w:cs="Arial" w:eastAsia="Arial" w:hAnsi="Arial"/>
                <w:sz w:val="17"/>
                <w:szCs w:val="17"/>
                <w:color w:val="0000EE"/>
              </w:rPr>
            </w:pPr>
            <w:hyperlink w:anchor="page29">
              <w:r>
                <w:rPr>
                  <w:rFonts w:ascii="Arial" w:cs="Arial" w:eastAsia="Arial" w:hAnsi="Arial"/>
                  <w:sz w:val="17"/>
                  <w:szCs w:val="17"/>
                  <w:color w:val="0000EE"/>
                </w:rPr>
                <w:t>Management’s Discussion and Analysis of Financial Condition and Results of Operations</w:t>
              </w:r>
            </w:hyperlink>
          </w:p>
        </w:tc>
        <w:tc>
          <w:tcPr>
            <w:tcW w:w="540" w:type="dxa"/>
            <w:vAlign w:val="bottom"/>
          </w:tcPr>
          <w:p>
            <w:pPr>
              <w:jc w:val="right"/>
              <w:spacing w:after="0" w:line="166" w:lineRule="exact"/>
              <w:rPr>
                <w:sz w:val="20"/>
                <w:szCs w:val="20"/>
                <w:color w:val="auto"/>
              </w:rPr>
            </w:pPr>
            <w:r>
              <w:rPr>
                <w:rFonts w:ascii="Arial" w:cs="Arial" w:eastAsia="Arial" w:hAnsi="Arial"/>
                <w:sz w:val="17"/>
                <w:szCs w:val="17"/>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shd w:val="clear" w:color="auto" w:fill="CCEEFF"/>
          </w:tcPr>
          <w:p>
            <w:pPr>
              <w:ind w:left="240"/>
              <w:spacing w:after="0" w:line="184" w:lineRule="exact"/>
              <w:rPr>
                <w:sz w:val="20"/>
                <w:szCs w:val="20"/>
                <w:color w:val="auto"/>
              </w:rPr>
            </w:pPr>
            <w:r>
              <w:rPr>
                <w:rFonts w:ascii="Arial" w:cs="Arial" w:eastAsia="Arial" w:hAnsi="Arial"/>
                <w:sz w:val="17"/>
                <w:szCs w:val="17"/>
                <w:color w:val="auto"/>
              </w:rPr>
              <w:t>Item 3.</w:t>
            </w:r>
          </w:p>
        </w:tc>
        <w:tc>
          <w:tcPr>
            <w:tcW w:w="6080" w:type="dxa"/>
            <w:vAlign w:val="bottom"/>
            <w:tcBorders>
              <w:top w:val="single" w:sz="8" w:color="0000EE"/>
            </w:tcBorders>
            <w:gridSpan w:val="13"/>
            <w:shd w:val="clear" w:color="auto" w:fill="CCEEFF"/>
          </w:tcPr>
          <w:p>
            <w:pPr>
              <w:spacing w:after="0" w:line="184" w:lineRule="exact"/>
              <w:rPr>
                <w:rFonts w:ascii="Arial" w:cs="Arial" w:eastAsia="Arial" w:hAnsi="Arial"/>
                <w:sz w:val="17"/>
                <w:szCs w:val="17"/>
                <w:color w:val="0000EE"/>
              </w:rPr>
            </w:pPr>
            <w:hyperlink w:anchor="page48">
              <w:r>
                <w:rPr>
                  <w:rFonts w:ascii="Arial" w:cs="Arial" w:eastAsia="Arial" w:hAnsi="Arial"/>
                  <w:sz w:val="17"/>
                  <w:szCs w:val="17"/>
                  <w:color w:val="0000EE"/>
                </w:rPr>
                <w:t>Quantitative and Qualitative Disclosures about Market Risks</w:t>
              </w:r>
            </w:hyperlink>
          </w:p>
        </w:tc>
        <w:tc>
          <w:tcPr>
            <w:tcW w:w="3480" w:type="dxa"/>
            <w:vAlign w:val="bottom"/>
            <w:gridSpan w:val="4"/>
            <w:shd w:val="clear" w:color="auto" w:fill="CCEEFF"/>
          </w:tcPr>
          <w:p>
            <w:pPr>
              <w:spacing w:after="0"/>
              <w:rPr>
                <w:sz w:val="17"/>
                <w:szCs w:val="17"/>
                <w:color w:val="auto"/>
              </w:rPr>
            </w:pPr>
          </w:p>
        </w:tc>
        <w:tc>
          <w:tcPr>
            <w:tcW w:w="5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Borders>
              <w:top w:val="single" w:sz="8" w:color="CCEEFF"/>
            </w:tcBorders>
            <w:gridSpan w:val="2"/>
          </w:tcPr>
          <w:p>
            <w:pPr>
              <w:ind w:left="240"/>
              <w:spacing w:after="0" w:line="166" w:lineRule="exact"/>
              <w:rPr>
                <w:sz w:val="20"/>
                <w:szCs w:val="20"/>
                <w:color w:val="auto"/>
              </w:rPr>
            </w:pPr>
            <w:r>
              <w:rPr>
                <w:rFonts w:ascii="Arial" w:cs="Arial" w:eastAsia="Arial" w:hAnsi="Arial"/>
                <w:sz w:val="17"/>
                <w:szCs w:val="17"/>
                <w:color w:val="auto"/>
              </w:rPr>
              <w:t>Item 4.</w:t>
            </w:r>
          </w:p>
        </w:tc>
        <w:tc>
          <w:tcPr>
            <w:tcW w:w="4120" w:type="dxa"/>
            <w:vAlign w:val="bottom"/>
            <w:tcBorders>
              <w:top w:val="single" w:sz="8" w:color="0000EE"/>
            </w:tcBorders>
            <w:gridSpan w:val="11"/>
          </w:tcPr>
          <w:p>
            <w:pPr>
              <w:spacing w:after="0" w:line="166" w:lineRule="exact"/>
              <w:rPr>
                <w:rFonts w:ascii="Arial" w:cs="Arial" w:eastAsia="Arial" w:hAnsi="Arial"/>
                <w:sz w:val="17"/>
                <w:szCs w:val="17"/>
                <w:color w:val="0000EE"/>
              </w:rPr>
            </w:pPr>
            <w:hyperlink w:anchor="page49">
              <w:r>
                <w:rPr>
                  <w:rFonts w:ascii="Arial" w:cs="Arial" w:eastAsia="Arial" w:hAnsi="Arial"/>
                  <w:sz w:val="17"/>
                  <w:szCs w:val="17"/>
                  <w:color w:val="0000EE"/>
                </w:rPr>
                <w:t>Controls and Procedures</w:t>
              </w:r>
            </w:hyperlink>
          </w:p>
        </w:tc>
        <w:tc>
          <w:tcPr>
            <w:tcW w:w="5440" w:type="dxa"/>
            <w:vAlign w:val="bottom"/>
            <w:tcBorders>
              <w:top w:val="single" w:sz="8" w:color="CCEEFF"/>
            </w:tcBorders>
            <w:gridSpan w:val="6"/>
          </w:tcPr>
          <w:p>
            <w:pPr>
              <w:spacing w:after="0"/>
              <w:rPr>
                <w:sz w:val="14"/>
                <w:szCs w:val="14"/>
                <w:color w:val="auto"/>
              </w:rPr>
            </w:pPr>
          </w:p>
        </w:tc>
        <w:tc>
          <w:tcPr>
            <w:tcW w:w="540" w:type="dxa"/>
            <w:vAlign w:val="bottom"/>
            <w:tcBorders>
              <w:top w:val="single" w:sz="8" w:color="CCEEFF"/>
            </w:tcBorders>
          </w:tcPr>
          <w:p>
            <w:pPr>
              <w:jc w:val="right"/>
              <w:spacing w:after="0" w:line="166" w:lineRule="exact"/>
              <w:rPr>
                <w:sz w:val="20"/>
                <w:szCs w:val="20"/>
                <w:color w:val="auto"/>
              </w:rPr>
            </w:pPr>
            <w:r>
              <w:rPr>
                <w:rFonts w:ascii="Arial" w:cs="Arial" w:eastAsia="Arial" w:hAnsi="Arial"/>
                <w:sz w:val="17"/>
                <w:szCs w:val="17"/>
                <w:color w:val="auto"/>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Borders>
              <w:bottom w:val="single" w:sz="8" w:color="CCEEFF"/>
            </w:tcBorders>
            <w:gridSpan w:val="2"/>
            <w:shd w:val="clear" w:color="auto" w:fill="CCEEFF"/>
          </w:tcPr>
          <w:p>
            <w:pPr>
              <w:spacing w:after="0" w:line="184" w:lineRule="exact"/>
              <w:rPr>
                <w:sz w:val="20"/>
                <w:szCs w:val="20"/>
                <w:color w:val="auto"/>
              </w:rPr>
            </w:pPr>
            <w:r>
              <w:rPr>
                <w:rFonts w:ascii="Arial" w:cs="Arial" w:eastAsia="Arial" w:hAnsi="Arial"/>
                <w:sz w:val="17"/>
                <w:szCs w:val="17"/>
                <w:color w:val="auto"/>
              </w:rPr>
              <w:t>PART II.</w:t>
            </w:r>
          </w:p>
        </w:tc>
        <w:tc>
          <w:tcPr>
            <w:tcW w:w="1780" w:type="dxa"/>
            <w:vAlign w:val="bottom"/>
            <w:tcBorders>
              <w:bottom w:val="single" w:sz="8" w:color="0000EE"/>
            </w:tcBorders>
            <w:gridSpan w:val="6"/>
            <w:shd w:val="clear" w:color="auto" w:fill="CCEEFF"/>
          </w:tcPr>
          <w:p>
            <w:pPr>
              <w:spacing w:after="0" w:line="184" w:lineRule="exact"/>
              <w:rPr>
                <w:rFonts w:ascii="Arial" w:cs="Arial" w:eastAsia="Arial" w:hAnsi="Arial"/>
                <w:sz w:val="17"/>
                <w:szCs w:val="17"/>
                <w:color w:val="0000EE"/>
                <w:w w:val="96"/>
              </w:rPr>
            </w:pPr>
            <w:hyperlink w:anchor="page49">
              <w:r>
                <w:rPr>
                  <w:rFonts w:ascii="Arial" w:cs="Arial" w:eastAsia="Arial" w:hAnsi="Arial"/>
                  <w:sz w:val="17"/>
                  <w:szCs w:val="17"/>
                  <w:color w:val="0000EE"/>
                  <w:w w:val="96"/>
                </w:rPr>
                <w:t>OTHER INFORMATION</w:t>
              </w:r>
            </w:hyperlink>
          </w:p>
        </w:tc>
        <w:tc>
          <w:tcPr>
            <w:tcW w:w="7780" w:type="dxa"/>
            <w:vAlign w:val="bottom"/>
            <w:tcBorders>
              <w:bottom w:val="single" w:sz="8" w:color="CCEEFF"/>
            </w:tcBorders>
            <w:gridSpan w:val="11"/>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gridSpan w:val="2"/>
          </w:tcPr>
          <w:p>
            <w:pPr>
              <w:ind w:left="240"/>
              <w:spacing w:after="0" w:line="166" w:lineRule="exact"/>
              <w:rPr>
                <w:sz w:val="20"/>
                <w:szCs w:val="20"/>
                <w:color w:val="auto"/>
              </w:rPr>
            </w:pPr>
            <w:r>
              <w:rPr>
                <w:rFonts w:ascii="Arial" w:cs="Arial" w:eastAsia="Arial" w:hAnsi="Arial"/>
                <w:sz w:val="17"/>
                <w:szCs w:val="17"/>
                <w:color w:val="auto"/>
              </w:rPr>
              <w:t>Item 1.</w:t>
            </w:r>
          </w:p>
        </w:tc>
        <w:tc>
          <w:tcPr>
            <w:tcW w:w="1260" w:type="dxa"/>
            <w:vAlign w:val="bottom"/>
            <w:tcBorders>
              <w:bottom w:val="single" w:sz="8" w:color="0000EE"/>
            </w:tcBorders>
            <w:gridSpan w:val="4"/>
          </w:tcPr>
          <w:p>
            <w:pPr>
              <w:spacing w:after="0" w:line="166" w:lineRule="exact"/>
              <w:rPr>
                <w:rFonts w:ascii="Arial" w:cs="Arial" w:eastAsia="Arial" w:hAnsi="Arial"/>
                <w:sz w:val="17"/>
                <w:szCs w:val="17"/>
                <w:color w:val="0000EE"/>
                <w:w w:val="88"/>
              </w:rPr>
            </w:pPr>
            <w:hyperlink w:anchor="page49">
              <w:r>
                <w:rPr>
                  <w:rFonts w:ascii="Arial" w:cs="Arial" w:eastAsia="Arial" w:hAnsi="Arial"/>
                  <w:sz w:val="17"/>
                  <w:szCs w:val="17"/>
                  <w:color w:val="0000EE"/>
                  <w:w w:val="88"/>
                </w:rPr>
                <w:t>Legal Proceedings</w:t>
              </w:r>
            </w:hyperlink>
          </w:p>
        </w:tc>
        <w:tc>
          <w:tcPr>
            <w:tcW w:w="8300" w:type="dxa"/>
            <w:vAlign w:val="bottom"/>
            <w:gridSpan w:val="13"/>
          </w:tcPr>
          <w:p>
            <w:pPr>
              <w:spacing w:after="0"/>
              <w:rPr>
                <w:sz w:val="14"/>
                <w:szCs w:val="14"/>
                <w:color w:val="auto"/>
              </w:rPr>
            </w:pPr>
          </w:p>
        </w:tc>
        <w:tc>
          <w:tcPr>
            <w:tcW w:w="540" w:type="dxa"/>
            <w:vAlign w:val="bottom"/>
          </w:tcPr>
          <w:p>
            <w:pPr>
              <w:jc w:val="right"/>
              <w:spacing w:after="0" w:line="166" w:lineRule="exact"/>
              <w:rPr>
                <w:sz w:val="20"/>
                <w:szCs w:val="20"/>
                <w:color w:val="auto"/>
              </w:rPr>
            </w:pPr>
            <w:r>
              <w:rPr>
                <w:rFonts w:ascii="Arial" w:cs="Arial" w:eastAsia="Arial" w:hAnsi="Arial"/>
                <w:sz w:val="17"/>
                <w:szCs w:val="17"/>
                <w:color w:val="auto"/>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20" w:type="dxa"/>
            <w:vAlign w:val="bottom"/>
            <w:gridSpan w:val="2"/>
            <w:shd w:val="clear" w:color="auto" w:fill="CCEEFF"/>
          </w:tcPr>
          <w:p>
            <w:pPr>
              <w:ind w:left="240"/>
              <w:spacing w:after="0" w:line="184" w:lineRule="exact"/>
              <w:rPr>
                <w:sz w:val="20"/>
                <w:szCs w:val="20"/>
                <w:color w:val="auto"/>
              </w:rPr>
            </w:pPr>
            <w:r>
              <w:rPr>
                <w:rFonts w:ascii="Arial" w:cs="Arial" w:eastAsia="Arial" w:hAnsi="Arial"/>
                <w:sz w:val="17"/>
                <w:szCs w:val="17"/>
                <w:color w:val="auto"/>
              </w:rPr>
              <w:t>Item 1A.</w:t>
            </w:r>
          </w:p>
        </w:tc>
        <w:tc>
          <w:tcPr>
            <w:tcW w:w="9560" w:type="dxa"/>
            <w:vAlign w:val="bottom"/>
            <w:gridSpan w:val="17"/>
            <w:shd w:val="clear" w:color="auto" w:fill="CCEEFF"/>
          </w:tcPr>
          <w:p>
            <w:pPr>
              <w:spacing w:after="0" w:line="184" w:lineRule="exact"/>
              <w:rPr>
                <w:rFonts w:ascii="Arial" w:cs="Arial" w:eastAsia="Arial" w:hAnsi="Arial"/>
                <w:sz w:val="17"/>
                <w:szCs w:val="17"/>
                <w:color w:val="0000EE"/>
              </w:rPr>
            </w:pPr>
            <w:hyperlink w:anchor="page50">
              <w:r>
                <w:rPr>
                  <w:rFonts w:ascii="Arial" w:cs="Arial" w:eastAsia="Arial" w:hAnsi="Arial"/>
                  <w:sz w:val="17"/>
                  <w:szCs w:val="17"/>
                  <w:color w:val="0000EE"/>
                </w:rPr>
                <w:t>Risk Factors</w:t>
              </w:r>
            </w:hyperlink>
          </w:p>
        </w:tc>
        <w:tc>
          <w:tcPr>
            <w:tcW w:w="5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gridSpan w:val="2"/>
          </w:tcPr>
          <w:p>
            <w:pPr>
              <w:ind w:left="240"/>
              <w:spacing w:after="0" w:line="166" w:lineRule="exact"/>
              <w:rPr>
                <w:sz w:val="20"/>
                <w:szCs w:val="20"/>
                <w:color w:val="auto"/>
              </w:rPr>
            </w:pPr>
            <w:r>
              <w:rPr>
                <w:rFonts w:ascii="Arial" w:cs="Arial" w:eastAsia="Arial" w:hAnsi="Arial"/>
                <w:sz w:val="17"/>
                <w:szCs w:val="17"/>
                <w:color w:val="auto"/>
              </w:rPr>
              <w:t>Item 2.</w:t>
            </w:r>
          </w:p>
        </w:tc>
        <w:tc>
          <w:tcPr>
            <w:tcW w:w="4100" w:type="dxa"/>
            <w:vAlign w:val="bottom"/>
            <w:tcBorders>
              <w:bottom w:val="single" w:sz="8" w:color="0000EE"/>
            </w:tcBorders>
            <w:gridSpan w:val="10"/>
          </w:tcPr>
          <w:p>
            <w:pPr>
              <w:spacing w:after="0" w:line="166" w:lineRule="exact"/>
              <w:rPr>
                <w:rFonts w:ascii="Arial" w:cs="Arial" w:eastAsia="Arial" w:hAnsi="Arial"/>
                <w:sz w:val="17"/>
                <w:szCs w:val="17"/>
                <w:color w:val="0000EE"/>
                <w:w w:val="89"/>
              </w:rPr>
            </w:pPr>
            <w:hyperlink w:anchor="page53">
              <w:r>
                <w:rPr>
                  <w:rFonts w:ascii="Arial" w:cs="Arial" w:eastAsia="Arial" w:hAnsi="Arial"/>
                  <w:sz w:val="17"/>
                  <w:szCs w:val="17"/>
                  <w:color w:val="0000EE"/>
                  <w:w w:val="89"/>
                </w:rPr>
                <w:t>Unregistered Sales of Equity Securities and Use of Proceeds</w:t>
              </w:r>
            </w:hyperlink>
          </w:p>
        </w:tc>
        <w:tc>
          <w:tcPr>
            <w:tcW w:w="5460" w:type="dxa"/>
            <w:vAlign w:val="bottom"/>
            <w:gridSpan w:val="7"/>
          </w:tcPr>
          <w:p>
            <w:pPr>
              <w:spacing w:after="0"/>
              <w:rPr>
                <w:sz w:val="15"/>
                <w:szCs w:val="15"/>
                <w:color w:val="auto"/>
              </w:rPr>
            </w:pPr>
          </w:p>
        </w:tc>
        <w:tc>
          <w:tcPr>
            <w:tcW w:w="540" w:type="dxa"/>
            <w:vAlign w:val="bottom"/>
          </w:tcPr>
          <w:p>
            <w:pPr>
              <w:jc w:val="right"/>
              <w:spacing w:after="0" w:line="166" w:lineRule="exact"/>
              <w:rPr>
                <w:sz w:val="20"/>
                <w:szCs w:val="20"/>
                <w:color w:val="auto"/>
              </w:rPr>
            </w:pPr>
            <w:r>
              <w:rPr>
                <w:rFonts w:ascii="Arial" w:cs="Arial" w:eastAsia="Arial" w:hAnsi="Arial"/>
                <w:sz w:val="17"/>
                <w:szCs w:val="17"/>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Item 5.</w:t>
            </w:r>
          </w:p>
        </w:tc>
        <w:tc>
          <w:tcPr>
            <w:tcW w:w="9560" w:type="dxa"/>
            <w:vAlign w:val="bottom"/>
            <w:gridSpan w:val="17"/>
            <w:shd w:val="clear" w:color="auto" w:fill="CCEEFF"/>
          </w:tcPr>
          <w:p>
            <w:pPr>
              <w:spacing w:after="0"/>
              <w:rPr>
                <w:sz w:val="20"/>
                <w:szCs w:val="20"/>
                <w:color w:val="auto"/>
              </w:rPr>
            </w:pPr>
            <w:r>
              <w:rPr>
                <w:rFonts w:ascii="Arial" w:cs="Arial" w:eastAsia="Arial" w:hAnsi="Arial"/>
                <w:sz w:val="17"/>
                <w:szCs w:val="17"/>
                <w:color w:val="auto"/>
              </w:rPr>
              <w:t>Other Information</w:t>
            </w: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gridSpan w:val="2"/>
          </w:tcPr>
          <w:p>
            <w:pPr>
              <w:ind w:left="240"/>
              <w:spacing w:after="0" w:line="166" w:lineRule="exact"/>
              <w:rPr>
                <w:sz w:val="20"/>
                <w:szCs w:val="20"/>
                <w:color w:val="auto"/>
              </w:rPr>
            </w:pPr>
            <w:r>
              <w:rPr>
                <w:rFonts w:ascii="Arial" w:cs="Arial" w:eastAsia="Arial" w:hAnsi="Arial"/>
                <w:sz w:val="17"/>
                <w:szCs w:val="17"/>
                <w:color w:val="auto"/>
              </w:rPr>
              <w:t>Item 6.</w:t>
            </w:r>
          </w:p>
        </w:tc>
        <w:tc>
          <w:tcPr>
            <w:tcW w:w="9560" w:type="dxa"/>
            <w:vAlign w:val="bottom"/>
            <w:gridSpan w:val="17"/>
          </w:tcPr>
          <w:p>
            <w:pPr>
              <w:spacing w:after="0" w:line="166" w:lineRule="exact"/>
              <w:rPr>
                <w:rFonts w:ascii="Arial" w:cs="Arial" w:eastAsia="Arial" w:hAnsi="Arial"/>
                <w:sz w:val="17"/>
                <w:szCs w:val="17"/>
                <w:color w:val="0000EE"/>
              </w:rPr>
            </w:pPr>
            <w:hyperlink w:anchor="page54">
              <w:r>
                <w:rPr>
                  <w:rFonts w:ascii="Arial" w:cs="Arial" w:eastAsia="Arial" w:hAnsi="Arial"/>
                  <w:sz w:val="17"/>
                  <w:szCs w:val="17"/>
                  <w:color w:val="0000EE"/>
                </w:rPr>
                <w:t>Exhibits</w:t>
              </w:r>
            </w:hyperlink>
          </w:p>
        </w:tc>
        <w:tc>
          <w:tcPr>
            <w:tcW w:w="540" w:type="dxa"/>
            <w:vAlign w:val="bottom"/>
          </w:tcPr>
          <w:p>
            <w:pPr>
              <w:jc w:val="right"/>
              <w:spacing w:after="0" w:line="166" w:lineRule="exact"/>
              <w:rPr>
                <w:sz w:val="20"/>
                <w:szCs w:val="20"/>
                <w:color w:val="auto"/>
              </w:rPr>
            </w:pPr>
            <w:r>
              <w:rPr>
                <w:rFonts w:ascii="Arial" w:cs="Arial" w:eastAsia="Arial" w:hAnsi="Arial"/>
                <w:sz w:val="17"/>
                <w:szCs w:val="17"/>
                <w:color w:val="auto"/>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tcBorders>
              <w:bottom w:val="single" w:sz="8" w:color="0000EE"/>
            </w:tcBorders>
            <w:shd w:val="clear" w:color="auto" w:fill="CCEEFF"/>
          </w:tcPr>
          <w:p>
            <w:pPr>
              <w:spacing w:after="0" w:line="184" w:lineRule="exact"/>
              <w:rPr>
                <w:rFonts w:ascii="Arial" w:cs="Arial" w:eastAsia="Arial" w:hAnsi="Arial"/>
                <w:sz w:val="17"/>
                <w:szCs w:val="17"/>
                <w:color w:val="0000EE"/>
                <w:w w:val="85"/>
              </w:rPr>
            </w:pPr>
            <w:hyperlink w:anchor="page55">
              <w:r>
                <w:rPr>
                  <w:rFonts w:ascii="Arial" w:cs="Arial" w:eastAsia="Arial" w:hAnsi="Arial"/>
                  <w:sz w:val="17"/>
                  <w:szCs w:val="17"/>
                  <w:color w:val="0000EE"/>
                  <w:w w:val="85"/>
                </w:rPr>
                <w:t>Signature</w:t>
              </w:r>
            </w:hyperlink>
          </w:p>
        </w:tc>
        <w:tc>
          <w:tcPr>
            <w:tcW w:w="4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0000EE"/>
              <w:bottom w:val="single" w:sz="8" w:color="CCEEFF"/>
            </w:tcBorders>
            <w:shd w:val="clear" w:color="auto" w:fill="CCEEFF"/>
          </w:tcPr>
          <w:p>
            <w:pPr>
              <w:spacing w:after="0"/>
              <w:rPr>
                <w:sz w:val="17"/>
                <w:szCs w:val="17"/>
                <w:color w:val="auto"/>
              </w:rPr>
            </w:pPr>
          </w:p>
        </w:tc>
        <w:tc>
          <w:tcPr>
            <w:tcW w:w="220" w:type="dxa"/>
            <w:vAlign w:val="bottom"/>
            <w:tcBorders>
              <w:top w:val="single" w:sz="8" w:color="0000EE"/>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and its subsidiaries, including ACM Shanghai, collectively.</w:t>
      </w:r>
    </w:p>
    <w:p>
      <w:pPr>
        <w:spacing w:after="0" w:line="20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SAPS, TEBO, ULTRA C and ULTRA FURNACE are our trademarks. For convenience, these trademarks appear in this report without ™ symbols, but that practice does not mean that we will not assert, to the fullest extent under applicable law, our rights to the trademarks. This report also contains other companies’ trademarks, registered marks and trade names, which are the property of those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417830</wp:posOffset>
            </wp:positionV>
            <wp:extent cx="713994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 AND STATISTICAL DATA</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information included under the heading “Item 2. Management’s Discussion and Analysis of Financial Condition and Results of Operations – Overview,” of Part I of this report contains statistical data and estimates, including forecasts, that are based on information provided by Gartner, Inc., or Gartner, in “Forecast: Semiconductor Wafer Fab Equipment, Worldwide, 4Q20 Update” (December 22, 2020),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20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60" w:type="dxa"/>
            <w:vAlign w:val="bottom"/>
            <w:gridSpan w:val="2"/>
          </w:tcPr>
          <w:p>
            <w:pPr>
              <w:spacing w:after="0"/>
              <w:rPr>
                <w:sz w:val="20"/>
                <w:szCs w:val="20"/>
                <w:color w:val="auto"/>
              </w:rPr>
            </w:pPr>
            <w:r>
              <w:rPr>
                <w:rFonts w:ascii="Arial" w:cs="Arial" w:eastAsia="Arial" w:hAnsi="Arial"/>
                <w:sz w:val="17"/>
                <w:szCs w:val="17"/>
                <w:b w:val="1"/>
                <w:bCs w:val="1"/>
                <w:color w:val="auto"/>
              </w:rPr>
              <w:t>PART I.</w:t>
            </w:r>
          </w:p>
        </w:tc>
        <w:tc>
          <w:tcPr>
            <w:tcW w:w="7920" w:type="dxa"/>
            <w:vAlign w:val="bottom"/>
          </w:tcPr>
          <w:p>
            <w:pPr>
              <w:ind w:left="160"/>
              <w:spacing w:after="0"/>
              <w:rPr>
                <w:sz w:val="20"/>
                <w:szCs w:val="20"/>
                <w:color w:val="auto"/>
              </w:rPr>
            </w:pPr>
            <w:r>
              <w:rPr>
                <w:rFonts w:ascii="Arial" w:cs="Arial" w:eastAsia="Arial" w:hAnsi="Arial"/>
                <w:sz w:val="17"/>
                <w:szCs w:val="17"/>
                <w:b w:val="1"/>
                <w:bCs w:val="1"/>
                <w:color w:val="auto"/>
              </w:rPr>
              <w:t>FINANCIAL INFORMATION</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760" w:type="dxa"/>
            <w:vAlign w:val="bottom"/>
            <w:gridSpan w:val="2"/>
          </w:tcPr>
          <w:p>
            <w:pPr>
              <w:spacing w:after="0"/>
              <w:rPr>
                <w:sz w:val="20"/>
                <w:szCs w:val="20"/>
                <w:color w:val="auto"/>
              </w:rPr>
            </w:pPr>
            <w:r>
              <w:rPr>
                <w:rFonts w:ascii="Arial" w:cs="Arial" w:eastAsia="Arial" w:hAnsi="Arial"/>
                <w:sz w:val="17"/>
                <w:szCs w:val="17"/>
                <w:b w:val="1"/>
                <w:bCs w:val="1"/>
                <w:color w:val="auto"/>
              </w:rPr>
              <w:t>Item 1.</w:t>
            </w:r>
          </w:p>
        </w:tc>
        <w:tc>
          <w:tcPr>
            <w:tcW w:w="7920" w:type="dxa"/>
            <w:vAlign w:val="bottom"/>
          </w:tcPr>
          <w:p>
            <w:pPr>
              <w:ind w:left="160"/>
              <w:spacing w:after="0"/>
              <w:rPr>
                <w:sz w:val="20"/>
                <w:szCs w:val="20"/>
                <w:color w:val="auto"/>
              </w:rPr>
            </w:pPr>
            <w:r>
              <w:rPr>
                <w:rFonts w:ascii="Arial" w:cs="Arial" w:eastAsia="Arial" w:hAnsi="Arial"/>
                <w:sz w:val="17"/>
                <w:szCs w:val="17"/>
                <w:b w:val="1"/>
                <w:bCs w:val="1"/>
                <w:color w:val="auto"/>
              </w:rPr>
              <w:t>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920" w:type="dxa"/>
            <w:vAlign w:val="bottom"/>
          </w:tcPr>
          <w:p>
            <w:pPr>
              <w:jc w:val="center"/>
              <w:ind w:left="1715"/>
              <w:spacing w:after="0"/>
              <w:rPr>
                <w:sz w:val="20"/>
                <w:szCs w:val="20"/>
                <w:color w:val="auto"/>
              </w:rPr>
            </w:pPr>
            <w:r>
              <w:rPr>
                <w:rFonts w:ascii="Arial" w:cs="Arial" w:eastAsia="Arial" w:hAnsi="Arial"/>
                <w:sz w:val="17"/>
                <w:szCs w:val="17"/>
                <w:b w:val="1"/>
                <w:bCs w:val="1"/>
                <w:color w:val="auto"/>
              </w:rPr>
              <w:t>ACM RESEARCH,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920" w:type="dxa"/>
            <w:vAlign w:val="bottom"/>
          </w:tcPr>
          <w:p>
            <w:pPr>
              <w:jc w:val="center"/>
              <w:ind w:left="1715"/>
              <w:spacing w:after="0"/>
              <w:rPr>
                <w:sz w:val="20"/>
                <w:szCs w:val="20"/>
                <w:color w:val="auto"/>
              </w:rPr>
            </w:pPr>
            <w:r>
              <w:rPr>
                <w:rFonts w:ascii="Arial" w:cs="Arial" w:eastAsia="Arial" w:hAnsi="Arial"/>
                <w:sz w:val="17"/>
                <w:szCs w:val="17"/>
                <w:b w:val="1"/>
                <w:bCs w:val="1"/>
                <w:color w:val="auto"/>
                <w:w w:val="87"/>
              </w:rPr>
              <w:t>Condensed Consolidated Balance Sheets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20" w:type="dxa"/>
            <w:vAlign w:val="bottom"/>
          </w:tcPr>
          <w:p>
            <w:pPr>
              <w:jc w:val="center"/>
              <w:ind w:left="1715"/>
              <w:spacing w:after="0"/>
              <w:rPr>
                <w:sz w:val="20"/>
                <w:szCs w:val="20"/>
                <w:color w:val="auto"/>
              </w:rPr>
            </w:pPr>
            <w:r>
              <w:rPr>
                <w:rFonts w:ascii="Arial" w:cs="Arial" w:eastAsia="Arial" w:hAnsi="Arial"/>
                <w:sz w:val="17"/>
                <w:szCs w:val="17"/>
                <w:i w:val="1"/>
                <w:iCs w:val="1"/>
                <w:color w:val="auto"/>
                <w:w w:val="89"/>
              </w:rPr>
              <w:t>(In thousands, except per share data)</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920" w:type="dxa"/>
            <w:vAlign w:val="bottom"/>
          </w:tcPr>
          <w:p>
            <w:pPr>
              <w:jc w:val="center"/>
              <w:ind w:left="1715"/>
              <w:spacing w:after="0"/>
              <w:rPr>
                <w:sz w:val="20"/>
                <w:szCs w:val="20"/>
                <w:color w:val="auto"/>
              </w:rPr>
            </w:pPr>
            <w:r>
              <w:rPr>
                <w:rFonts w:ascii="Arial" w:cs="Arial" w:eastAsia="Arial" w:hAnsi="Arial"/>
                <w:sz w:val="17"/>
                <w:szCs w:val="17"/>
                <w:i w:val="1"/>
                <w:iCs w:val="1"/>
                <w:color w:val="auto"/>
                <w:w w:val="94"/>
              </w:rPr>
              <w:t>(Unaudited)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w w:val="99"/>
              </w:rPr>
              <w:t>June 30,</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920" w:type="dxa"/>
            <w:vAlign w:val="bottom"/>
          </w:tcPr>
          <w:p>
            <w:pPr>
              <w:jc w:val="center"/>
              <w:ind w:right="795"/>
              <w:spacing w:after="0" w:line="191" w:lineRule="exact"/>
              <w:rPr>
                <w:sz w:val="20"/>
                <w:szCs w:val="20"/>
                <w:color w:val="auto"/>
              </w:rPr>
            </w:pPr>
            <w:r>
              <w:rPr>
                <w:rFonts w:ascii="Arial" w:cs="Arial" w:eastAsia="Arial" w:hAnsi="Arial"/>
                <w:sz w:val="17"/>
                <w:szCs w:val="17"/>
                <w:b w:val="1"/>
                <w:bCs w:val="1"/>
                <w:color w:val="auto"/>
                <w:w w:val="78"/>
              </w:rPr>
              <w:t>Assets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680" w:type="dxa"/>
            <w:vAlign w:val="bottom"/>
            <w:gridSpan w:val="3"/>
          </w:tcPr>
          <w:p>
            <w:pPr>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70,209</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71,766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Trading securities (note 16)</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31,257</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28,239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w w:val="97"/>
              </w:rPr>
              <w:t>Accounts receivable, less allowance for doubtful accounts of $0 as of June 30, 2021 and December 31, 2020 (note 4)</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71,357</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56,441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Other receivables</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10,733</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9,679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Inventories (note 5)</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136,852</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88,639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Prepaid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8,953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5,892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Total current assets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329,361</w:t>
            </w: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260,656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Property, plant and equipment, net (note 6)</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8,985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8,192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Land use right, net (note 7)</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9,642</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9,646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Operating lease right-of-use assets, net (note 11)</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5,209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4,297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Deferred tax assets (note 21)</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14,691</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11,076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Long-term investments (note 14)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Other long-term assets (note 8)</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43,434</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40,496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660" w:type="dxa"/>
            <w:vAlign w:val="bottom"/>
            <w:tcBorders>
              <w:bottom w:val="single" w:sz="8" w:color="CCEEFF"/>
              <w:right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Total assets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418,958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341,257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920" w:type="dxa"/>
            <w:vAlign w:val="bottom"/>
          </w:tcPr>
          <w:p>
            <w:pPr>
              <w:jc w:val="center"/>
              <w:ind w:right="795"/>
              <w:spacing w:after="0"/>
              <w:rPr>
                <w:sz w:val="20"/>
                <w:szCs w:val="20"/>
                <w:color w:val="auto"/>
              </w:rPr>
            </w:pPr>
            <w:r>
              <w:rPr>
                <w:rFonts w:ascii="Arial" w:cs="Arial" w:eastAsia="Arial" w:hAnsi="Arial"/>
                <w:sz w:val="17"/>
                <w:szCs w:val="17"/>
                <w:b w:val="1"/>
                <w:bCs w:val="1"/>
                <w:color w:val="auto"/>
                <w:w w:val="90"/>
              </w:rPr>
              <w:t>Liabilities and Stockholders’ Equity</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Short-term borrowings (note 9)</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22,162</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26,147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Current portion of long-term borrowings (note 12)</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1,591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67,031</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35,603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Advances from customers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43,845</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17,888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2,348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1,343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taxes payable (note 21)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FIN-48 payable (note 21)</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payables and accrued expenses (note 10)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21,871</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Current portion of operating lease liability (note 11)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1,417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Total current liabilities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162,058</w:t>
            </w: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102,908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Long-term borrowings (note 12)</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18,717</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17,979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Long-term operating lease liability (note 11)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2,772</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2,880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Deferred tax liability (note 21)</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1,298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1,286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long-term liabilities (note 13)</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8,034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9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2"/>
          </w:tcPr>
          <w:p>
            <w:pPr>
              <w:ind w:left="220"/>
              <w:spacing w:after="0"/>
              <w:rPr>
                <w:sz w:val="20"/>
                <w:szCs w:val="20"/>
                <w:color w:val="auto"/>
              </w:rPr>
            </w:pPr>
            <w:r>
              <w:rPr>
                <w:rFonts w:ascii="Arial" w:cs="Arial" w:eastAsia="Arial" w:hAnsi="Arial"/>
                <w:sz w:val="17"/>
                <w:szCs w:val="17"/>
                <w:b w:val="1"/>
                <w:bCs w:val="1"/>
                <w:color w:val="auto"/>
              </w:rPr>
              <w:t>Total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189,402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133,087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 (note 21)</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Stockholders’ equity:</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60" w:type="dxa"/>
            <w:vAlign w:val="bottom"/>
            <w:tcBorders>
              <w:right w:val="single" w:sz="8" w:color="CCEEFF"/>
            </w:tcBorders>
            <w:gridSpan w:val="2"/>
            <w:shd w:val="clear" w:color="auto" w:fill="CCEEFF"/>
          </w:tcPr>
          <w:p>
            <w:pPr>
              <w:spacing w:after="0" w:line="191" w:lineRule="exact"/>
              <w:rPr>
                <w:sz w:val="20"/>
                <w:szCs w:val="20"/>
                <w:color w:val="auto"/>
              </w:rPr>
            </w:pPr>
            <w:r>
              <w:rPr>
                <w:rFonts w:ascii="Arial" w:cs="Arial" w:eastAsia="Arial" w:hAnsi="Arial"/>
                <w:sz w:val="17"/>
                <w:szCs w:val="17"/>
                <w:color w:val="auto"/>
                <w:w w:val="94"/>
              </w:rPr>
              <w:t>Common stock – Class A, par value $0.0001: 50,000,000 shares authorized as of June 30, 2021 and December 31, 2020;</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w w:val="88"/>
              </w:rPr>
              <w:t>17,668,409 shares issued and outstanding as of June 30, 2021 and 16,896,693 shares issued and outstanding as of December</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31, 2020 (note 18)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60" w:type="dxa"/>
            <w:vAlign w:val="bottom"/>
            <w:gridSpan w:val="2"/>
          </w:tcPr>
          <w:p>
            <w:pPr>
              <w:spacing w:after="0" w:line="191" w:lineRule="exact"/>
              <w:rPr>
                <w:sz w:val="20"/>
                <w:szCs w:val="20"/>
                <w:color w:val="auto"/>
              </w:rPr>
            </w:pPr>
            <w:r>
              <w:rPr>
                <w:rFonts w:ascii="Arial" w:cs="Arial" w:eastAsia="Arial" w:hAnsi="Arial"/>
                <w:sz w:val="17"/>
                <w:szCs w:val="17"/>
                <w:color w:val="auto"/>
                <w:w w:val="96"/>
              </w:rPr>
              <w:t>Common stock–Class B, par value $0.0001: 2,409,738 shares authorized as of June 30, 2021 and December 31, 2020;</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2"/>
          </w:tcPr>
          <w:p>
            <w:pPr>
              <w:ind w:left="100"/>
              <w:spacing w:after="0"/>
              <w:rPr>
                <w:sz w:val="20"/>
                <w:szCs w:val="20"/>
                <w:color w:val="auto"/>
              </w:rPr>
            </w:pPr>
            <w:r>
              <w:rPr>
                <w:rFonts w:ascii="Arial" w:cs="Arial" w:eastAsia="Arial" w:hAnsi="Arial"/>
                <w:sz w:val="17"/>
                <w:szCs w:val="17"/>
                <w:color w:val="auto"/>
                <w:w w:val="90"/>
              </w:rPr>
              <w:t>1,707,605 shares issued and outstanding as of June 30, 2021 and 1,802,606 shares issued and outstanding as of December</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gridSpan w:val="2"/>
          </w:tcPr>
          <w:p>
            <w:pPr>
              <w:ind w:left="100"/>
              <w:spacing w:after="0"/>
              <w:rPr>
                <w:sz w:val="20"/>
                <w:szCs w:val="20"/>
                <w:color w:val="auto"/>
              </w:rPr>
            </w:pPr>
            <w:r>
              <w:rPr>
                <w:rFonts w:ascii="Arial" w:cs="Arial" w:eastAsia="Arial" w:hAnsi="Arial"/>
                <w:sz w:val="17"/>
                <w:szCs w:val="17"/>
                <w:color w:val="auto"/>
              </w:rPr>
              <w:t>31, 2020 (note 18)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Additional paid in capital</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108,566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102,004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Accumulated surplus</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46,324</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34,287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4,857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9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Total ACM Research, Inc. stockholders’ equity</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160,823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141,150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68,733</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67,020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9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Total stockholders’ equity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229,556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208,170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660" w:type="dxa"/>
            <w:vAlign w:val="bottom"/>
            <w:tcBorders>
              <w:bottom w:val="single" w:sz="8" w:color="CCEEFF"/>
              <w:right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Total liabilities and stockholders’ equity</w:t>
            </w: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418,958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341,257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59690</wp:posOffset>
            </wp:positionV>
            <wp:extent cx="713994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right"/>
              <w:ind w:right="300"/>
              <w:spacing w:after="0"/>
              <w:rPr>
                <w:sz w:val="20"/>
                <w:szCs w:val="20"/>
                <w:color w:val="auto"/>
              </w:rPr>
            </w:pPr>
            <w:r>
              <w:rPr>
                <w:rFonts w:ascii="Arial" w:cs="Arial" w:eastAsia="Arial" w:hAnsi="Arial"/>
                <w:sz w:val="17"/>
                <w:szCs w:val="17"/>
                <w:b w:val="1"/>
                <w:bCs w:val="1"/>
                <w:color w:val="auto"/>
                <w:w w:val="91"/>
              </w:rPr>
              <w:t>Three Months Ended June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gridSpan w:val="5"/>
          </w:tcPr>
          <w:p>
            <w:pPr>
              <w:jc w:val="right"/>
              <w:ind w:right="320"/>
              <w:spacing w:after="0"/>
              <w:rPr>
                <w:sz w:val="20"/>
                <w:szCs w:val="20"/>
                <w:color w:val="auto"/>
              </w:rPr>
            </w:pPr>
            <w:r>
              <w:rPr>
                <w:rFonts w:ascii="Arial" w:cs="Arial" w:eastAsia="Arial" w:hAnsi="Arial"/>
                <w:sz w:val="17"/>
                <w:szCs w:val="17"/>
                <w:b w:val="1"/>
                <w:bCs w:val="1"/>
                <w:color w:val="auto"/>
                <w:w w:val="92"/>
              </w:rPr>
              <w:t>Six Months Ended 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Revenue (note 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53,864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39,049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97,596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Cost of revenue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32,184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19,693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57,871</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33,813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b w:val="1"/>
                <w:bCs w:val="1"/>
                <w:color w:val="auto"/>
              </w:rPr>
              <w:t>Gross profit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21,680</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19,356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39,725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Sales and marketing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tcPr>
          <w:p>
            <w:pPr>
              <w:ind w:left="100"/>
              <w:spacing w:after="0"/>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7,933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5,221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13,437</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8,898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4,532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ind w:left="280"/>
              <w:spacing w:after="0"/>
              <w:rPr>
                <w:sz w:val="20"/>
                <w:szCs w:val="20"/>
                <w:color w:val="auto"/>
              </w:rPr>
            </w:pPr>
            <w:r>
              <w:rPr>
                <w:rFonts w:ascii="Arial" w:cs="Arial" w:eastAsia="Arial" w:hAnsi="Arial"/>
                <w:sz w:val="17"/>
                <w:szCs w:val="17"/>
                <w:b w:val="1"/>
                <w:bCs w:val="1"/>
                <w:color w:val="auto"/>
              </w:rPr>
              <w:t>Total operating expenses,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17,349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31,944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21,030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shd w:val="clear" w:color="auto" w:fill="CCEEFF"/>
          </w:tcPr>
          <w:p>
            <w:pPr>
              <w:ind w:left="280"/>
              <w:spacing w:after="0"/>
              <w:rPr>
                <w:sz w:val="20"/>
                <w:szCs w:val="20"/>
                <w:color w:val="auto"/>
              </w:rPr>
            </w:pPr>
            <w:r>
              <w:rPr>
                <w:rFonts w:ascii="Arial" w:cs="Arial" w:eastAsia="Arial" w:hAnsi="Arial"/>
                <w:sz w:val="17"/>
                <w:szCs w:val="17"/>
                <w:b w:val="1"/>
                <w:bCs w:val="1"/>
                <w:color w:val="auto"/>
              </w:rPr>
              <w:t>Income from operations</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4,331</w:t>
            </w:r>
          </w:p>
        </w:tc>
        <w:tc>
          <w:tcPr>
            <w:tcW w:w="2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7,336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7,781</w:t>
            </w: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(194)</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(383)</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Change in fair value of financial liability</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(5,431)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(5,431)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 on trading securities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Other income (expenses), net</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(897)</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(428)</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826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Equity income in net income of affiliates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tcPr>
          <w:p>
            <w:pPr>
              <w:ind w:left="280"/>
              <w:spacing w:after="0"/>
              <w:rPr>
                <w:sz w:val="20"/>
                <w:szCs w:val="20"/>
                <w:color w:val="auto"/>
              </w:rPr>
            </w:pPr>
            <w:r>
              <w:rPr>
                <w:rFonts w:ascii="Arial" w:cs="Arial" w:eastAsia="Arial" w:hAnsi="Arial"/>
                <w:sz w:val="17"/>
                <w:szCs w:val="17"/>
                <w:b w:val="1"/>
                <w:bCs w:val="1"/>
                <w:color w:val="auto"/>
              </w:rPr>
              <w:t>Income before income taxes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7,349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10,401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4,622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(expense) (note 21)</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(2,163)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tcPr>
          <w:p>
            <w:pPr>
              <w:ind w:left="280"/>
              <w:spacing w:after="0"/>
              <w:rPr>
                <w:sz w:val="20"/>
                <w:szCs w:val="20"/>
                <w:color w:val="auto"/>
              </w:rPr>
            </w:pPr>
            <w:r>
              <w:rPr>
                <w:rFonts w:ascii="Arial" w:cs="Arial" w:eastAsia="Arial" w:hAnsi="Arial"/>
                <w:sz w:val="17"/>
                <w:szCs w:val="17"/>
                <w:b w:val="1"/>
                <w:bCs w:val="1"/>
                <w:color w:val="auto"/>
              </w:rPr>
              <w:t>Net income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7,334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13,156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2,459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Less: Net income attributable to non-controlling interests and redeemable non-</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controlling interests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tcPr>
          <w:p>
            <w:pPr>
              <w:ind w:left="280"/>
              <w:spacing w:after="0"/>
              <w:rPr>
                <w:sz w:val="20"/>
                <w:szCs w:val="20"/>
                <w:color w:val="auto"/>
              </w:rPr>
            </w:pPr>
            <w:r>
              <w:rPr>
                <w:rFonts w:ascii="Arial" w:cs="Arial" w:eastAsia="Arial" w:hAnsi="Arial"/>
                <w:sz w:val="17"/>
                <w:szCs w:val="17"/>
                <w:b w:val="1"/>
                <w:bCs w:val="1"/>
                <w:color w:val="auto"/>
              </w:rPr>
              <w:t>Net income (loss) attributable to ACM Research,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6,567</w:t>
            </w:r>
          </w:p>
        </w:tc>
        <w:tc>
          <w:tcPr>
            <w:tcW w:w="24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(81)</w:t>
            </w:r>
          </w:p>
        </w:tc>
        <w:tc>
          <w:tcPr>
            <w:tcW w:w="24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12,037</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1,624</w:t>
            </w: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tcPr>
          <w:p>
            <w:pPr>
              <w:ind w:left="100"/>
              <w:spacing w:after="0"/>
              <w:rPr>
                <w:sz w:val="20"/>
                <w:szCs w:val="20"/>
                <w:color w:val="auto"/>
              </w:rPr>
            </w:pPr>
            <w:r>
              <w:rPr>
                <w:rFonts w:ascii="Arial" w:cs="Arial" w:eastAsia="Arial" w:hAnsi="Arial"/>
                <w:sz w:val="17"/>
                <w:szCs w:val="17"/>
                <w:color w:val="auto"/>
              </w:rPr>
              <w:t>Net income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7,334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13,156</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2,459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Foreign currency translation adjustment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(1,658)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tcPr>
          <w:p>
            <w:pPr>
              <w:ind w:left="280"/>
              <w:spacing w:after="0"/>
              <w:rPr>
                <w:sz w:val="20"/>
                <w:szCs w:val="20"/>
                <w:color w:val="auto"/>
              </w:rPr>
            </w:pPr>
            <w:r>
              <w:rPr>
                <w:rFonts w:ascii="Arial" w:cs="Arial" w:eastAsia="Arial" w:hAnsi="Arial"/>
                <w:sz w:val="17"/>
                <w:szCs w:val="17"/>
                <w:b w:val="1"/>
                <w:bCs w:val="1"/>
                <w:color w:val="auto"/>
              </w:rPr>
              <w:t>Comprehensive Income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10,334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14,824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801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2"/>
              </w:rPr>
              <w:t>Less: Comprehensive income attributable to non-controlling interests and redeemable</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non-controlling interests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tcPr>
          <w:p>
            <w:pPr>
              <w:ind w:left="280"/>
              <w:spacing w:after="0"/>
              <w:rPr>
                <w:sz w:val="20"/>
                <w:szCs w:val="20"/>
                <w:color w:val="auto"/>
              </w:rPr>
            </w:pPr>
            <w:r>
              <w:rPr>
                <w:rFonts w:ascii="Arial" w:cs="Arial" w:eastAsia="Arial" w:hAnsi="Arial"/>
                <w:sz w:val="17"/>
                <w:szCs w:val="17"/>
                <w:b w:val="1"/>
                <w:bCs w:val="1"/>
                <w:color w:val="auto"/>
              </w:rPr>
              <w:t>Comprehensive income (loss) attributable to ACM Research,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8,537</w:t>
            </w:r>
          </w:p>
        </w:tc>
        <w:tc>
          <w:tcPr>
            <w:tcW w:w="24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(872)</w:t>
            </w:r>
          </w:p>
        </w:tc>
        <w:tc>
          <w:tcPr>
            <w:tcW w:w="24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13,110</w:t>
            </w:r>
          </w:p>
        </w:tc>
        <w:tc>
          <w:tcPr>
            <w:tcW w:w="20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7"/>
                <w:szCs w:val="17"/>
                <w:color w:val="auto"/>
                <w:w w:val="97"/>
              </w:rPr>
              <w:t>Net income (loss) attributable to ACM Research, Inc. per common share (note 2):</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(0.00)</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0.63</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Arial" w:cs="Arial" w:eastAsia="Arial" w:hAnsi="Arial"/>
                <w:sz w:val="17"/>
                <w:szCs w:val="17"/>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0.30</w:t>
            </w:r>
          </w:p>
        </w:tc>
        <w:tc>
          <w:tcPr>
            <w:tcW w:w="24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(0.00)</w:t>
            </w:r>
          </w:p>
        </w:tc>
        <w:tc>
          <w:tcPr>
            <w:tcW w:w="24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0.56</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960" w:type="dxa"/>
            <w:vAlign w:val="bottom"/>
          </w:tcPr>
          <w:p>
            <w:pPr>
              <w:spacing w:after="0" w:line="191" w:lineRule="exact"/>
              <w:rPr>
                <w:sz w:val="20"/>
                <w:szCs w:val="20"/>
                <w:color w:val="auto"/>
              </w:rPr>
            </w:pPr>
            <w:r>
              <w:rPr>
                <w:rFonts w:ascii="Arial" w:cs="Arial" w:eastAsia="Arial" w:hAnsi="Arial"/>
                <w:sz w:val="17"/>
                <w:szCs w:val="17"/>
                <w:color w:val="auto"/>
                <w:w w:val="92"/>
              </w:rPr>
              <w:t>Weighted average common shares outstanding used in computing per share amounts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Arial" w:cs="Arial" w:eastAsia="Arial" w:hAnsi="Arial"/>
                <w:sz w:val="17"/>
                <w:szCs w:val="17"/>
                <w:color w:val="auto"/>
              </w:rPr>
              <w:t>(note 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Basic</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19,123,659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18,050,841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18,956,195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18,085,602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21,807,744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21,516,175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21,679,528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21,197,203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For the Six Months Ended June 30, 2021 and 2020</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(In thousands, except per share data)</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0" w:type="dxa"/>
            <w:vAlign w:val="bottom"/>
            <w:gridSpan w:val="2"/>
          </w:tcPr>
          <w:p>
            <w:pPr>
              <w:jc w:val="center"/>
              <w:ind w:left="135"/>
              <w:spacing w:after="0"/>
              <w:rPr>
                <w:sz w:val="20"/>
                <w:szCs w:val="20"/>
                <w:color w:val="auto"/>
              </w:rPr>
            </w:pPr>
            <w:r>
              <w:rPr>
                <w:rFonts w:ascii="Arial" w:cs="Arial" w:eastAsia="Arial" w:hAnsi="Arial"/>
                <w:sz w:val="17"/>
                <w:szCs w:val="17"/>
                <w:b w:val="1"/>
                <w:bCs w:val="1"/>
                <w:color w:val="auto"/>
                <w:w w:val="89"/>
              </w:rPr>
              <w:t>Common</w:t>
            </w:r>
          </w:p>
        </w:tc>
        <w:tc>
          <w:tcPr>
            <w:tcW w:w="260" w:type="dxa"/>
            <w:vAlign w:val="bottom"/>
          </w:tcPr>
          <w:p>
            <w:pPr>
              <w:spacing w:after="0"/>
              <w:rPr>
                <w:sz w:val="17"/>
                <w:szCs w:val="17"/>
                <w:color w:val="auto"/>
              </w:rPr>
            </w:pPr>
          </w:p>
        </w:tc>
        <w:tc>
          <w:tcPr>
            <w:tcW w:w="1340" w:type="dxa"/>
            <w:vAlign w:val="bottom"/>
            <w:gridSpan w:val="2"/>
          </w:tcPr>
          <w:p>
            <w:pPr>
              <w:jc w:val="center"/>
              <w:ind w:left="75"/>
              <w:spacing w:after="0"/>
              <w:rPr>
                <w:sz w:val="20"/>
                <w:szCs w:val="20"/>
                <w:color w:val="auto"/>
              </w:rPr>
            </w:pPr>
            <w:r>
              <w:rPr>
                <w:rFonts w:ascii="Arial" w:cs="Arial" w:eastAsia="Arial" w:hAnsi="Arial"/>
                <w:sz w:val="17"/>
                <w:szCs w:val="17"/>
                <w:b w:val="1"/>
                <w:bCs w:val="1"/>
                <w:color w:val="auto"/>
                <w:w w:val="89"/>
              </w:rPr>
              <w:t>Common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0" w:type="dxa"/>
            <w:vAlign w:val="bottom"/>
            <w:tcBorders>
              <w:bottom w:val="single" w:sz="8" w:color="auto"/>
            </w:tcBorders>
            <w:gridSpan w:val="2"/>
          </w:tcPr>
          <w:p>
            <w:pPr>
              <w:jc w:val="center"/>
              <w:ind w:left="155"/>
              <w:spacing w:after="0"/>
              <w:rPr>
                <w:sz w:val="20"/>
                <w:szCs w:val="20"/>
                <w:color w:val="auto"/>
              </w:rPr>
            </w:pPr>
            <w:r>
              <w:rPr>
                <w:rFonts w:ascii="Arial" w:cs="Arial" w:eastAsia="Arial" w:hAnsi="Arial"/>
                <w:sz w:val="17"/>
                <w:szCs w:val="17"/>
                <w:b w:val="1"/>
                <w:bCs w:val="1"/>
                <w:color w:val="auto"/>
                <w:w w:val="88"/>
              </w:rPr>
              <w:t>Stock Class A</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left="75"/>
              <w:spacing w:after="0"/>
              <w:rPr>
                <w:sz w:val="20"/>
                <w:szCs w:val="20"/>
                <w:color w:val="auto"/>
              </w:rPr>
            </w:pPr>
            <w:r>
              <w:rPr>
                <w:rFonts w:ascii="Arial" w:cs="Arial" w:eastAsia="Arial" w:hAnsi="Arial"/>
                <w:sz w:val="17"/>
                <w:szCs w:val="17"/>
                <w:b w:val="1"/>
                <w:bCs w:val="1"/>
                <w:color w:val="auto"/>
                <w:w w:val="86"/>
              </w:rPr>
              <w:t>Stock Class B</w:t>
            </w: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2"/>
          </w:tcPr>
          <w:p>
            <w:pPr>
              <w:jc w:val="right"/>
              <w:ind w:right="95"/>
              <w:spacing w:after="0" w:line="187" w:lineRule="exact"/>
              <w:rPr>
                <w:sz w:val="20"/>
                <w:szCs w:val="20"/>
                <w:color w:val="auto"/>
              </w:rPr>
            </w:pPr>
            <w:r>
              <w:rPr>
                <w:rFonts w:ascii="Arial" w:cs="Arial" w:eastAsia="Arial" w:hAnsi="Arial"/>
                <w:sz w:val="17"/>
                <w:szCs w:val="17"/>
                <w:b w:val="1"/>
                <w:bCs w:val="1"/>
                <w:color w:val="auto"/>
                <w:w w:val="99"/>
              </w:rPr>
              <w:t>Accumulated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ind w:right="215"/>
              <w:spacing w:after="0"/>
              <w:rPr>
                <w:sz w:val="20"/>
                <w:szCs w:val="20"/>
                <w:color w:val="auto"/>
              </w:rPr>
            </w:pPr>
            <w:r>
              <w:rPr>
                <w:rFonts w:ascii="Arial" w:cs="Arial" w:eastAsia="Arial" w:hAnsi="Arial"/>
                <w:sz w:val="17"/>
                <w:szCs w:val="17"/>
                <w:b w:val="1"/>
                <w:bCs w:val="1"/>
                <w:color w:val="auto"/>
                <w:w w:val="96"/>
              </w:rPr>
              <w:t>Other</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Total</w:t>
            </w:r>
          </w:p>
        </w:tc>
      </w:tr>
      <w:tr>
        <w:trPr>
          <w:trHeight w:val="204"/>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7"/>
                <w:szCs w:val="17"/>
                <w:b w:val="1"/>
                <w:bCs w:val="1"/>
                <w:color w:val="auto"/>
                <w:w w:val="97"/>
              </w:rPr>
              <w:t>Additional Paid-</w:t>
            </w:r>
          </w:p>
        </w:tc>
        <w:tc>
          <w:tcPr>
            <w:tcW w:w="1040" w:type="dxa"/>
            <w:vAlign w:val="bottom"/>
            <w:gridSpan w:val="2"/>
          </w:tcPr>
          <w:p>
            <w:pPr>
              <w:ind w:left="20"/>
              <w:spacing w:after="0"/>
              <w:rPr>
                <w:sz w:val="20"/>
                <w:szCs w:val="20"/>
                <w:color w:val="auto"/>
              </w:rPr>
            </w:pPr>
            <w:r>
              <w:rPr>
                <w:rFonts w:ascii="Arial" w:cs="Arial" w:eastAsia="Arial" w:hAnsi="Arial"/>
                <w:sz w:val="17"/>
                <w:szCs w:val="17"/>
                <w:b w:val="1"/>
                <w:bCs w:val="1"/>
                <w:color w:val="auto"/>
                <w:w w:val="93"/>
              </w:rPr>
              <w:t>Accumulated</w:t>
            </w:r>
          </w:p>
        </w:tc>
        <w:tc>
          <w:tcPr>
            <w:tcW w:w="12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Comprehensive</w:t>
            </w:r>
          </w:p>
        </w:tc>
        <w:tc>
          <w:tcPr>
            <w:tcW w:w="1220" w:type="dxa"/>
            <w:vAlign w:val="bottom"/>
            <w:gridSpan w:val="2"/>
          </w:tcPr>
          <w:p>
            <w:pPr>
              <w:spacing w:after="0"/>
              <w:rPr>
                <w:sz w:val="20"/>
                <w:szCs w:val="20"/>
                <w:color w:val="auto"/>
              </w:rPr>
            </w:pPr>
            <w:r>
              <w:rPr>
                <w:rFonts w:ascii="Arial" w:cs="Arial" w:eastAsia="Arial" w:hAnsi="Arial"/>
                <w:sz w:val="17"/>
                <w:szCs w:val="17"/>
                <w:b w:val="1"/>
                <w:bCs w:val="1"/>
                <w:color w:val="auto"/>
                <w:w w:val="94"/>
              </w:rPr>
              <w:t>Non-controlling</w:t>
            </w:r>
          </w:p>
        </w:tc>
        <w:tc>
          <w:tcPr>
            <w:tcW w:w="1120" w:type="dxa"/>
            <w:vAlign w:val="bottom"/>
            <w:gridSpan w:val="3"/>
          </w:tcPr>
          <w:p>
            <w:pPr>
              <w:ind w:left="40"/>
              <w:spacing w:after="0"/>
              <w:rPr>
                <w:sz w:val="20"/>
                <w:szCs w:val="20"/>
                <w:color w:val="auto"/>
              </w:rPr>
            </w:pPr>
            <w:r>
              <w:rPr>
                <w:rFonts w:ascii="Arial" w:cs="Arial" w:eastAsia="Arial" w:hAnsi="Arial"/>
                <w:sz w:val="17"/>
                <w:szCs w:val="17"/>
                <w:b w:val="1"/>
                <w:bCs w:val="1"/>
                <w:color w:val="auto"/>
                <w:w w:val="94"/>
              </w:rPr>
              <w:t>Stockholders’</w:t>
            </w:r>
          </w:p>
        </w:tc>
      </w:tr>
      <w:tr>
        <w:trPr>
          <w:trHeight w:val="219"/>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b w:val="1"/>
                <w:bCs w:val="1"/>
                <w:color w:val="auto"/>
              </w:rPr>
              <w:t>Shares</w:t>
            </w:r>
          </w:p>
        </w:tc>
        <w:tc>
          <w:tcPr>
            <w:tcW w:w="720" w:type="dxa"/>
            <w:vAlign w:val="bottom"/>
            <w:gridSpan w:val="2"/>
          </w:tcPr>
          <w:p>
            <w:pPr>
              <w:ind w:left="40"/>
              <w:spacing w:after="0"/>
              <w:rPr>
                <w:sz w:val="20"/>
                <w:szCs w:val="20"/>
                <w:color w:val="auto"/>
              </w:rPr>
            </w:pPr>
            <w:r>
              <w:rPr>
                <w:rFonts w:ascii="Arial" w:cs="Arial" w:eastAsia="Arial" w:hAnsi="Arial"/>
                <w:sz w:val="17"/>
                <w:szCs w:val="17"/>
                <w:b w:val="1"/>
                <w:bCs w:val="1"/>
                <w:color w:val="auto"/>
              </w:rPr>
              <w:t>Amount</w:t>
            </w:r>
          </w:p>
        </w:tc>
        <w:tc>
          <w:tcPr>
            <w:tcW w:w="860" w:type="dxa"/>
            <w:vAlign w:val="bottom"/>
          </w:tcPr>
          <w:p>
            <w:pPr>
              <w:jc w:val="right"/>
              <w:ind w:right="135"/>
              <w:spacing w:after="0"/>
              <w:rPr>
                <w:sz w:val="20"/>
                <w:szCs w:val="20"/>
                <w:color w:val="auto"/>
              </w:rPr>
            </w:pPr>
            <w:r>
              <w:rPr>
                <w:rFonts w:ascii="Arial" w:cs="Arial" w:eastAsia="Arial" w:hAnsi="Arial"/>
                <w:sz w:val="17"/>
                <w:szCs w:val="17"/>
                <w:b w:val="1"/>
                <w:bCs w:val="1"/>
                <w:color w:val="auto"/>
              </w:rPr>
              <w:t>Shares</w:t>
            </w:r>
          </w:p>
        </w:tc>
        <w:tc>
          <w:tcPr>
            <w:tcW w:w="680" w:type="dxa"/>
            <w:vAlign w:val="bottom"/>
            <w:gridSpan w:val="2"/>
          </w:tcPr>
          <w:p>
            <w:pPr>
              <w:ind w:left="20"/>
              <w:spacing w:after="0"/>
              <w:rPr>
                <w:sz w:val="20"/>
                <w:szCs w:val="20"/>
                <w:color w:val="auto"/>
              </w:rPr>
            </w:pPr>
            <w:r>
              <w:rPr>
                <w:rFonts w:ascii="Arial" w:cs="Arial" w:eastAsia="Arial" w:hAnsi="Arial"/>
                <w:sz w:val="17"/>
                <w:szCs w:val="17"/>
                <w:b w:val="1"/>
                <w:bCs w:val="1"/>
                <w:color w:val="auto"/>
                <w:w w:val="99"/>
              </w:rPr>
              <w:t>Amount</w:t>
            </w:r>
          </w:p>
        </w:tc>
        <w:tc>
          <w:tcPr>
            <w:tcW w:w="220" w:type="dxa"/>
            <w:vAlign w:val="bottom"/>
          </w:tcPr>
          <w:p>
            <w:pPr>
              <w:spacing w:after="0"/>
              <w:rPr>
                <w:sz w:val="19"/>
                <w:szCs w:val="19"/>
                <w:color w:val="auto"/>
              </w:rPr>
            </w:pPr>
          </w:p>
        </w:tc>
        <w:tc>
          <w:tcPr>
            <w:tcW w:w="1100" w:type="dxa"/>
            <w:vAlign w:val="bottom"/>
          </w:tcPr>
          <w:p>
            <w:pPr>
              <w:jc w:val="right"/>
              <w:ind w:right="235"/>
              <w:spacing w:after="0"/>
              <w:rPr>
                <w:sz w:val="20"/>
                <w:szCs w:val="20"/>
                <w:color w:val="auto"/>
              </w:rPr>
            </w:pPr>
            <w:r>
              <w:rPr>
                <w:rFonts w:ascii="Arial" w:cs="Arial" w:eastAsia="Arial" w:hAnsi="Arial"/>
                <w:sz w:val="17"/>
                <w:szCs w:val="17"/>
                <w:b w:val="1"/>
                <w:bCs w:val="1"/>
                <w:color w:val="auto"/>
                <w:w w:val="99"/>
              </w:rPr>
              <w:t>in Capital</w:t>
            </w:r>
          </w:p>
        </w:tc>
        <w:tc>
          <w:tcPr>
            <w:tcW w:w="180" w:type="dxa"/>
            <w:vAlign w:val="bottom"/>
          </w:tcPr>
          <w:p>
            <w:pPr>
              <w:spacing w:after="0"/>
              <w:rPr>
                <w:sz w:val="19"/>
                <w:szCs w:val="19"/>
                <w:color w:val="auto"/>
              </w:rPr>
            </w:pPr>
          </w:p>
        </w:tc>
        <w:tc>
          <w:tcPr>
            <w:tcW w:w="860" w:type="dxa"/>
            <w:vAlign w:val="bottom"/>
          </w:tcPr>
          <w:p>
            <w:pPr>
              <w:jc w:val="right"/>
              <w:ind w:right="175"/>
              <w:spacing w:after="0"/>
              <w:rPr>
                <w:sz w:val="20"/>
                <w:szCs w:val="20"/>
                <w:color w:val="auto"/>
              </w:rPr>
            </w:pPr>
            <w:r>
              <w:rPr>
                <w:rFonts w:ascii="Arial" w:cs="Arial" w:eastAsia="Arial" w:hAnsi="Arial"/>
                <w:sz w:val="17"/>
                <w:szCs w:val="17"/>
                <w:b w:val="1"/>
                <w:bCs w:val="1"/>
                <w:color w:val="auto"/>
                <w:w w:val="91"/>
              </w:rPr>
              <w:t>Surplus</w:t>
            </w:r>
          </w:p>
        </w:tc>
        <w:tc>
          <w:tcPr>
            <w:tcW w:w="240" w:type="dxa"/>
            <w:vAlign w:val="bottom"/>
          </w:tcPr>
          <w:p>
            <w:pPr>
              <w:spacing w:after="0"/>
              <w:rPr>
                <w:sz w:val="19"/>
                <w:szCs w:val="19"/>
                <w:color w:val="auto"/>
              </w:rPr>
            </w:pPr>
          </w:p>
        </w:tc>
        <w:tc>
          <w:tcPr>
            <w:tcW w:w="1020" w:type="dxa"/>
            <w:vAlign w:val="bottom"/>
          </w:tcPr>
          <w:p>
            <w:pPr>
              <w:jc w:val="center"/>
              <w:ind w:right="195"/>
              <w:spacing w:after="0"/>
              <w:rPr>
                <w:sz w:val="20"/>
                <w:szCs w:val="20"/>
                <w:color w:val="auto"/>
              </w:rPr>
            </w:pPr>
            <w:r>
              <w:rPr>
                <w:rFonts w:ascii="Arial" w:cs="Arial" w:eastAsia="Arial" w:hAnsi="Arial"/>
                <w:sz w:val="17"/>
                <w:szCs w:val="17"/>
                <w:b w:val="1"/>
                <w:bCs w:val="1"/>
                <w:color w:val="auto"/>
                <w:w w:val="90"/>
              </w:rPr>
              <w:t>Income</w:t>
            </w:r>
          </w:p>
        </w:tc>
        <w:tc>
          <w:tcPr>
            <w:tcW w:w="200" w:type="dxa"/>
            <w:vAlign w:val="bottom"/>
          </w:tcPr>
          <w:p>
            <w:pPr>
              <w:spacing w:after="0"/>
              <w:rPr>
                <w:sz w:val="19"/>
                <w:szCs w:val="19"/>
                <w:color w:val="auto"/>
              </w:rPr>
            </w:pPr>
          </w:p>
        </w:tc>
        <w:tc>
          <w:tcPr>
            <w:tcW w:w="1020" w:type="dxa"/>
            <w:vAlign w:val="bottom"/>
          </w:tcPr>
          <w:p>
            <w:pPr>
              <w:jc w:val="right"/>
              <w:ind w:right="255"/>
              <w:spacing w:after="0"/>
              <w:rPr>
                <w:sz w:val="20"/>
                <w:szCs w:val="20"/>
                <w:color w:val="auto"/>
              </w:rPr>
            </w:pPr>
            <w:r>
              <w:rPr>
                <w:rFonts w:ascii="Arial" w:cs="Arial" w:eastAsia="Arial" w:hAnsi="Arial"/>
                <w:sz w:val="17"/>
                <w:szCs w:val="17"/>
                <w:b w:val="1"/>
                <w:bCs w:val="1"/>
                <w:color w:val="auto"/>
                <w:w w:val="93"/>
              </w:rPr>
              <w:t>interests</w:t>
            </w:r>
          </w:p>
        </w:tc>
        <w:tc>
          <w:tcPr>
            <w:tcW w:w="22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Equity</w:t>
            </w:r>
          </w:p>
        </w:tc>
      </w:tr>
      <w:tr>
        <w:trPr>
          <w:trHeight w:val="205"/>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8"/>
              </w:rPr>
              <w:t>Balance at December 31, 2020</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16,896,693</w:t>
            </w: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97"/>
              </w:rPr>
              <w:t>1,802,606</w:t>
            </w:r>
          </w:p>
        </w:tc>
        <w:tc>
          <w:tcPr>
            <w:tcW w:w="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102,004</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34,287</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4,857</w:t>
            </w:r>
          </w:p>
        </w:tc>
        <w:tc>
          <w:tcPr>
            <w:tcW w:w="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67,020</w:t>
            </w:r>
          </w:p>
        </w:tc>
        <w:tc>
          <w:tcPr>
            <w:tcW w:w="2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208,170</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Net income</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12,037</w:t>
            </w:r>
          </w:p>
        </w:tc>
        <w:tc>
          <w:tcPr>
            <w:tcW w:w="24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1,119</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13,156</w:t>
            </w:r>
          </w:p>
        </w:tc>
        <w:tc>
          <w:tcPr>
            <w:tcW w:w="40" w:type="dxa"/>
            <w:vAlign w:val="bottom"/>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21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Foreign currency translation</w:t>
            </w: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1,074</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w:t>
            </w:r>
          </w:p>
        </w:tc>
        <w:tc>
          <w:tcPr>
            <w:tcW w:w="4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7"/>
                <w:szCs w:val="17"/>
                <w:color w:val="auto"/>
              </w:rPr>
              <w:t>434,034</w:t>
            </w:r>
          </w:p>
        </w:tc>
        <w:tc>
          <w:tcPr>
            <w:tcW w:w="4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2,197</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2,197</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2,545</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2,545</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Exercise of warrants</w:t>
            </w:r>
          </w:p>
        </w:tc>
        <w:tc>
          <w:tcPr>
            <w:tcW w:w="940" w:type="dxa"/>
            <w:vAlign w:val="bottom"/>
          </w:tcPr>
          <w:p>
            <w:pPr>
              <w:jc w:val="right"/>
              <w:spacing w:after="0"/>
              <w:rPr>
                <w:sz w:val="20"/>
                <w:szCs w:val="20"/>
                <w:color w:val="auto"/>
              </w:rPr>
            </w:pPr>
            <w:r>
              <w:rPr>
                <w:rFonts w:ascii="Arial" w:cs="Arial" w:eastAsia="Arial" w:hAnsi="Arial"/>
                <w:sz w:val="17"/>
                <w:szCs w:val="17"/>
                <w:color w:val="auto"/>
              </w:rPr>
              <w:t>242,681</w:t>
            </w:r>
          </w:p>
        </w:tc>
        <w:tc>
          <w:tcPr>
            <w:tcW w:w="4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1,820</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1,820</w:t>
            </w:r>
          </w:p>
        </w:tc>
        <w:tc>
          <w:tcPr>
            <w:tcW w:w="40" w:type="dxa"/>
            <w:vAlign w:val="bottom"/>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21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89"/>
              </w:rPr>
              <w:t>Conversion of Class B common</w:t>
            </w: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 to Class A common</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2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stock</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95,001</w:t>
            </w:r>
          </w:p>
        </w:tc>
        <w:tc>
          <w:tcPr>
            <w:tcW w:w="4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(95,001)</w:t>
            </w:r>
          </w:p>
        </w:tc>
        <w:tc>
          <w:tcPr>
            <w:tcW w:w="4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Balance at June 30, 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17,668,409</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97"/>
              </w:rPr>
              <w:t>1,707,605</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108,566</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46,324</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5,931</w:t>
            </w:r>
          </w:p>
        </w:tc>
        <w:tc>
          <w:tcPr>
            <w:tcW w:w="2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68,733</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229,556</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0" w:type="dxa"/>
            <w:vAlign w:val="bottom"/>
            <w:gridSpan w:val="2"/>
          </w:tcPr>
          <w:p>
            <w:pPr>
              <w:jc w:val="center"/>
              <w:ind w:left="155"/>
              <w:spacing w:after="0"/>
              <w:rPr>
                <w:sz w:val="20"/>
                <w:szCs w:val="20"/>
                <w:color w:val="auto"/>
              </w:rPr>
            </w:pPr>
            <w:r>
              <w:rPr>
                <w:rFonts w:ascii="Arial" w:cs="Arial" w:eastAsia="Arial" w:hAnsi="Arial"/>
                <w:sz w:val="17"/>
                <w:szCs w:val="17"/>
                <w:b w:val="1"/>
                <w:bCs w:val="1"/>
                <w:color w:val="auto"/>
                <w:w w:val="92"/>
              </w:rPr>
              <w:t>Common</w:t>
            </w:r>
          </w:p>
        </w:tc>
        <w:tc>
          <w:tcPr>
            <w:tcW w:w="260" w:type="dxa"/>
            <w:vAlign w:val="bottom"/>
          </w:tcPr>
          <w:p>
            <w:pPr>
              <w:spacing w:after="0"/>
              <w:rPr>
                <w:sz w:val="24"/>
                <w:szCs w:val="24"/>
                <w:color w:val="auto"/>
              </w:rPr>
            </w:pPr>
          </w:p>
        </w:tc>
        <w:tc>
          <w:tcPr>
            <w:tcW w:w="1340" w:type="dxa"/>
            <w:vAlign w:val="bottom"/>
            <w:gridSpan w:val="2"/>
          </w:tcPr>
          <w:p>
            <w:pPr>
              <w:jc w:val="center"/>
              <w:ind w:left="115"/>
              <w:spacing w:after="0"/>
              <w:rPr>
                <w:sz w:val="20"/>
                <w:szCs w:val="20"/>
                <w:color w:val="auto"/>
              </w:rPr>
            </w:pPr>
            <w:r>
              <w:rPr>
                <w:rFonts w:ascii="Arial" w:cs="Arial" w:eastAsia="Arial" w:hAnsi="Arial"/>
                <w:sz w:val="17"/>
                <w:szCs w:val="17"/>
                <w:b w:val="1"/>
                <w:bCs w:val="1"/>
                <w:color w:val="auto"/>
                <w:w w:val="89"/>
              </w:rPr>
              <w:t>Common</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0" w:type="dxa"/>
            <w:vAlign w:val="bottom"/>
            <w:tcBorders>
              <w:bottom w:val="single" w:sz="8" w:color="auto"/>
            </w:tcBorders>
            <w:gridSpan w:val="2"/>
          </w:tcPr>
          <w:p>
            <w:pPr>
              <w:jc w:val="center"/>
              <w:ind w:left="155"/>
              <w:spacing w:after="0"/>
              <w:rPr>
                <w:sz w:val="20"/>
                <w:szCs w:val="20"/>
                <w:color w:val="auto"/>
              </w:rPr>
            </w:pPr>
            <w:r>
              <w:rPr>
                <w:rFonts w:ascii="Arial" w:cs="Arial" w:eastAsia="Arial" w:hAnsi="Arial"/>
                <w:sz w:val="17"/>
                <w:szCs w:val="17"/>
                <w:b w:val="1"/>
                <w:bCs w:val="1"/>
                <w:color w:val="auto"/>
                <w:w w:val="88"/>
              </w:rPr>
              <w:t>Stock Class A</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left="115"/>
              <w:spacing w:after="0"/>
              <w:rPr>
                <w:sz w:val="20"/>
                <w:szCs w:val="20"/>
                <w:color w:val="auto"/>
              </w:rPr>
            </w:pPr>
            <w:r>
              <w:rPr>
                <w:rFonts w:ascii="Arial" w:cs="Arial" w:eastAsia="Arial" w:hAnsi="Arial"/>
                <w:sz w:val="17"/>
                <w:szCs w:val="17"/>
                <w:b w:val="1"/>
                <w:bCs w:val="1"/>
                <w:color w:val="auto"/>
                <w:w w:val="86"/>
              </w:rPr>
              <w:t>Stock Class B</w:t>
            </w: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2"/>
          </w:tcPr>
          <w:p>
            <w:pPr>
              <w:jc w:val="center"/>
              <w:spacing w:after="0" w:line="187" w:lineRule="exact"/>
              <w:rPr>
                <w:sz w:val="20"/>
                <w:szCs w:val="20"/>
                <w:color w:val="auto"/>
              </w:rPr>
            </w:pPr>
            <w:r>
              <w:rPr>
                <w:rFonts w:ascii="Arial" w:cs="Arial" w:eastAsia="Arial" w:hAnsi="Arial"/>
                <w:sz w:val="17"/>
                <w:szCs w:val="17"/>
                <w:b w:val="1"/>
                <w:bCs w:val="1"/>
                <w:color w:val="auto"/>
                <w:w w:val="89"/>
              </w:rPr>
              <w:t>Accumulated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ind w:right="155"/>
              <w:spacing w:after="0"/>
              <w:rPr>
                <w:sz w:val="20"/>
                <w:szCs w:val="20"/>
                <w:color w:val="auto"/>
              </w:rPr>
            </w:pPr>
            <w:r>
              <w:rPr>
                <w:rFonts w:ascii="Arial" w:cs="Arial" w:eastAsia="Arial" w:hAnsi="Arial"/>
                <w:sz w:val="17"/>
                <w:szCs w:val="17"/>
                <w:b w:val="1"/>
                <w:bCs w:val="1"/>
                <w:color w:val="auto"/>
                <w:w w:val="92"/>
              </w:rPr>
              <w:t>Other</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Total</w:t>
            </w:r>
          </w:p>
        </w:tc>
      </w:tr>
      <w:tr>
        <w:trPr>
          <w:trHeight w:val="204"/>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7"/>
                <w:szCs w:val="17"/>
                <w:b w:val="1"/>
                <w:bCs w:val="1"/>
                <w:color w:val="auto"/>
                <w:w w:val="95"/>
              </w:rPr>
              <w:t>Additional Paid-</w:t>
            </w:r>
          </w:p>
        </w:tc>
        <w:tc>
          <w:tcPr>
            <w:tcW w:w="1040" w:type="dxa"/>
            <w:vAlign w:val="bottom"/>
            <w:gridSpan w:val="2"/>
          </w:tcPr>
          <w:p>
            <w:pPr>
              <w:ind w:left="60"/>
              <w:spacing w:after="0"/>
              <w:rPr>
                <w:sz w:val="20"/>
                <w:szCs w:val="20"/>
                <w:color w:val="auto"/>
              </w:rPr>
            </w:pPr>
            <w:r>
              <w:rPr>
                <w:rFonts w:ascii="Arial" w:cs="Arial" w:eastAsia="Arial" w:hAnsi="Arial"/>
                <w:sz w:val="17"/>
                <w:szCs w:val="17"/>
                <w:b w:val="1"/>
                <w:bCs w:val="1"/>
                <w:color w:val="auto"/>
                <w:w w:val="89"/>
              </w:rPr>
              <w:t>Accumulated</w:t>
            </w:r>
          </w:p>
        </w:tc>
        <w:tc>
          <w:tcPr>
            <w:tcW w:w="1260" w:type="dxa"/>
            <w:vAlign w:val="bottom"/>
            <w:gridSpan w:val="2"/>
          </w:tcPr>
          <w:p>
            <w:pPr>
              <w:ind w:left="60"/>
              <w:spacing w:after="0"/>
              <w:rPr>
                <w:sz w:val="20"/>
                <w:szCs w:val="20"/>
                <w:color w:val="auto"/>
              </w:rPr>
            </w:pPr>
            <w:r>
              <w:rPr>
                <w:rFonts w:ascii="Arial" w:cs="Arial" w:eastAsia="Arial" w:hAnsi="Arial"/>
                <w:sz w:val="17"/>
                <w:szCs w:val="17"/>
                <w:b w:val="1"/>
                <w:bCs w:val="1"/>
                <w:color w:val="auto"/>
                <w:w w:val="92"/>
              </w:rPr>
              <w:t>Comprehensive</w:t>
            </w:r>
          </w:p>
        </w:tc>
        <w:tc>
          <w:tcPr>
            <w:tcW w:w="1220" w:type="dxa"/>
            <w:vAlign w:val="bottom"/>
            <w:gridSpan w:val="2"/>
          </w:tcPr>
          <w:p>
            <w:pPr>
              <w:ind w:left="40"/>
              <w:spacing w:after="0"/>
              <w:rPr>
                <w:sz w:val="20"/>
                <w:szCs w:val="20"/>
                <w:color w:val="auto"/>
              </w:rPr>
            </w:pPr>
            <w:r>
              <w:rPr>
                <w:rFonts w:ascii="Arial" w:cs="Arial" w:eastAsia="Arial" w:hAnsi="Arial"/>
                <w:sz w:val="17"/>
                <w:szCs w:val="17"/>
                <w:b w:val="1"/>
                <w:bCs w:val="1"/>
                <w:color w:val="auto"/>
                <w:w w:val="91"/>
              </w:rPr>
              <w:t>Non-controlling</w:t>
            </w:r>
          </w:p>
        </w:tc>
        <w:tc>
          <w:tcPr>
            <w:tcW w:w="1120" w:type="dxa"/>
            <w:vAlign w:val="bottom"/>
            <w:gridSpan w:val="3"/>
          </w:tcPr>
          <w:p>
            <w:pPr>
              <w:ind w:left="80"/>
              <w:spacing w:after="0"/>
              <w:rPr>
                <w:sz w:val="20"/>
                <w:szCs w:val="20"/>
                <w:color w:val="auto"/>
              </w:rPr>
            </w:pPr>
            <w:r>
              <w:rPr>
                <w:rFonts w:ascii="Arial" w:cs="Arial" w:eastAsia="Arial" w:hAnsi="Arial"/>
                <w:sz w:val="17"/>
                <w:szCs w:val="17"/>
                <w:b w:val="1"/>
                <w:bCs w:val="1"/>
                <w:color w:val="auto"/>
                <w:w w:val="90"/>
              </w:rPr>
              <w:t>Stockholders’</w:t>
            </w:r>
          </w:p>
        </w:tc>
      </w:tr>
      <w:tr>
        <w:trPr>
          <w:trHeight w:val="219"/>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b w:val="1"/>
                <w:bCs w:val="1"/>
                <w:color w:val="auto"/>
              </w:rPr>
              <w:t>Shares</w:t>
            </w:r>
          </w:p>
        </w:tc>
        <w:tc>
          <w:tcPr>
            <w:tcW w:w="720" w:type="dxa"/>
            <w:vAlign w:val="bottom"/>
            <w:gridSpan w:val="2"/>
          </w:tcPr>
          <w:p>
            <w:pPr>
              <w:ind w:left="40"/>
              <w:spacing w:after="0"/>
              <w:rPr>
                <w:sz w:val="20"/>
                <w:szCs w:val="20"/>
                <w:color w:val="auto"/>
              </w:rPr>
            </w:pPr>
            <w:r>
              <w:rPr>
                <w:rFonts w:ascii="Arial" w:cs="Arial" w:eastAsia="Arial" w:hAnsi="Arial"/>
                <w:sz w:val="17"/>
                <w:szCs w:val="17"/>
                <w:b w:val="1"/>
                <w:bCs w:val="1"/>
                <w:color w:val="auto"/>
              </w:rPr>
              <w:t>Amount</w:t>
            </w:r>
          </w:p>
        </w:tc>
        <w:tc>
          <w:tcPr>
            <w:tcW w:w="860" w:type="dxa"/>
            <w:vAlign w:val="bottom"/>
          </w:tcPr>
          <w:p>
            <w:pPr>
              <w:jc w:val="right"/>
              <w:ind w:right="135"/>
              <w:spacing w:after="0"/>
              <w:rPr>
                <w:sz w:val="20"/>
                <w:szCs w:val="20"/>
                <w:color w:val="auto"/>
              </w:rPr>
            </w:pPr>
            <w:r>
              <w:rPr>
                <w:rFonts w:ascii="Arial" w:cs="Arial" w:eastAsia="Arial" w:hAnsi="Arial"/>
                <w:sz w:val="17"/>
                <w:szCs w:val="17"/>
                <w:b w:val="1"/>
                <w:bCs w:val="1"/>
                <w:color w:val="auto"/>
              </w:rPr>
              <w:t>Shares</w:t>
            </w:r>
          </w:p>
        </w:tc>
        <w:tc>
          <w:tcPr>
            <w:tcW w:w="680" w:type="dxa"/>
            <w:vAlign w:val="bottom"/>
            <w:gridSpan w:val="2"/>
          </w:tcPr>
          <w:p>
            <w:pPr>
              <w:ind w:left="40"/>
              <w:spacing w:after="0"/>
              <w:rPr>
                <w:sz w:val="20"/>
                <w:szCs w:val="20"/>
                <w:color w:val="auto"/>
              </w:rPr>
            </w:pPr>
            <w:r>
              <w:rPr>
                <w:rFonts w:ascii="Arial" w:cs="Arial" w:eastAsia="Arial" w:hAnsi="Arial"/>
                <w:sz w:val="17"/>
                <w:szCs w:val="17"/>
                <w:b w:val="1"/>
                <w:bCs w:val="1"/>
                <w:color w:val="auto"/>
                <w:w w:val="96"/>
              </w:rPr>
              <w:t>Amount</w:t>
            </w:r>
          </w:p>
        </w:tc>
        <w:tc>
          <w:tcPr>
            <w:tcW w:w="220" w:type="dxa"/>
            <w:vAlign w:val="bottom"/>
          </w:tcPr>
          <w:p>
            <w:pPr>
              <w:spacing w:after="0"/>
              <w:rPr>
                <w:sz w:val="19"/>
                <w:szCs w:val="19"/>
                <w:color w:val="auto"/>
              </w:rPr>
            </w:pPr>
          </w:p>
        </w:tc>
        <w:tc>
          <w:tcPr>
            <w:tcW w:w="1100" w:type="dxa"/>
            <w:vAlign w:val="bottom"/>
          </w:tcPr>
          <w:p>
            <w:pPr>
              <w:jc w:val="right"/>
              <w:ind w:right="215"/>
              <w:spacing w:after="0"/>
              <w:rPr>
                <w:sz w:val="20"/>
                <w:szCs w:val="20"/>
                <w:color w:val="auto"/>
              </w:rPr>
            </w:pPr>
            <w:r>
              <w:rPr>
                <w:rFonts w:ascii="Arial" w:cs="Arial" w:eastAsia="Arial" w:hAnsi="Arial"/>
                <w:sz w:val="17"/>
                <w:szCs w:val="17"/>
                <w:b w:val="1"/>
                <w:bCs w:val="1"/>
                <w:color w:val="auto"/>
              </w:rPr>
              <w:t>in Capital</w:t>
            </w:r>
          </w:p>
        </w:tc>
        <w:tc>
          <w:tcPr>
            <w:tcW w:w="180" w:type="dxa"/>
            <w:vAlign w:val="bottom"/>
          </w:tcPr>
          <w:p>
            <w:pPr>
              <w:spacing w:after="0"/>
              <w:rPr>
                <w:sz w:val="19"/>
                <w:szCs w:val="19"/>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b w:val="1"/>
                <w:bCs w:val="1"/>
                <w:color w:val="auto"/>
                <w:w w:val="97"/>
              </w:rPr>
              <w:t>Surplus</w:t>
            </w:r>
          </w:p>
        </w:tc>
        <w:tc>
          <w:tcPr>
            <w:tcW w:w="240" w:type="dxa"/>
            <w:vAlign w:val="bottom"/>
          </w:tcPr>
          <w:p>
            <w:pPr>
              <w:spacing w:after="0"/>
              <w:rPr>
                <w:sz w:val="19"/>
                <w:szCs w:val="19"/>
                <w:color w:val="auto"/>
              </w:rPr>
            </w:pPr>
          </w:p>
        </w:tc>
        <w:tc>
          <w:tcPr>
            <w:tcW w:w="1020" w:type="dxa"/>
            <w:vAlign w:val="bottom"/>
          </w:tcPr>
          <w:p>
            <w:pPr>
              <w:jc w:val="center"/>
              <w:ind w:right="155"/>
              <w:spacing w:after="0"/>
              <w:rPr>
                <w:sz w:val="20"/>
                <w:szCs w:val="20"/>
                <w:color w:val="auto"/>
              </w:rPr>
            </w:pPr>
            <w:r>
              <w:rPr>
                <w:rFonts w:ascii="Arial" w:cs="Arial" w:eastAsia="Arial" w:hAnsi="Arial"/>
                <w:sz w:val="17"/>
                <w:szCs w:val="17"/>
                <w:b w:val="1"/>
                <w:bCs w:val="1"/>
                <w:color w:val="auto"/>
                <w:w w:val="85"/>
              </w:rPr>
              <w:t>Loss</w:t>
            </w:r>
          </w:p>
        </w:tc>
        <w:tc>
          <w:tcPr>
            <w:tcW w:w="200" w:type="dxa"/>
            <w:vAlign w:val="bottom"/>
          </w:tcPr>
          <w:p>
            <w:pPr>
              <w:spacing w:after="0"/>
              <w:rPr>
                <w:sz w:val="19"/>
                <w:szCs w:val="19"/>
                <w:color w:val="auto"/>
              </w:rPr>
            </w:pPr>
          </w:p>
        </w:tc>
        <w:tc>
          <w:tcPr>
            <w:tcW w:w="1020" w:type="dxa"/>
            <w:vAlign w:val="bottom"/>
          </w:tcPr>
          <w:p>
            <w:pPr>
              <w:jc w:val="right"/>
              <w:ind w:right="215"/>
              <w:spacing w:after="0"/>
              <w:rPr>
                <w:sz w:val="20"/>
                <w:szCs w:val="20"/>
                <w:color w:val="auto"/>
              </w:rPr>
            </w:pPr>
            <w:r>
              <w:rPr>
                <w:rFonts w:ascii="Arial" w:cs="Arial" w:eastAsia="Arial" w:hAnsi="Arial"/>
                <w:sz w:val="17"/>
                <w:szCs w:val="17"/>
                <w:b w:val="1"/>
                <w:bCs w:val="1"/>
                <w:color w:val="auto"/>
                <w:w w:val="98"/>
              </w:rPr>
              <w:t>interests</w:t>
            </w:r>
          </w:p>
        </w:tc>
        <w:tc>
          <w:tcPr>
            <w:tcW w:w="2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Equity</w:t>
            </w:r>
          </w:p>
        </w:tc>
      </w:tr>
      <w:tr>
        <w:trPr>
          <w:trHeight w:val="205"/>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8"/>
              </w:rPr>
              <w:t>Balance at December 31, 2019</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16,182,151</w:t>
            </w:r>
          </w:p>
        </w:tc>
        <w:tc>
          <w:tcPr>
            <w:tcW w:w="4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1,862,608</w:t>
            </w:r>
          </w:p>
        </w:tc>
        <w:tc>
          <w:tcPr>
            <w:tcW w:w="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83,487</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15,507</w:t>
            </w:r>
          </w:p>
        </w:tc>
        <w:tc>
          <w:tcPr>
            <w:tcW w:w="24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(1,675)</w:t>
            </w:r>
          </w:p>
        </w:tc>
        <w:tc>
          <w:tcPr>
            <w:tcW w:w="2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97,321</w:t>
            </w:r>
          </w:p>
        </w:tc>
        <w:tc>
          <w:tcPr>
            <w:tcW w:w="4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Net income</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1,624</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192</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1,816</w:t>
            </w:r>
          </w:p>
        </w:tc>
        <w:tc>
          <w:tcPr>
            <w:tcW w:w="40" w:type="dxa"/>
            <w:vAlign w:val="bottom"/>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21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Foreign currency translation</w:t>
            </w: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(812)</w:t>
            </w:r>
          </w:p>
        </w:tc>
      </w:tr>
      <w:tr>
        <w:trPr>
          <w:trHeight w:val="204"/>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7"/>
                <w:szCs w:val="17"/>
                <w:color w:val="auto"/>
              </w:rPr>
              <w:t>185,903</w:t>
            </w:r>
          </w:p>
        </w:tc>
        <w:tc>
          <w:tcPr>
            <w:tcW w:w="4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873</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873</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w:t>
            </w:r>
          </w:p>
        </w:tc>
        <w:tc>
          <w:tcPr>
            <w:tcW w:w="40" w:type="dxa"/>
            <w:vAlign w:val="bottom"/>
            <w:shd w:val="clear" w:color="auto" w:fill="CCEEFF"/>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2160" w:type="dxa"/>
            <w:vAlign w:val="bottom"/>
          </w:tcPr>
          <w:p>
            <w:pPr>
              <w:spacing w:after="0" w:line="191" w:lineRule="exact"/>
              <w:rPr>
                <w:sz w:val="20"/>
                <w:szCs w:val="20"/>
                <w:color w:val="auto"/>
              </w:rPr>
            </w:pPr>
            <w:r>
              <w:rPr>
                <w:rFonts w:ascii="Arial" w:cs="Arial" w:eastAsia="Arial" w:hAnsi="Arial"/>
                <w:sz w:val="17"/>
                <w:szCs w:val="17"/>
                <w:color w:val="auto"/>
                <w:w w:val="91"/>
              </w:rPr>
              <w:t>Conversion of class B common</w:t>
            </w: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2160" w:type="dxa"/>
            <w:vAlign w:val="bottom"/>
          </w:tcPr>
          <w:p>
            <w:pPr>
              <w:ind w:left="140"/>
              <w:spacing w:after="0"/>
              <w:rPr>
                <w:sz w:val="20"/>
                <w:szCs w:val="20"/>
                <w:color w:val="auto"/>
              </w:rPr>
            </w:pPr>
            <w:r>
              <w:rPr>
                <w:rFonts w:ascii="Arial" w:cs="Arial" w:eastAsia="Arial" w:hAnsi="Arial"/>
                <w:sz w:val="17"/>
                <w:szCs w:val="17"/>
                <w:color w:val="auto"/>
                <w:w w:val="98"/>
              </w:rPr>
              <w:t>shares to Class A common</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2160" w:type="dxa"/>
            <w:vAlign w:val="bottom"/>
          </w:tcPr>
          <w:p>
            <w:pPr>
              <w:ind w:left="140"/>
              <w:spacing w:after="0"/>
              <w:rPr>
                <w:sz w:val="20"/>
                <w:szCs w:val="20"/>
                <w:color w:val="auto"/>
              </w:rPr>
            </w:pPr>
            <w:r>
              <w:rPr>
                <w:rFonts w:ascii="Arial" w:cs="Arial" w:eastAsia="Arial" w:hAnsi="Arial"/>
                <w:sz w:val="17"/>
                <w:szCs w:val="17"/>
                <w:color w:val="auto"/>
              </w:rPr>
              <w:t>shares</w:t>
            </w:r>
          </w:p>
        </w:tc>
        <w:tc>
          <w:tcPr>
            <w:tcW w:w="940" w:type="dxa"/>
            <w:vAlign w:val="bottom"/>
          </w:tcPr>
          <w:p>
            <w:pPr>
              <w:jc w:val="right"/>
              <w:spacing w:after="0"/>
              <w:rPr>
                <w:sz w:val="20"/>
                <w:szCs w:val="20"/>
                <w:color w:val="auto"/>
              </w:rPr>
            </w:pPr>
            <w:r>
              <w:rPr>
                <w:rFonts w:ascii="Arial" w:cs="Arial" w:eastAsia="Arial" w:hAnsi="Arial"/>
                <w:sz w:val="17"/>
                <w:szCs w:val="17"/>
                <w:color w:val="auto"/>
              </w:rPr>
              <w:t>60,002</w:t>
            </w:r>
          </w:p>
        </w:tc>
        <w:tc>
          <w:tcPr>
            <w:tcW w:w="4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(60,002)</w:t>
            </w:r>
          </w:p>
        </w:tc>
        <w:tc>
          <w:tcPr>
            <w:tcW w:w="4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Share repurchase</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(242,681)</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(9,715)</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(9,715)</w:t>
            </w:r>
          </w:p>
        </w:tc>
      </w:tr>
      <w:tr>
        <w:trPr>
          <w:trHeight w:val="204"/>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Exercise of stock warrants</w:t>
            </w:r>
          </w:p>
        </w:tc>
        <w:tc>
          <w:tcPr>
            <w:tcW w:w="940" w:type="dxa"/>
            <w:vAlign w:val="bottom"/>
          </w:tcPr>
          <w:p>
            <w:pPr>
              <w:jc w:val="right"/>
              <w:spacing w:after="0"/>
              <w:rPr>
                <w:sz w:val="20"/>
                <w:szCs w:val="20"/>
                <w:color w:val="auto"/>
              </w:rPr>
            </w:pPr>
            <w:r>
              <w:rPr>
                <w:rFonts w:ascii="Arial" w:cs="Arial" w:eastAsia="Arial" w:hAnsi="Arial"/>
                <w:sz w:val="17"/>
                <w:szCs w:val="17"/>
                <w:color w:val="auto"/>
              </w:rPr>
              <w:t>64,717</w:t>
            </w:r>
          </w:p>
        </w:tc>
        <w:tc>
          <w:tcPr>
            <w:tcW w:w="4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21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2"/>
              </w:rPr>
              <w:t>Reclassification of redeemable</w:t>
            </w: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2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non-controlling interest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59,958</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59,958</w:t>
            </w:r>
          </w:p>
        </w:tc>
        <w:tc>
          <w:tcPr>
            <w:tcW w:w="40" w:type="dxa"/>
            <w:vAlign w:val="bottom"/>
            <w:tcBorders>
              <w:bottom w:val="single" w:sz="8" w:color="auto"/>
            </w:tcBorders>
            <w:shd w:val="clear" w:color="auto" w:fill="CCEEFF"/>
          </w:tcPr>
          <w:p>
            <w:pPr>
              <w:spacing w:after="0"/>
              <w:rPr>
                <w:sz w:val="19"/>
                <w:szCs w:val="19"/>
                <w:color w:val="auto"/>
              </w:rPr>
            </w:pPr>
          </w:p>
        </w:tc>
      </w:tr>
      <w:tr>
        <w:trPr>
          <w:trHeight w:val="204"/>
        </w:trPr>
        <w:tc>
          <w:tcPr>
            <w:tcW w:w="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Balance at June 30, 2020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16,250,092</w:t>
            </w: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1,802,606</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76,189</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17,131</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(3,415)</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61,078</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150,985</w:t>
            </w:r>
          </w:p>
        </w:tc>
        <w:tc>
          <w:tcPr>
            <w:tcW w:w="4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Months Ended June 30, 2021 and 2020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0" w:type="dxa"/>
            <w:vAlign w:val="bottom"/>
            <w:gridSpan w:val="2"/>
          </w:tcPr>
          <w:p>
            <w:pPr>
              <w:jc w:val="center"/>
              <w:ind w:left="135"/>
              <w:spacing w:after="0"/>
              <w:rPr>
                <w:sz w:val="20"/>
                <w:szCs w:val="20"/>
                <w:color w:val="auto"/>
              </w:rPr>
            </w:pPr>
            <w:r>
              <w:rPr>
                <w:rFonts w:ascii="Arial" w:cs="Arial" w:eastAsia="Arial" w:hAnsi="Arial"/>
                <w:sz w:val="17"/>
                <w:szCs w:val="17"/>
                <w:b w:val="1"/>
                <w:bCs w:val="1"/>
                <w:color w:val="auto"/>
                <w:w w:val="89"/>
              </w:rPr>
              <w:t>Common</w:t>
            </w:r>
          </w:p>
        </w:tc>
        <w:tc>
          <w:tcPr>
            <w:tcW w:w="280" w:type="dxa"/>
            <w:vAlign w:val="bottom"/>
          </w:tcPr>
          <w:p>
            <w:pPr>
              <w:spacing w:after="0"/>
              <w:rPr>
                <w:sz w:val="17"/>
                <w:szCs w:val="17"/>
                <w:color w:val="auto"/>
              </w:rPr>
            </w:pPr>
          </w:p>
        </w:tc>
        <w:tc>
          <w:tcPr>
            <w:tcW w:w="1400" w:type="dxa"/>
            <w:vAlign w:val="bottom"/>
            <w:gridSpan w:val="2"/>
          </w:tcPr>
          <w:p>
            <w:pPr>
              <w:jc w:val="right"/>
              <w:ind w:right="175"/>
              <w:spacing w:after="0"/>
              <w:rPr>
                <w:sz w:val="20"/>
                <w:szCs w:val="20"/>
                <w:color w:val="auto"/>
              </w:rPr>
            </w:pPr>
            <w:r>
              <w:rPr>
                <w:rFonts w:ascii="Arial" w:cs="Arial" w:eastAsia="Arial" w:hAnsi="Arial"/>
                <w:sz w:val="17"/>
                <w:szCs w:val="17"/>
                <w:b w:val="1"/>
                <w:bCs w:val="1"/>
                <w:color w:val="auto"/>
              </w:rPr>
              <w:t>Common</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0" w:type="dxa"/>
            <w:vAlign w:val="bottom"/>
            <w:tcBorders>
              <w:bottom w:val="single" w:sz="8" w:color="auto"/>
            </w:tcBorders>
            <w:gridSpan w:val="2"/>
          </w:tcPr>
          <w:p>
            <w:pPr>
              <w:jc w:val="center"/>
              <w:ind w:left="155"/>
              <w:spacing w:after="0"/>
              <w:rPr>
                <w:sz w:val="20"/>
                <w:szCs w:val="20"/>
                <w:color w:val="auto"/>
              </w:rPr>
            </w:pPr>
            <w:r>
              <w:rPr>
                <w:rFonts w:ascii="Arial" w:cs="Arial" w:eastAsia="Arial" w:hAnsi="Arial"/>
                <w:sz w:val="17"/>
                <w:szCs w:val="17"/>
                <w:b w:val="1"/>
                <w:bCs w:val="1"/>
                <w:color w:val="auto"/>
                <w:w w:val="88"/>
              </w:rPr>
              <w:t>Stock Class A</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7"/>
                <w:szCs w:val="17"/>
                <w:b w:val="1"/>
                <w:bCs w:val="1"/>
                <w:color w:val="auto"/>
              </w:rPr>
              <w:t>Stock Class B</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2"/>
          </w:tcPr>
          <w:p>
            <w:pPr>
              <w:jc w:val="center"/>
              <w:spacing w:after="0" w:line="187" w:lineRule="exact"/>
              <w:rPr>
                <w:sz w:val="20"/>
                <w:szCs w:val="20"/>
                <w:color w:val="auto"/>
              </w:rPr>
            </w:pPr>
            <w:r>
              <w:rPr>
                <w:rFonts w:ascii="Arial" w:cs="Arial" w:eastAsia="Arial" w:hAnsi="Arial"/>
                <w:sz w:val="17"/>
                <w:szCs w:val="17"/>
                <w:b w:val="1"/>
                <w:bCs w:val="1"/>
                <w:color w:val="auto"/>
                <w:w w:val="89"/>
              </w:rPr>
              <w:t>Accumulated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ind w:right="175"/>
              <w:spacing w:after="0"/>
              <w:rPr>
                <w:sz w:val="20"/>
                <w:szCs w:val="20"/>
                <w:color w:val="auto"/>
              </w:rPr>
            </w:pPr>
            <w:r>
              <w:rPr>
                <w:rFonts w:ascii="Arial" w:cs="Arial" w:eastAsia="Arial" w:hAnsi="Arial"/>
                <w:sz w:val="17"/>
                <w:szCs w:val="17"/>
                <w:b w:val="1"/>
                <w:bCs w:val="1"/>
                <w:color w:val="auto"/>
                <w:w w:val="92"/>
              </w:rPr>
              <w:t>Other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center"/>
              <w:ind w:right="135"/>
              <w:spacing w:after="0"/>
              <w:rPr>
                <w:sz w:val="20"/>
                <w:szCs w:val="20"/>
                <w:color w:val="auto"/>
              </w:rPr>
            </w:pPr>
            <w:r>
              <w:rPr>
                <w:rFonts w:ascii="Arial" w:cs="Arial" w:eastAsia="Arial" w:hAnsi="Arial"/>
                <w:sz w:val="17"/>
                <w:szCs w:val="17"/>
                <w:b w:val="1"/>
                <w:bCs w:val="1"/>
                <w:color w:val="auto"/>
                <w:w w:val="93"/>
              </w:rPr>
              <w:t>Total</w:t>
            </w:r>
          </w:p>
        </w:tc>
      </w:tr>
      <w:tr>
        <w:trPr>
          <w:trHeight w:val="204"/>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35"/>
              <w:spacing w:after="0"/>
              <w:rPr>
                <w:sz w:val="20"/>
                <w:szCs w:val="20"/>
                <w:color w:val="auto"/>
              </w:rPr>
            </w:pPr>
            <w:r>
              <w:rPr>
                <w:rFonts w:ascii="Arial" w:cs="Arial" w:eastAsia="Arial" w:hAnsi="Arial"/>
                <w:sz w:val="17"/>
                <w:szCs w:val="17"/>
                <w:b w:val="1"/>
                <w:bCs w:val="1"/>
                <w:color w:val="auto"/>
                <w:w w:val="98"/>
              </w:rPr>
              <w:t>Additional</w:t>
            </w: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w w:val="93"/>
              </w:rPr>
              <w:t>Accumulated</w:t>
            </w:r>
          </w:p>
        </w:tc>
        <w:tc>
          <w:tcPr>
            <w:tcW w:w="12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Comprehensive</w:t>
            </w:r>
          </w:p>
        </w:tc>
        <w:tc>
          <w:tcPr>
            <w:tcW w:w="1260" w:type="dxa"/>
            <w:vAlign w:val="bottom"/>
            <w:gridSpan w:val="2"/>
          </w:tcPr>
          <w:p>
            <w:pPr>
              <w:ind w:left="60"/>
              <w:spacing w:after="0"/>
              <w:rPr>
                <w:sz w:val="20"/>
                <w:szCs w:val="20"/>
                <w:color w:val="auto"/>
              </w:rPr>
            </w:pPr>
            <w:r>
              <w:rPr>
                <w:rFonts w:ascii="Arial" w:cs="Arial" w:eastAsia="Arial" w:hAnsi="Arial"/>
                <w:sz w:val="17"/>
                <w:szCs w:val="17"/>
                <w:b w:val="1"/>
                <w:bCs w:val="1"/>
                <w:color w:val="auto"/>
                <w:w w:val="93"/>
              </w:rPr>
              <w:t>Non-controlling</w:t>
            </w:r>
          </w:p>
        </w:tc>
        <w:tc>
          <w:tcPr>
            <w:tcW w:w="1120" w:type="dxa"/>
            <w:vAlign w:val="bottom"/>
            <w:gridSpan w:val="2"/>
          </w:tcPr>
          <w:p>
            <w:pPr>
              <w:ind w:left="60"/>
              <w:spacing w:after="0"/>
              <w:rPr>
                <w:sz w:val="20"/>
                <w:szCs w:val="20"/>
                <w:color w:val="auto"/>
              </w:rPr>
            </w:pPr>
            <w:r>
              <w:rPr>
                <w:rFonts w:ascii="Arial" w:cs="Arial" w:eastAsia="Arial" w:hAnsi="Arial"/>
                <w:sz w:val="17"/>
                <w:szCs w:val="17"/>
                <w:b w:val="1"/>
                <w:bCs w:val="1"/>
                <w:color w:val="auto"/>
                <w:w w:val="92"/>
              </w:rPr>
              <w:t>Stockholders’</w:t>
            </w:r>
          </w:p>
        </w:tc>
      </w:tr>
      <w:tr>
        <w:trPr>
          <w:trHeight w:val="219"/>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b w:val="1"/>
                <w:bCs w:val="1"/>
                <w:color w:val="auto"/>
              </w:rPr>
              <w:t>Shares</w:t>
            </w:r>
          </w:p>
        </w:tc>
        <w:tc>
          <w:tcPr>
            <w:tcW w:w="740" w:type="dxa"/>
            <w:vAlign w:val="bottom"/>
            <w:gridSpan w:val="2"/>
          </w:tcPr>
          <w:p>
            <w:pPr>
              <w:ind w:left="40"/>
              <w:spacing w:after="0"/>
              <w:rPr>
                <w:sz w:val="20"/>
                <w:szCs w:val="20"/>
                <w:color w:val="auto"/>
              </w:rPr>
            </w:pPr>
            <w:r>
              <w:rPr>
                <w:rFonts w:ascii="Arial" w:cs="Arial" w:eastAsia="Arial" w:hAnsi="Arial"/>
                <w:sz w:val="17"/>
                <w:szCs w:val="17"/>
                <w:b w:val="1"/>
                <w:bCs w:val="1"/>
                <w:color w:val="auto"/>
              </w:rPr>
              <w:t>Amount</w:t>
            </w:r>
          </w:p>
        </w:tc>
        <w:tc>
          <w:tcPr>
            <w:tcW w:w="860" w:type="dxa"/>
            <w:vAlign w:val="bottom"/>
          </w:tcPr>
          <w:p>
            <w:pPr>
              <w:jc w:val="right"/>
              <w:ind w:right="135"/>
              <w:spacing w:after="0"/>
              <w:rPr>
                <w:sz w:val="20"/>
                <w:szCs w:val="20"/>
                <w:color w:val="auto"/>
              </w:rPr>
            </w:pPr>
            <w:r>
              <w:rPr>
                <w:rFonts w:ascii="Arial" w:cs="Arial" w:eastAsia="Arial" w:hAnsi="Arial"/>
                <w:sz w:val="17"/>
                <w:szCs w:val="17"/>
                <w:b w:val="1"/>
                <w:bCs w:val="1"/>
                <w:color w:val="auto"/>
              </w:rPr>
              <w:t>Shares</w:t>
            </w:r>
          </w:p>
        </w:tc>
        <w:tc>
          <w:tcPr>
            <w:tcW w:w="800" w:type="dxa"/>
            <w:vAlign w:val="bottom"/>
            <w:gridSpan w:val="3"/>
          </w:tcPr>
          <w:p>
            <w:pPr>
              <w:ind w:left="100"/>
              <w:spacing w:after="0"/>
              <w:rPr>
                <w:sz w:val="20"/>
                <w:szCs w:val="20"/>
                <w:color w:val="auto"/>
              </w:rPr>
            </w:pPr>
            <w:r>
              <w:rPr>
                <w:rFonts w:ascii="Arial" w:cs="Arial" w:eastAsia="Arial" w:hAnsi="Arial"/>
                <w:sz w:val="17"/>
                <w:szCs w:val="17"/>
                <w:b w:val="1"/>
                <w:bCs w:val="1"/>
                <w:color w:val="auto"/>
              </w:rPr>
              <w:t>Amount</w:t>
            </w:r>
          </w:p>
        </w:tc>
        <w:tc>
          <w:tcPr>
            <w:tcW w:w="1220" w:type="dxa"/>
            <w:vAlign w:val="bottom"/>
            <w:gridSpan w:val="2"/>
          </w:tcPr>
          <w:p>
            <w:pPr>
              <w:ind w:left="60"/>
              <w:spacing w:after="0"/>
              <w:rPr>
                <w:sz w:val="20"/>
                <w:szCs w:val="20"/>
                <w:color w:val="auto"/>
              </w:rPr>
            </w:pPr>
            <w:r>
              <w:rPr>
                <w:rFonts w:ascii="Arial" w:cs="Arial" w:eastAsia="Arial" w:hAnsi="Arial"/>
                <w:sz w:val="17"/>
                <w:szCs w:val="17"/>
                <w:b w:val="1"/>
                <w:bCs w:val="1"/>
                <w:color w:val="auto"/>
                <w:w w:val="96"/>
              </w:rPr>
              <w:t>Paid-in Capital</w:t>
            </w:r>
          </w:p>
        </w:tc>
        <w:tc>
          <w:tcPr>
            <w:tcW w:w="200" w:type="dxa"/>
            <w:vAlign w:val="bottom"/>
          </w:tcPr>
          <w:p>
            <w:pPr>
              <w:spacing w:after="0"/>
              <w:rPr>
                <w:sz w:val="19"/>
                <w:szCs w:val="19"/>
                <w:color w:val="auto"/>
              </w:rPr>
            </w:pPr>
          </w:p>
        </w:tc>
        <w:tc>
          <w:tcPr>
            <w:tcW w:w="900" w:type="dxa"/>
            <w:vAlign w:val="bottom"/>
          </w:tcPr>
          <w:p>
            <w:pPr>
              <w:jc w:val="right"/>
              <w:ind w:right="175"/>
              <w:spacing w:after="0"/>
              <w:rPr>
                <w:sz w:val="20"/>
                <w:szCs w:val="20"/>
                <w:color w:val="auto"/>
              </w:rPr>
            </w:pPr>
            <w:r>
              <w:rPr>
                <w:rFonts w:ascii="Arial" w:cs="Arial" w:eastAsia="Arial" w:hAnsi="Arial"/>
                <w:sz w:val="17"/>
                <w:szCs w:val="17"/>
                <w:b w:val="1"/>
                <w:bCs w:val="1"/>
                <w:color w:val="auto"/>
                <w:w w:val="97"/>
              </w:rPr>
              <w:t>Surplus</w:t>
            </w:r>
          </w:p>
        </w:tc>
        <w:tc>
          <w:tcPr>
            <w:tcW w:w="260" w:type="dxa"/>
            <w:vAlign w:val="bottom"/>
          </w:tcPr>
          <w:p>
            <w:pPr>
              <w:spacing w:after="0"/>
              <w:rPr>
                <w:sz w:val="19"/>
                <w:szCs w:val="19"/>
                <w:color w:val="auto"/>
              </w:rPr>
            </w:pPr>
          </w:p>
        </w:tc>
        <w:tc>
          <w:tcPr>
            <w:tcW w:w="1000" w:type="dxa"/>
            <w:vAlign w:val="bottom"/>
          </w:tcPr>
          <w:p>
            <w:pPr>
              <w:jc w:val="center"/>
              <w:ind w:right="175"/>
              <w:spacing w:after="0"/>
              <w:rPr>
                <w:sz w:val="20"/>
                <w:szCs w:val="20"/>
                <w:color w:val="auto"/>
              </w:rPr>
            </w:pPr>
            <w:r>
              <w:rPr>
                <w:rFonts w:ascii="Arial" w:cs="Arial" w:eastAsia="Arial" w:hAnsi="Arial"/>
                <w:sz w:val="17"/>
                <w:szCs w:val="17"/>
                <w:b w:val="1"/>
                <w:bCs w:val="1"/>
                <w:color w:val="auto"/>
                <w:w w:val="85"/>
              </w:rPr>
              <w:t>Loss</w:t>
            </w:r>
          </w:p>
        </w:tc>
        <w:tc>
          <w:tcPr>
            <w:tcW w:w="220" w:type="dxa"/>
            <w:vAlign w:val="bottom"/>
          </w:tcPr>
          <w:p>
            <w:pPr>
              <w:spacing w:after="0"/>
              <w:rPr>
                <w:sz w:val="19"/>
                <w:szCs w:val="19"/>
                <w:color w:val="auto"/>
              </w:rPr>
            </w:pPr>
          </w:p>
        </w:tc>
        <w:tc>
          <w:tcPr>
            <w:tcW w:w="1040" w:type="dxa"/>
            <w:vAlign w:val="bottom"/>
          </w:tcPr>
          <w:p>
            <w:pPr>
              <w:jc w:val="right"/>
              <w:ind w:right="235"/>
              <w:spacing w:after="0"/>
              <w:rPr>
                <w:sz w:val="20"/>
                <w:szCs w:val="20"/>
                <w:color w:val="auto"/>
              </w:rPr>
            </w:pPr>
            <w:r>
              <w:rPr>
                <w:rFonts w:ascii="Arial" w:cs="Arial" w:eastAsia="Arial" w:hAnsi="Arial"/>
                <w:sz w:val="17"/>
                <w:szCs w:val="17"/>
                <w:b w:val="1"/>
                <w:bCs w:val="1"/>
                <w:color w:val="auto"/>
                <w:w w:val="98"/>
              </w:rPr>
              <w:t>interests</w:t>
            </w:r>
          </w:p>
        </w:tc>
        <w:tc>
          <w:tcPr>
            <w:tcW w:w="240" w:type="dxa"/>
            <w:vAlign w:val="bottom"/>
          </w:tcPr>
          <w:p>
            <w:pPr>
              <w:spacing w:after="0"/>
              <w:rPr>
                <w:sz w:val="19"/>
                <w:szCs w:val="19"/>
                <w:color w:val="auto"/>
              </w:rPr>
            </w:pPr>
          </w:p>
        </w:tc>
        <w:tc>
          <w:tcPr>
            <w:tcW w:w="880" w:type="dxa"/>
            <w:vAlign w:val="bottom"/>
          </w:tcPr>
          <w:p>
            <w:pPr>
              <w:jc w:val="center"/>
              <w:ind w:right="135"/>
              <w:spacing w:after="0"/>
              <w:rPr>
                <w:sz w:val="20"/>
                <w:szCs w:val="20"/>
                <w:color w:val="auto"/>
              </w:rPr>
            </w:pPr>
            <w:r>
              <w:rPr>
                <w:rFonts w:ascii="Arial" w:cs="Arial" w:eastAsia="Arial" w:hAnsi="Arial"/>
                <w:sz w:val="17"/>
                <w:szCs w:val="17"/>
                <w:b w:val="1"/>
                <w:bCs w:val="1"/>
                <w:color w:val="auto"/>
                <w:w w:val="96"/>
              </w:rPr>
              <w:t>Equity</w:t>
            </w:r>
          </w:p>
        </w:tc>
      </w:tr>
      <w:tr>
        <w:trPr>
          <w:trHeight w:val="205"/>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0"/>
              </w:rPr>
              <w:t>Balance at March 31, 2021</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17,239,967</w:t>
            </w: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1,769,272</w:t>
            </w: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104,591</w:t>
            </w:r>
          </w:p>
        </w:tc>
        <w:tc>
          <w:tcPr>
            <w:tcW w:w="20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39,757</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3,961</w:t>
            </w:r>
          </w:p>
        </w:tc>
        <w:tc>
          <w:tcPr>
            <w:tcW w:w="22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66,936</w:t>
            </w:r>
          </w:p>
        </w:tc>
        <w:tc>
          <w:tcPr>
            <w:tcW w:w="24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215,247</w:t>
            </w:r>
          </w:p>
        </w:tc>
      </w:tr>
      <w:tr>
        <w:trPr>
          <w:trHeight w:val="204"/>
        </w:trPr>
        <w:tc>
          <w:tcPr>
            <w:tcW w:w="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Net income</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6,567</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767</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7,334</w:t>
            </w:r>
          </w:p>
        </w:tc>
      </w:tr>
      <w:tr>
        <w:trPr>
          <w:trHeight w:val="191"/>
        </w:trPr>
        <w:tc>
          <w:tcPr>
            <w:tcW w:w="20" w:type="dxa"/>
            <w:vAlign w:val="bottom"/>
          </w:tcPr>
          <w:p>
            <w:pPr>
              <w:spacing w:after="0"/>
              <w:rPr>
                <w:sz w:val="16"/>
                <w:szCs w:val="16"/>
                <w:color w:val="auto"/>
              </w:rPr>
            </w:pPr>
          </w:p>
        </w:tc>
        <w:tc>
          <w:tcPr>
            <w:tcW w:w="192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0"/>
              </w:rPr>
              <w:t>Foreign currency translation</w:t>
            </w: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adjustment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r>
      <w:tr>
        <w:trPr>
          <w:trHeight w:val="204"/>
        </w:trPr>
        <w:tc>
          <w:tcPr>
            <w:tcW w:w="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7"/>
                <w:szCs w:val="17"/>
                <w:color w:val="auto"/>
              </w:rPr>
              <w:t>124,094</w:t>
            </w:r>
          </w:p>
        </w:tc>
        <w:tc>
          <w:tcPr>
            <w:tcW w:w="460" w:type="dxa"/>
            <w:vAlign w:val="bottom"/>
          </w:tcPr>
          <w:p>
            <w:pPr>
              <w:spacing w:after="0"/>
              <w:rPr>
                <w:sz w:val="17"/>
                <w:szCs w:val="17"/>
                <w:color w:val="auto"/>
              </w:rPr>
            </w:pP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820</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820</w:t>
            </w:r>
          </w:p>
        </w:tc>
      </w:tr>
      <w:tr>
        <w:trPr>
          <w:trHeight w:val="204"/>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w w:val="92"/>
              </w:rPr>
              <w:t>Stock-based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w:t>
            </w:r>
          </w:p>
        </w:tc>
      </w:tr>
      <w:tr>
        <w:trPr>
          <w:trHeight w:val="204"/>
        </w:trPr>
        <w:tc>
          <w:tcPr>
            <w:tcW w:w="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Exercise of warrants</w:t>
            </w:r>
          </w:p>
        </w:tc>
        <w:tc>
          <w:tcPr>
            <w:tcW w:w="940" w:type="dxa"/>
            <w:vAlign w:val="bottom"/>
          </w:tcPr>
          <w:p>
            <w:pPr>
              <w:jc w:val="right"/>
              <w:spacing w:after="0"/>
              <w:rPr>
                <w:sz w:val="20"/>
                <w:szCs w:val="20"/>
                <w:color w:val="auto"/>
              </w:rPr>
            </w:pPr>
            <w:r>
              <w:rPr>
                <w:rFonts w:ascii="Arial" w:cs="Arial" w:eastAsia="Arial" w:hAnsi="Arial"/>
                <w:sz w:val="17"/>
                <w:szCs w:val="17"/>
                <w:color w:val="auto"/>
              </w:rPr>
              <w:t>242,681</w:t>
            </w:r>
          </w:p>
        </w:tc>
        <w:tc>
          <w:tcPr>
            <w:tcW w:w="460" w:type="dxa"/>
            <w:vAlign w:val="bottom"/>
          </w:tcPr>
          <w:p>
            <w:pPr>
              <w:spacing w:after="0"/>
              <w:rPr>
                <w:sz w:val="17"/>
                <w:szCs w:val="17"/>
                <w:color w:val="auto"/>
              </w:rPr>
            </w:pP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1,820</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1,820</w:t>
            </w:r>
          </w:p>
        </w:tc>
      </w:tr>
      <w:tr>
        <w:trPr>
          <w:trHeight w:val="191"/>
        </w:trPr>
        <w:tc>
          <w:tcPr>
            <w:tcW w:w="20" w:type="dxa"/>
            <w:vAlign w:val="bottom"/>
          </w:tcPr>
          <w:p>
            <w:pPr>
              <w:spacing w:after="0"/>
              <w:rPr>
                <w:sz w:val="16"/>
                <w:szCs w:val="16"/>
                <w:color w:val="auto"/>
              </w:rPr>
            </w:pPr>
          </w:p>
        </w:tc>
        <w:tc>
          <w:tcPr>
            <w:tcW w:w="192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Conversion of class B</w:t>
            </w: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192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8"/>
              </w:rPr>
              <w:t>common shares to Class A</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19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common shares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61,667</w:t>
            </w:r>
          </w:p>
        </w:tc>
        <w:tc>
          <w:tcPr>
            <w:tcW w:w="4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(61,667)</w:t>
            </w:r>
          </w:p>
        </w:tc>
        <w:tc>
          <w:tcPr>
            <w:tcW w:w="5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4"/>
        </w:trPr>
        <w:tc>
          <w:tcPr>
            <w:tcW w:w="20" w:type="dxa"/>
            <w:vAlign w:val="bottom"/>
          </w:tcPr>
          <w:p>
            <w:pPr>
              <w:spacing w:after="0"/>
              <w:rPr>
                <w:sz w:val="17"/>
                <w:szCs w:val="17"/>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4"/>
              </w:rPr>
              <w:t>Balance at June 30, 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17,668,409</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1,707,605</w:t>
            </w: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108,566</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46,324</w:t>
            </w: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5,931</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68,733</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229,556</w:t>
            </w:r>
          </w:p>
        </w:tc>
      </w:tr>
      <w:tr>
        <w:trPr>
          <w:trHeight w:val="20"/>
        </w:trPr>
        <w:tc>
          <w:tcPr>
            <w:tcW w:w="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07"/>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0" w:type="dxa"/>
            <w:vAlign w:val="bottom"/>
            <w:gridSpan w:val="2"/>
          </w:tcPr>
          <w:p>
            <w:pPr>
              <w:jc w:val="center"/>
              <w:ind w:left="155"/>
              <w:spacing w:after="0"/>
              <w:rPr>
                <w:sz w:val="20"/>
                <w:szCs w:val="20"/>
                <w:color w:val="auto"/>
              </w:rPr>
            </w:pPr>
            <w:r>
              <w:rPr>
                <w:rFonts w:ascii="Arial" w:cs="Arial" w:eastAsia="Arial" w:hAnsi="Arial"/>
                <w:sz w:val="17"/>
                <w:szCs w:val="17"/>
                <w:b w:val="1"/>
                <w:bCs w:val="1"/>
                <w:color w:val="auto"/>
                <w:w w:val="92"/>
              </w:rPr>
              <w:t>Common</w:t>
            </w:r>
          </w:p>
        </w:tc>
        <w:tc>
          <w:tcPr>
            <w:tcW w:w="280" w:type="dxa"/>
            <w:vAlign w:val="bottom"/>
          </w:tcPr>
          <w:p>
            <w:pPr>
              <w:spacing w:after="0"/>
              <w:rPr>
                <w:sz w:val="24"/>
                <w:szCs w:val="24"/>
                <w:color w:val="auto"/>
              </w:rPr>
            </w:pPr>
          </w:p>
        </w:tc>
        <w:tc>
          <w:tcPr>
            <w:tcW w:w="140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rPr>
              <w:t>Common</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0" w:type="dxa"/>
            <w:vAlign w:val="bottom"/>
            <w:tcBorders>
              <w:bottom w:val="single" w:sz="8" w:color="auto"/>
            </w:tcBorders>
            <w:gridSpan w:val="2"/>
          </w:tcPr>
          <w:p>
            <w:pPr>
              <w:jc w:val="center"/>
              <w:ind w:left="155"/>
              <w:spacing w:after="0"/>
              <w:rPr>
                <w:sz w:val="20"/>
                <w:szCs w:val="20"/>
                <w:color w:val="auto"/>
              </w:rPr>
            </w:pPr>
            <w:r>
              <w:rPr>
                <w:rFonts w:ascii="Arial" w:cs="Arial" w:eastAsia="Arial" w:hAnsi="Arial"/>
                <w:sz w:val="17"/>
                <w:szCs w:val="17"/>
                <w:b w:val="1"/>
                <w:bCs w:val="1"/>
                <w:color w:val="auto"/>
                <w:w w:val="88"/>
              </w:rPr>
              <w:t>Stock Class A</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rPr>
              <w:t>Stock Class B</w:t>
            </w:r>
          </w:p>
        </w:tc>
        <w:tc>
          <w:tcPr>
            <w:tcW w:w="2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2"/>
          </w:tcPr>
          <w:p>
            <w:pPr>
              <w:jc w:val="center"/>
              <w:spacing w:after="0" w:line="187" w:lineRule="exact"/>
              <w:rPr>
                <w:sz w:val="20"/>
                <w:szCs w:val="20"/>
                <w:color w:val="auto"/>
              </w:rPr>
            </w:pPr>
            <w:r>
              <w:rPr>
                <w:rFonts w:ascii="Arial" w:cs="Arial" w:eastAsia="Arial" w:hAnsi="Arial"/>
                <w:sz w:val="17"/>
                <w:szCs w:val="17"/>
                <w:b w:val="1"/>
                <w:bCs w:val="1"/>
                <w:color w:val="auto"/>
                <w:w w:val="89"/>
              </w:rPr>
              <w:t>Accumulated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ind w:right="235"/>
              <w:spacing w:after="0"/>
              <w:rPr>
                <w:sz w:val="20"/>
                <w:szCs w:val="20"/>
                <w:color w:val="auto"/>
              </w:rPr>
            </w:pPr>
            <w:r>
              <w:rPr>
                <w:rFonts w:ascii="Arial" w:cs="Arial" w:eastAsia="Arial" w:hAnsi="Arial"/>
                <w:sz w:val="17"/>
                <w:szCs w:val="17"/>
                <w:b w:val="1"/>
                <w:bCs w:val="1"/>
                <w:color w:val="auto"/>
                <w:w w:val="96"/>
              </w:rPr>
              <w:t>Other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center"/>
              <w:ind w:right="175"/>
              <w:spacing w:after="0"/>
              <w:rPr>
                <w:sz w:val="20"/>
                <w:szCs w:val="20"/>
                <w:color w:val="auto"/>
              </w:rPr>
            </w:pPr>
            <w:r>
              <w:rPr>
                <w:rFonts w:ascii="Arial" w:cs="Arial" w:eastAsia="Arial" w:hAnsi="Arial"/>
                <w:sz w:val="17"/>
                <w:szCs w:val="17"/>
                <w:b w:val="1"/>
                <w:bCs w:val="1"/>
                <w:color w:val="auto"/>
                <w:w w:val="93"/>
              </w:rPr>
              <w:t>Total</w:t>
            </w:r>
          </w:p>
        </w:tc>
      </w:tr>
      <w:tr>
        <w:trPr>
          <w:trHeight w:val="204"/>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75"/>
              <w:spacing w:after="0"/>
              <w:rPr>
                <w:sz w:val="20"/>
                <w:szCs w:val="20"/>
                <w:color w:val="auto"/>
              </w:rPr>
            </w:pPr>
            <w:r>
              <w:rPr>
                <w:rFonts w:ascii="Arial" w:cs="Arial" w:eastAsia="Arial" w:hAnsi="Arial"/>
                <w:sz w:val="17"/>
                <w:szCs w:val="17"/>
                <w:b w:val="1"/>
                <w:bCs w:val="1"/>
                <w:color w:val="auto"/>
                <w:w w:val="93"/>
              </w:rPr>
              <w:t>Additional</w:t>
            </w:r>
          </w:p>
        </w:tc>
        <w:tc>
          <w:tcPr>
            <w:tcW w:w="1100" w:type="dxa"/>
            <w:vAlign w:val="bottom"/>
            <w:gridSpan w:val="2"/>
          </w:tcPr>
          <w:p>
            <w:pPr>
              <w:ind w:left="40"/>
              <w:spacing w:after="0"/>
              <w:rPr>
                <w:sz w:val="20"/>
                <w:szCs w:val="20"/>
                <w:color w:val="auto"/>
              </w:rPr>
            </w:pPr>
            <w:r>
              <w:rPr>
                <w:rFonts w:ascii="Arial" w:cs="Arial" w:eastAsia="Arial" w:hAnsi="Arial"/>
                <w:sz w:val="17"/>
                <w:szCs w:val="17"/>
                <w:b w:val="1"/>
                <w:bCs w:val="1"/>
                <w:color w:val="auto"/>
                <w:w w:val="97"/>
              </w:rPr>
              <w:t>Accumulated</w:t>
            </w:r>
          </w:p>
        </w:tc>
        <w:tc>
          <w:tcPr>
            <w:tcW w:w="12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Comprehensive</w:t>
            </w:r>
          </w:p>
        </w:tc>
        <w:tc>
          <w:tcPr>
            <w:tcW w:w="1260" w:type="dxa"/>
            <w:vAlign w:val="bottom"/>
            <w:gridSpan w:val="2"/>
          </w:tcPr>
          <w:p>
            <w:pPr>
              <w:ind w:left="40"/>
              <w:spacing w:after="0"/>
              <w:rPr>
                <w:sz w:val="20"/>
                <w:szCs w:val="20"/>
                <w:color w:val="auto"/>
              </w:rPr>
            </w:pPr>
            <w:r>
              <w:rPr>
                <w:rFonts w:ascii="Arial" w:cs="Arial" w:eastAsia="Arial" w:hAnsi="Arial"/>
                <w:sz w:val="17"/>
                <w:szCs w:val="17"/>
                <w:b w:val="1"/>
                <w:bCs w:val="1"/>
                <w:color w:val="auto"/>
                <w:w w:val="94"/>
              </w:rPr>
              <w:t>Non-controlling</w:t>
            </w:r>
          </w:p>
        </w:tc>
        <w:tc>
          <w:tcPr>
            <w:tcW w:w="1120" w:type="dxa"/>
            <w:vAlign w:val="bottom"/>
            <w:gridSpan w:val="2"/>
          </w:tcPr>
          <w:p>
            <w:pPr>
              <w:ind w:left="60"/>
              <w:spacing w:after="0"/>
              <w:rPr>
                <w:sz w:val="20"/>
                <w:szCs w:val="20"/>
                <w:color w:val="auto"/>
              </w:rPr>
            </w:pPr>
            <w:r>
              <w:rPr>
                <w:rFonts w:ascii="Arial" w:cs="Arial" w:eastAsia="Arial" w:hAnsi="Arial"/>
                <w:sz w:val="17"/>
                <w:szCs w:val="17"/>
                <w:b w:val="1"/>
                <w:bCs w:val="1"/>
                <w:color w:val="auto"/>
                <w:w w:val="92"/>
              </w:rPr>
              <w:t>Stockholders’</w:t>
            </w:r>
          </w:p>
        </w:tc>
      </w:tr>
      <w:tr>
        <w:trPr>
          <w:trHeight w:val="219"/>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b w:val="1"/>
                <w:bCs w:val="1"/>
                <w:color w:val="auto"/>
              </w:rPr>
              <w:t>Shares</w:t>
            </w:r>
          </w:p>
        </w:tc>
        <w:tc>
          <w:tcPr>
            <w:tcW w:w="740" w:type="dxa"/>
            <w:vAlign w:val="bottom"/>
            <w:gridSpan w:val="2"/>
          </w:tcPr>
          <w:p>
            <w:pPr>
              <w:ind w:left="40"/>
              <w:spacing w:after="0"/>
              <w:rPr>
                <w:sz w:val="20"/>
                <w:szCs w:val="20"/>
                <w:color w:val="auto"/>
              </w:rPr>
            </w:pPr>
            <w:r>
              <w:rPr>
                <w:rFonts w:ascii="Arial" w:cs="Arial" w:eastAsia="Arial" w:hAnsi="Arial"/>
                <w:sz w:val="17"/>
                <w:szCs w:val="17"/>
                <w:b w:val="1"/>
                <w:bCs w:val="1"/>
                <w:color w:val="auto"/>
              </w:rPr>
              <w:t>Amount</w:t>
            </w:r>
          </w:p>
        </w:tc>
        <w:tc>
          <w:tcPr>
            <w:tcW w:w="860" w:type="dxa"/>
            <w:vAlign w:val="bottom"/>
          </w:tcPr>
          <w:p>
            <w:pPr>
              <w:jc w:val="right"/>
              <w:ind w:right="155"/>
              <w:spacing w:after="0"/>
              <w:rPr>
                <w:sz w:val="20"/>
                <w:szCs w:val="20"/>
                <w:color w:val="auto"/>
              </w:rPr>
            </w:pPr>
            <w:r>
              <w:rPr>
                <w:rFonts w:ascii="Arial" w:cs="Arial" w:eastAsia="Arial" w:hAnsi="Arial"/>
                <w:sz w:val="17"/>
                <w:szCs w:val="17"/>
                <w:b w:val="1"/>
                <w:bCs w:val="1"/>
                <w:color w:val="auto"/>
              </w:rPr>
              <w:t>Shares</w:t>
            </w:r>
          </w:p>
        </w:tc>
        <w:tc>
          <w:tcPr>
            <w:tcW w:w="800" w:type="dxa"/>
            <w:vAlign w:val="bottom"/>
            <w:gridSpan w:val="3"/>
          </w:tcPr>
          <w:p>
            <w:pPr>
              <w:ind w:left="60"/>
              <w:spacing w:after="0"/>
              <w:rPr>
                <w:sz w:val="20"/>
                <w:szCs w:val="20"/>
                <w:color w:val="auto"/>
              </w:rPr>
            </w:pPr>
            <w:r>
              <w:rPr>
                <w:rFonts w:ascii="Arial" w:cs="Arial" w:eastAsia="Arial" w:hAnsi="Arial"/>
                <w:sz w:val="17"/>
                <w:szCs w:val="17"/>
                <w:b w:val="1"/>
                <w:bCs w:val="1"/>
                <w:color w:val="auto"/>
              </w:rPr>
              <w:t>Amount</w:t>
            </w:r>
          </w:p>
        </w:tc>
        <w:tc>
          <w:tcPr>
            <w:tcW w:w="1220" w:type="dxa"/>
            <w:vAlign w:val="bottom"/>
            <w:gridSpan w:val="2"/>
          </w:tcPr>
          <w:p>
            <w:pPr>
              <w:ind w:left="20"/>
              <w:spacing w:after="0"/>
              <w:rPr>
                <w:sz w:val="20"/>
                <w:szCs w:val="20"/>
                <w:color w:val="auto"/>
              </w:rPr>
            </w:pPr>
            <w:r>
              <w:rPr>
                <w:rFonts w:ascii="Arial" w:cs="Arial" w:eastAsia="Arial" w:hAnsi="Arial"/>
                <w:sz w:val="17"/>
                <w:szCs w:val="17"/>
                <w:b w:val="1"/>
                <w:bCs w:val="1"/>
                <w:color w:val="auto"/>
                <w:w w:val="99"/>
              </w:rPr>
              <w:t>Paid-in Capital</w:t>
            </w:r>
          </w:p>
        </w:tc>
        <w:tc>
          <w:tcPr>
            <w:tcW w:w="20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w w:val="91"/>
              </w:rPr>
              <w:t>Surplus</w:t>
            </w:r>
          </w:p>
        </w:tc>
        <w:tc>
          <w:tcPr>
            <w:tcW w:w="260" w:type="dxa"/>
            <w:vAlign w:val="bottom"/>
          </w:tcPr>
          <w:p>
            <w:pPr>
              <w:spacing w:after="0"/>
              <w:rPr>
                <w:sz w:val="19"/>
                <w:szCs w:val="19"/>
                <w:color w:val="auto"/>
              </w:rPr>
            </w:pPr>
          </w:p>
        </w:tc>
        <w:tc>
          <w:tcPr>
            <w:tcW w:w="1000" w:type="dxa"/>
            <w:vAlign w:val="bottom"/>
          </w:tcPr>
          <w:p>
            <w:pPr>
              <w:jc w:val="center"/>
              <w:ind w:right="235"/>
              <w:spacing w:after="0"/>
              <w:rPr>
                <w:sz w:val="20"/>
                <w:szCs w:val="20"/>
                <w:color w:val="auto"/>
              </w:rPr>
            </w:pPr>
            <w:r>
              <w:rPr>
                <w:rFonts w:ascii="Arial" w:cs="Arial" w:eastAsia="Arial" w:hAnsi="Arial"/>
                <w:sz w:val="17"/>
                <w:szCs w:val="17"/>
                <w:b w:val="1"/>
                <w:bCs w:val="1"/>
                <w:color w:val="auto"/>
                <w:w w:val="80"/>
              </w:rPr>
              <w:t>Loss</w:t>
            </w:r>
          </w:p>
        </w:tc>
        <w:tc>
          <w:tcPr>
            <w:tcW w:w="220" w:type="dxa"/>
            <w:vAlign w:val="bottom"/>
          </w:tcPr>
          <w:p>
            <w:pPr>
              <w:spacing w:after="0"/>
              <w:rPr>
                <w:sz w:val="19"/>
                <w:szCs w:val="19"/>
                <w:color w:val="auto"/>
              </w:rPr>
            </w:pPr>
          </w:p>
        </w:tc>
        <w:tc>
          <w:tcPr>
            <w:tcW w:w="1040" w:type="dxa"/>
            <w:vAlign w:val="bottom"/>
          </w:tcPr>
          <w:p>
            <w:pPr>
              <w:jc w:val="right"/>
              <w:ind w:right="255"/>
              <w:spacing w:after="0"/>
              <w:rPr>
                <w:sz w:val="20"/>
                <w:szCs w:val="20"/>
                <w:color w:val="auto"/>
              </w:rPr>
            </w:pPr>
            <w:r>
              <w:rPr>
                <w:rFonts w:ascii="Arial" w:cs="Arial" w:eastAsia="Arial" w:hAnsi="Arial"/>
                <w:sz w:val="17"/>
                <w:szCs w:val="17"/>
                <w:b w:val="1"/>
                <w:bCs w:val="1"/>
                <w:color w:val="auto"/>
                <w:w w:val="95"/>
              </w:rPr>
              <w:t>interests</w:t>
            </w:r>
          </w:p>
        </w:tc>
        <w:tc>
          <w:tcPr>
            <w:tcW w:w="240" w:type="dxa"/>
            <w:vAlign w:val="bottom"/>
          </w:tcPr>
          <w:p>
            <w:pPr>
              <w:spacing w:after="0"/>
              <w:rPr>
                <w:sz w:val="19"/>
                <w:szCs w:val="19"/>
                <w:color w:val="auto"/>
              </w:rPr>
            </w:pPr>
          </w:p>
        </w:tc>
        <w:tc>
          <w:tcPr>
            <w:tcW w:w="880" w:type="dxa"/>
            <w:vAlign w:val="bottom"/>
          </w:tcPr>
          <w:p>
            <w:pPr>
              <w:jc w:val="center"/>
              <w:ind w:right="175"/>
              <w:spacing w:after="0"/>
              <w:rPr>
                <w:sz w:val="20"/>
                <w:szCs w:val="20"/>
                <w:color w:val="auto"/>
              </w:rPr>
            </w:pPr>
            <w:r>
              <w:rPr>
                <w:rFonts w:ascii="Arial" w:cs="Arial" w:eastAsia="Arial" w:hAnsi="Arial"/>
                <w:sz w:val="17"/>
                <w:szCs w:val="17"/>
                <w:b w:val="1"/>
                <w:bCs w:val="1"/>
                <w:color w:val="auto"/>
                <w:w w:val="96"/>
              </w:rPr>
              <w:t>Equity</w:t>
            </w:r>
          </w:p>
        </w:tc>
      </w:tr>
      <w:tr>
        <w:trPr>
          <w:trHeight w:val="205"/>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0"/>
              </w:rPr>
              <w:t>Balance at March 31, 2020</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16,317,346</w:t>
            </w:r>
          </w:p>
        </w:tc>
        <w:tc>
          <w:tcPr>
            <w:tcW w:w="4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95"/>
              </w:rPr>
              <w:t>1,862,608</w:t>
            </w:r>
          </w:p>
        </w:tc>
        <w:tc>
          <w:tcPr>
            <w:tcW w:w="540" w:type="dxa"/>
            <w:vAlign w:val="bottom"/>
            <w:shd w:val="clear" w:color="auto" w:fill="CCEEFF"/>
          </w:tcPr>
          <w:p>
            <w:pPr>
              <w:jc w:val="right"/>
              <w:ind w:right="335"/>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84,351</w:t>
            </w:r>
          </w:p>
        </w:tc>
        <w:tc>
          <w:tcPr>
            <w:tcW w:w="2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17,212</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(2,623)</w:t>
            </w:r>
          </w:p>
        </w:tc>
        <w:tc>
          <w:tcPr>
            <w:tcW w:w="2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98,942</w:t>
            </w:r>
          </w:p>
        </w:tc>
      </w:tr>
      <w:tr>
        <w:trPr>
          <w:trHeight w:val="204"/>
        </w:trPr>
        <w:tc>
          <w:tcPr>
            <w:tcW w:w="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Net income (loss)</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(81)</w:t>
            </w:r>
          </w:p>
        </w:tc>
        <w:tc>
          <w:tcPr>
            <w:tcW w:w="260" w:type="dxa"/>
            <w:vAlign w:val="bottom"/>
          </w:tcPr>
          <w:p>
            <w:pPr>
              <w:spacing w:after="0"/>
              <w:rPr>
                <w:sz w:val="17"/>
                <w:szCs w:val="17"/>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192</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191"/>
        </w:trPr>
        <w:tc>
          <w:tcPr>
            <w:tcW w:w="20" w:type="dxa"/>
            <w:vAlign w:val="bottom"/>
          </w:tcPr>
          <w:p>
            <w:pPr>
              <w:spacing w:after="0"/>
              <w:rPr>
                <w:sz w:val="16"/>
                <w:szCs w:val="16"/>
                <w:color w:val="auto"/>
              </w:rPr>
            </w:pPr>
          </w:p>
        </w:tc>
        <w:tc>
          <w:tcPr>
            <w:tcW w:w="192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0"/>
              </w:rPr>
              <w:t>Foreign currency translation</w:t>
            </w: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adjustment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04"/>
        </w:trPr>
        <w:tc>
          <w:tcPr>
            <w:tcW w:w="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7"/>
                <w:szCs w:val="17"/>
                <w:color w:val="auto"/>
              </w:rPr>
              <w:t>115,425</w:t>
            </w:r>
          </w:p>
        </w:tc>
        <w:tc>
          <w:tcPr>
            <w:tcW w:w="460" w:type="dxa"/>
            <w:vAlign w:val="bottom"/>
          </w:tcPr>
          <w:p>
            <w:pPr>
              <w:spacing w:after="0"/>
              <w:rPr>
                <w:sz w:val="17"/>
                <w:szCs w:val="17"/>
                <w:color w:val="auto"/>
              </w:rPr>
            </w:pP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698</w:t>
            </w:r>
          </w:p>
        </w:tc>
        <w:tc>
          <w:tcPr>
            <w:tcW w:w="20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698</w:t>
            </w:r>
          </w:p>
        </w:tc>
      </w:tr>
      <w:tr>
        <w:trPr>
          <w:trHeight w:val="204"/>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w w:val="92"/>
              </w:rPr>
              <w:t>Stock-based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855</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w:t>
            </w:r>
          </w:p>
        </w:tc>
      </w:tr>
      <w:tr>
        <w:trPr>
          <w:trHeight w:val="191"/>
        </w:trPr>
        <w:tc>
          <w:tcPr>
            <w:tcW w:w="20" w:type="dxa"/>
            <w:vAlign w:val="bottom"/>
          </w:tcPr>
          <w:p>
            <w:pPr>
              <w:spacing w:after="0"/>
              <w:rPr>
                <w:sz w:val="16"/>
                <w:szCs w:val="16"/>
                <w:color w:val="auto"/>
              </w:rPr>
            </w:pPr>
          </w:p>
        </w:tc>
        <w:tc>
          <w:tcPr>
            <w:tcW w:w="1920" w:type="dxa"/>
            <w:vAlign w:val="bottom"/>
          </w:tcPr>
          <w:p>
            <w:pPr>
              <w:spacing w:after="0" w:line="191" w:lineRule="exact"/>
              <w:rPr>
                <w:sz w:val="20"/>
                <w:szCs w:val="20"/>
                <w:color w:val="auto"/>
              </w:rPr>
            </w:pPr>
            <w:r>
              <w:rPr>
                <w:rFonts w:ascii="Arial" w:cs="Arial" w:eastAsia="Arial" w:hAnsi="Arial"/>
                <w:sz w:val="17"/>
                <w:szCs w:val="17"/>
                <w:color w:val="auto"/>
              </w:rPr>
              <w:t>Conversion of class B</w:t>
            </w: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1920" w:type="dxa"/>
            <w:vAlign w:val="bottom"/>
          </w:tcPr>
          <w:p>
            <w:pPr>
              <w:ind w:left="140"/>
              <w:spacing w:after="0"/>
              <w:rPr>
                <w:sz w:val="20"/>
                <w:szCs w:val="20"/>
                <w:color w:val="auto"/>
              </w:rPr>
            </w:pPr>
            <w:r>
              <w:rPr>
                <w:rFonts w:ascii="Arial" w:cs="Arial" w:eastAsia="Arial" w:hAnsi="Arial"/>
                <w:sz w:val="17"/>
                <w:szCs w:val="17"/>
                <w:color w:val="auto"/>
                <w:w w:val="94"/>
              </w:rPr>
              <w:t>common shares to Class</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1920" w:type="dxa"/>
            <w:vAlign w:val="bottom"/>
          </w:tcPr>
          <w:p>
            <w:pPr>
              <w:ind w:left="140"/>
              <w:spacing w:after="0"/>
              <w:rPr>
                <w:sz w:val="20"/>
                <w:szCs w:val="20"/>
                <w:color w:val="auto"/>
              </w:rPr>
            </w:pPr>
            <w:r>
              <w:rPr>
                <w:rFonts w:ascii="Arial" w:cs="Arial" w:eastAsia="Arial" w:hAnsi="Arial"/>
                <w:sz w:val="17"/>
                <w:szCs w:val="17"/>
                <w:color w:val="auto"/>
              </w:rPr>
              <w:t>A common shares</w:t>
            </w:r>
          </w:p>
        </w:tc>
        <w:tc>
          <w:tcPr>
            <w:tcW w:w="940" w:type="dxa"/>
            <w:vAlign w:val="bottom"/>
          </w:tcPr>
          <w:p>
            <w:pPr>
              <w:jc w:val="right"/>
              <w:spacing w:after="0"/>
              <w:rPr>
                <w:sz w:val="20"/>
                <w:szCs w:val="20"/>
                <w:color w:val="auto"/>
              </w:rPr>
            </w:pPr>
            <w:r>
              <w:rPr>
                <w:rFonts w:ascii="Arial" w:cs="Arial" w:eastAsia="Arial" w:hAnsi="Arial"/>
                <w:sz w:val="17"/>
                <w:szCs w:val="17"/>
                <w:color w:val="auto"/>
              </w:rPr>
              <w:t>60,002</w:t>
            </w:r>
          </w:p>
        </w:tc>
        <w:tc>
          <w:tcPr>
            <w:tcW w:w="460" w:type="dxa"/>
            <w:vAlign w:val="bottom"/>
          </w:tcPr>
          <w:p>
            <w:pPr>
              <w:spacing w:after="0"/>
              <w:rPr>
                <w:sz w:val="18"/>
                <w:szCs w:val="18"/>
                <w:color w:val="auto"/>
              </w:rPr>
            </w:pP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(60,002)</w:t>
            </w:r>
          </w:p>
        </w:tc>
        <w:tc>
          <w:tcPr>
            <w:tcW w:w="5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Share repurchase</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(242,681)</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(9,715)</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(9,715)</w:t>
            </w:r>
          </w:p>
        </w:tc>
      </w:tr>
      <w:tr>
        <w:trPr>
          <w:trHeight w:val="191"/>
        </w:trPr>
        <w:tc>
          <w:tcPr>
            <w:tcW w:w="20" w:type="dxa"/>
            <w:vAlign w:val="bottom"/>
          </w:tcPr>
          <w:p>
            <w:pPr>
              <w:spacing w:after="0"/>
              <w:rPr>
                <w:sz w:val="16"/>
                <w:szCs w:val="16"/>
                <w:color w:val="auto"/>
              </w:rPr>
            </w:pPr>
          </w:p>
        </w:tc>
        <w:tc>
          <w:tcPr>
            <w:tcW w:w="1920" w:type="dxa"/>
            <w:vAlign w:val="bottom"/>
          </w:tcPr>
          <w:p>
            <w:pPr>
              <w:spacing w:after="0" w:line="191" w:lineRule="exact"/>
              <w:rPr>
                <w:sz w:val="20"/>
                <w:szCs w:val="20"/>
                <w:color w:val="auto"/>
              </w:rPr>
            </w:pPr>
            <w:r>
              <w:rPr>
                <w:rFonts w:ascii="Arial" w:cs="Arial" w:eastAsia="Arial" w:hAnsi="Arial"/>
                <w:sz w:val="17"/>
                <w:szCs w:val="17"/>
                <w:color w:val="auto"/>
              </w:rPr>
              <w:t>Reclassification of</w:t>
            </w: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1920" w:type="dxa"/>
            <w:vAlign w:val="bottom"/>
          </w:tcPr>
          <w:p>
            <w:pPr>
              <w:ind w:left="100"/>
              <w:spacing w:after="0"/>
              <w:rPr>
                <w:sz w:val="20"/>
                <w:szCs w:val="20"/>
                <w:color w:val="auto"/>
              </w:rPr>
            </w:pPr>
            <w:r>
              <w:rPr>
                <w:rFonts w:ascii="Arial" w:cs="Arial" w:eastAsia="Arial" w:hAnsi="Arial"/>
                <w:sz w:val="17"/>
                <w:szCs w:val="17"/>
                <w:color w:val="auto"/>
              </w:rPr>
              <w:t>redeemable non-</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controlling interest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59,958</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59,958</w:t>
            </w:r>
          </w:p>
        </w:tc>
      </w:tr>
      <w:tr>
        <w:trPr>
          <w:trHeight w:val="244"/>
        </w:trPr>
        <w:tc>
          <w:tcPr>
            <w:tcW w:w="20" w:type="dxa"/>
            <w:vAlign w:val="bottom"/>
          </w:tcPr>
          <w:p>
            <w:pPr>
              <w:spacing w:after="0"/>
              <w:rPr>
                <w:sz w:val="21"/>
                <w:szCs w:val="21"/>
                <w:color w:val="auto"/>
              </w:rPr>
            </w:pPr>
          </w:p>
        </w:tc>
        <w:tc>
          <w:tcPr>
            <w:tcW w:w="1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94"/>
              </w:rPr>
              <w:t>Balance at June 30,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16,250,092</w:t>
            </w:r>
          </w:p>
        </w:tc>
        <w:tc>
          <w:tcPr>
            <w:tcW w:w="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95"/>
              </w:rPr>
              <w:t>1,802,606</w:t>
            </w:r>
          </w:p>
        </w:tc>
        <w:tc>
          <w:tcPr>
            <w:tcW w:w="54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76,189</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17,131</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(3,415)</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61,078</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150,985</w:t>
            </w: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7"/>
          <w:szCs w:val="17"/>
          <w:i w:val="1"/>
          <w:iCs w:val="1"/>
          <w:color w:val="auto"/>
        </w:rPr>
        <w:t>(In thousands)</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7"/>
                <w:szCs w:val="17"/>
                <w:b w:val="1"/>
                <w:bCs w:val="1"/>
                <w:color w:val="auto"/>
                <w:w w:val="92"/>
              </w:rPr>
              <w:t>Six Months Ended 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2,459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Adjustments to reconcile net income from operations to net cash used in operating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ind w:left="100"/>
              <w:spacing w:after="0"/>
              <w:rPr>
                <w:sz w:val="20"/>
                <w:szCs w:val="20"/>
                <w:color w:val="auto"/>
              </w:rPr>
            </w:pPr>
            <w:r>
              <w:rPr>
                <w:rFonts w:ascii="Arial" w:cs="Arial" w:eastAsia="Arial" w:hAnsi="Arial"/>
                <w:sz w:val="17"/>
                <w:szCs w:val="17"/>
                <w:color w:val="auto"/>
              </w:rPr>
              <w:t>Loss on disposals of property, plant and equipment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Equity income in net income of affiliates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(615)</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ind w:left="100"/>
              <w:spacing w:after="0"/>
              <w:rPr>
                <w:sz w:val="20"/>
                <w:szCs w:val="20"/>
                <w:color w:val="auto"/>
              </w:rPr>
            </w:pPr>
            <w:r>
              <w:rPr>
                <w:rFonts w:ascii="Arial" w:cs="Arial" w:eastAsia="Arial" w:hAnsi="Arial"/>
                <w:sz w:val="17"/>
                <w:szCs w:val="17"/>
                <w:color w:val="auto"/>
              </w:rPr>
              <w:t>Unrealized gain on trading securities</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(2,736)</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Deferred income taxes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(3,502)</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ind w:left="10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2,545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1,544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Change in fair value of financial liability</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ind w:left="100"/>
              <w:spacing w:after="0"/>
              <w:rPr>
                <w:sz w:val="20"/>
                <w:szCs w:val="20"/>
                <w:color w:val="auto"/>
              </w:rPr>
            </w:pPr>
            <w:r>
              <w:rPr>
                <w:rFonts w:ascii="Arial" w:cs="Arial" w:eastAsia="Arial" w:hAnsi="Arial"/>
                <w:sz w:val="17"/>
                <w:szCs w:val="17"/>
                <w:color w:val="auto"/>
              </w:rPr>
              <w:t>Net changes in operating assets and liabilities: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Accounts receivable</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(14,279)</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(28,474)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ind w:left="280"/>
              <w:spacing w:after="0"/>
              <w:rPr>
                <w:sz w:val="20"/>
                <w:szCs w:val="20"/>
                <w:color w:val="auto"/>
              </w:rPr>
            </w:pPr>
            <w:r>
              <w:rPr>
                <w:rFonts w:ascii="Arial" w:cs="Arial" w:eastAsia="Arial" w:hAnsi="Arial"/>
                <w:sz w:val="17"/>
                <w:szCs w:val="17"/>
                <w:color w:val="auto"/>
              </w:rPr>
              <w:t>Other receivables</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(610)</w:t>
            </w:r>
          </w:p>
        </w:tc>
        <w:tc>
          <w:tcPr>
            <w:tcW w:w="2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(3,271)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Inventory</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(47,432)</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ind w:left="280"/>
              <w:spacing w:after="0"/>
              <w:rPr>
                <w:sz w:val="20"/>
                <w:szCs w:val="20"/>
                <w:color w:val="auto"/>
              </w:rPr>
            </w:pPr>
            <w:r>
              <w:rPr>
                <w:rFonts w:ascii="Arial" w:cs="Arial" w:eastAsia="Arial" w:hAnsi="Arial"/>
                <w:sz w:val="17"/>
                <w:szCs w:val="17"/>
                <w:color w:val="auto"/>
              </w:rPr>
              <w:t>Prepaid expenses</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(3,001)</w:t>
            </w:r>
          </w:p>
        </w:tc>
        <w:tc>
          <w:tcPr>
            <w:tcW w:w="2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(1,176)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 long-term assets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(2,939)</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(836)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ind w:left="28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31,200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14,954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Advances from customers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25,912</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ind w:left="280"/>
              <w:spacing w:after="0"/>
              <w:rPr>
                <w:sz w:val="20"/>
                <w:szCs w:val="20"/>
                <w:color w:val="auto"/>
              </w:rPr>
            </w:pPr>
            <w:r>
              <w:rPr>
                <w:rFonts w:ascii="Arial" w:cs="Arial" w:eastAsia="Arial" w:hAnsi="Arial"/>
                <w:sz w:val="17"/>
                <w:szCs w:val="17"/>
                <w:color w:val="auto"/>
              </w:rPr>
              <w:t>Income tax payable</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(1,419)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 payables and accrued expenses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3,537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ind w:left="28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2,348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 long-term liabilities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(3,559)</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2,461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Arial" w:cs="Arial" w:eastAsia="Arial" w:hAnsi="Arial"/>
                <w:sz w:val="17"/>
                <w:szCs w:val="17"/>
                <w:b w:val="1"/>
                <w:bCs w:val="1"/>
                <w:color w:val="auto"/>
              </w:rPr>
              <w:t>Net cash provided by (used in) operating activities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(10,651)</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Purchase of property and equipment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(2,353)</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Purchase of intangible assets</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(431)</w:t>
            </w:r>
          </w:p>
        </w:tc>
        <w:tc>
          <w:tcPr>
            <w:tcW w:w="2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Prepayment for land-use-right and property</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(15,438)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Purchase of long-term investments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(14,130)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(31,152)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Proceeds from short-term borrowings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17,653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25,807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Repayments of short-term borrowings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(21,753)</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(13,563)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Proceeds from long-term borrowings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1,548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Repayments of long-term borrowings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(794)</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Repayments of notes payable</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(1,820)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stock option exercise to common stock</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Proceeds from warrant exercise to common stock</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b w:val="1"/>
                <w:bCs w:val="1"/>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Effect of exchange rate changes on cash, cash equivalents and restricted cash</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decrease in cash, cash equivalents and restricted cash</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(1,557)</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(31,462)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71,766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117,859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70,209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86,397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8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ind w:left="280"/>
              <w:spacing w:after="0"/>
              <w:rPr>
                <w:sz w:val="20"/>
                <w:szCs w:val="20"/>
                <w:color w:val="auto"/>
              </w:rPr>
            </w:pPr>
            <w:r>
              <w:rPr>
                <w:rFonts w:ascii="Arial" w:cs="Arial" w:eastAsia="Arial" w:hAnsi="Arial"/>
                <w:sz w:val="17"/>
                <w:szCs w:val="17"/>
                <w:color w:val="auto"/>
              </w:rPr>
              <w:t>Interest paid, net of capitalized interest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383</w:t>
            </w:r>
          </w:p>
        </w:tc>
        <w:tc>
          <w:tcPr>
            <w:tcW w:w="24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Cash paid for income taxes</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8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3"/>
              </w:rPr>
              <w:t>Reconciliation of cash, cash equivalents and restricted cash in condensed consolidated statements of cash flows: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ind w:left="280"/>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70,209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86,397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Restricted cash</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ind w:left="280"/>
              <w:spacing w:after="0"/>
              <w:rPr>
                <w:sz w:val="20"/>
                <w:szCs w:val="20"/>
                <w:color w:val="auto"/>
              </w:rPr>
            </w:pPr>
            <w:r>
              <w:rPr>
                <w:rFonts w:ascii="Arial" w:cs="Arial" w:eastAsia="Arial" w:hAnsi="Arial"/>
                <w:sz w:val="17"/>
                <w:szCs w:val="17"/>
                <w:color w:val="auto"/>
              </w:rPr>
              <w:t>Cash, cash equivalents and restricted cash</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70,209</w:t>
            </w:r>
          </w:p>
        </w:tc>
        <w:tc>
          <w:tcPr>
            <w:tcW w:w="24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86,397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Non-cash used in financing activities: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Warrant conversion to common stock</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0"/>
        </w:trPr>
        <w:tc>
          <w:tcPr>
            <w:tcW w:w="86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Share cancellation</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9,715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Cashless exercise of stock options</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240" w:type="dxa"/>
            <w:vAlign w:val="bottom"/>
          </w:tcPr>
          <w:p>
            <w:pPr>
              <w:spacing w:after="0"/>
              <w:rPr>
                <w:sz w:val="16"/>
                <w:szCs w:val="16"/>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59690</wp:posOffset>
            </wp:positionV>
            <wp:extent cx="713994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2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BUSINESS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ACM Research, Inc. (“ACM”) and its subsidiaries (collectively with ACM, the “Company”) develop, manufacture and sell wet cleaning and other equipment used to improve the manufacturing process and yield for advanced integrated chips. The Company markets and sells its wet-cleaning equipment under the brand name “Ultra C,” based on the Company’s proprietary Space Alternated Phase Shift (“SAPS”), Timely Energized Bubble Oscillation (“TEBO”), and Tahoe technologies. These tools are designed to remove random defects from a wafer surface efficiently, without damaging the wafer or its features, even at increasingly advanced process nodes.</w:t>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45"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Based on its electro-chemical plating (“ECP”) technology, in 2019 the Company introduced its Ultra ECP ap, or “Advanced Packaging,” tool for bumping, or applying copper, tin and nickel to semiconductor wafers at the die-level, and its Ultra ECP map, or “Multi-Anode Partial Plating,” tool to deliver advanced electrochemical copper plating for copper interconnect applications in front-end wafer fabrication processes. The Company also offers a range of custom-made equipment, including cleaners, coaters and developers, to back-end wafer assembly and packaging factories, principally in the PRC.</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2011 ACM Shanghai formed a wholly owned subsidiary in the PRC, ACM Research (Wuxi), Inc. (“ACM Wuxi”), to manage sales and service operations.</w:t>
      </w:r>
    </w:p>
    <w:p>
      <w:pPr>
        <w:spacing w:after="0" w:line="24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August 2017 ACM purchased 18.77% of ACM Shanghai’s equity interests held by Shanghai Science and Technology Venture Capital Co., Ltd. On November 8, 2017, ACM purchased the remaining 18.36% of ACM Shanghai’s equity interest held by third parties, Shanghai Pudong High-Tech Investment Co., Ltd. (“PDHTI”) and Shanghai Zhangjiang Science &amp; Technology Venture Capital Co., Ltd. (“ZSTVC”). At December 31, 2017, ACM owned all of the outstanding equity interests of ACM Shanghai, and indirectly through ACM Shanghai, owned all of the outstanding equity interests of ACM Wuxi.</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September 13, 2017, ACM effectuated a 1-for-3 reverse stock split of Class A and Class B common stock. Unless otherwise indicated, all share numbers, per share amount, share prices, exercise prices and conversion rates set forth in these notes and the accompanying consolidated financial statements have been adjusted retrospectively to reflect the reverse stock split.</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November 2, 2017, the Registration Statement on Form S-1 (File No. 333- 220451) for ACM’s initial public offering of Class A common stock was declared effective by the U.S. Securities and Exchange Commission. Shares of Class A common stock began trading on the Nasdaq Global Market on November 3, 2017, and the closing for the offering was held on November 7, 2017.</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March 2019 ACM Shanghai formed a wholly owned subsidiary in the PRC, Shengwei Research (Shanghai), Inc. (“ACM Shengwei”), to manage activities related to addition of future long-term production capacity.</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April 2019 CleanChip formed a wholly owned subsidiary in California, ACM Research (CA), Inc. (“ACM California”), to provide procurement services on behalf of ACM Shanghai.</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June 2019 ACM announced plans to complete, over the following three years, a listing (the “STAR Listing”) of shares of ACM Shanghai on the Shanghai Stock Exchange’s new Sci-Tech innovAtion boaRd, known as the STAR Market, and a concurrent initial public offering (the “STAR IPO”) of ACM Shanghai shares in the PRC. ACM Shanghai is currently ACM’s primary operating subsidiary, and at the time of announcement, was wholly owned by ACM. To meet a STAR Listing requirement that it have multiple independent stockholders in the PRC, ACM Shanghai completed private placements of its shares in June and November 2019, following which, as of September 30, 2020, the private placement investors held a total of 8.3% of the outstanding shares of ACM Shanghai and ACM Research held the remaining 91.7%. As part of the STAR Listing process, in June 2020 the ownership interests held by the private investors were reclassified from redeemable non-controlling interests to non-controlling interests as the redemption feature was terminated (note 19).</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preparation for the STAR IPO, ACM completed a reorganization in December 2019 that included the sale of all of the shares of CleanChip by ACM to ACM Shanghai for $3,500. The reorganization and sale had no impact on ACM’s consolidated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direct or indirect interests in the following subsidiaries:</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500" w:type="dxa"/>
            <w:vAlign w:val="bottom"/>
            <w:gridSpan w:val="2"/>
          </w:tcPr>
          <w:p>
            <w:pPr>
              <w:jc w:val="right"/>
              <w:ind w:right="395"/>
              <w:spacing w:after="0"/>
              <w:rPr>
                <w:sz w:val="20"/>
                <w:szCs w:val="20"/>
                <w:color w:val="auto"/>
              </w:rPr>
            </w:pPr>
            <w:r>
              <w:rPr>
                <w:rFonts w:ascii="Arial" w:cs="Arial" w:eastAsia="Arial" w:hAnsi="Arial"/>
                <w:sz w:val="17"/>
                <w:szCs w:val="17"/>
                <w:b w:val="1"/>
                <w:bCs w:val="1"/>
                <w:color w:val="auto"/>
              </w:rPr>
              <w:t>Effective interest held as at</w:t>
            </w:r>
          </w:p>
        </w:tc>
      </w:tr>
      <w:tr>
        <w:trPr>
          <w:trHeight w:val="226"/>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Name of subsidiaries</w:t>
            </w:r>
          </w:p>
        </w:tc>
        <w:tc>
          <w:tcPr>
            <w:tcW w:w="3580" w:type="dxa"/>
            <w:vAlign w:val="bottom"/>
            <w:tcBorders>
              <w:bottom w:val="single" w:sz="8" w:color="auto"/>
            </w:tcBorders>
          </w:tcPr>
          <w:p>
            <w:pPr>
              <w:ind w:left="560"/>
              <w:spacing w:after="0"/>
              <w:rPr>
                <w:sz w:val="20"/>
                <w:szCs w:val="20"/>
                <w:color w:val="auto"/>
              </w:rPr>
            </w:pPr>
            <w:r>
              <w:rPr>
                <w:rFonts w:ascii="Arial" w:cs="Arial" w:eastAsia="Arial" w:hAnsi="Arial"/>
                <w:sz w:val="17"/>
                <w:szCs w:val="17"/>
                <w:b w:val="1"/>
                <w:bCs w:val="1"/>
                <w:color w:val="auto"/>
              </w:rPr>
              <w:t>Place and date of incorporation</w:t>
            </w:r>
          </w:p>
        </w:tc>
        <w:tc>
          <w:tcPr>
            <w:tcW w:w="350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7"/>
                <w:szCs w:val="17"/>
                <w:b w:val="1"/>
                <w:bCs w:val="1"/>
                <w:color w:val="auto"/>
              </w:rPr>
              <w:t>June 30, 2021   December 31, 2020</w:t>
            </w: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ACM Research (Shanghai), Inc.</w:t>
            </w:r>
          </w:p>
        </w:tc>
        <w:tc>
          <w:tcPr>
            <w:tcW w:w="35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PRC, May 2005</w:t>
            </w:r>
          </w:p>
        </w:tc>
        <w:tc>
          <w:tcPr>
            <w:tcW w:w="242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rPr>
              <w:t>91.7%</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91.7%</w:t>
            </w:r>
          </w:p>
        </w:tc>
      </w:tr>
      <w:tr>
        <w:trPr>
          <w:trHeight w:val="204"/>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ACM Research (Wuxi), Inc.</w:t>
            </w:r>
          </w:p>
        </w:tc>
        <w:tc>
          <w:tcPr>
            <w:tcW w:w="3580" w:type="dxa"/>
            <w:vAlign w:val="bottom"/>
          </w:tcPr>
          <w:p>
            <w:pPr>
              <w:ind w:left="560"/>
              <w:spacing w:after="0"/>
              <w:rPr>
                <w:sz w:val="20"/>
                <w:szCs w:val="20"/>
                <w:color w:val="auto"/>
              </w:rPr>
            </w:pPr>
            <w:r>
              <w:rPr>
                <w:rFonts w:ascii="Arial" w:cs="Arial" w:eastAsia="Arial" w:hAnsi="Arial"/>
                <w:sz w:val="17"/>
                <w:szCs w:val="17"/>
                <w:color w:val="auto"/>
              </w:rPr>
              <w:t>PRC, July 2011</w:t>
            </w:r>
          </w:p>
        </w:tc>
        <w:tc>
          <w:tcPr>
            <w:tcW w:w="2420" w:type="dxa"/>
            <w:vAlign w:val="bottom"/>
          </w:tcPr>
          <w:p>
            <w:pPr>
              <w:jc w:val="right"/>
              <w:ind w:right="455"/>
              <w:spacing w:after="0"/>
              <w:rPr>
                <w:sz w:val="20"/>
                <w:szCs w:val="20"/>
                <w:color w:val="auto"/>
              </w:rPr>
            </w:pPr>
            <w:r>
              <w:rPr>
                <w:rFonts w:ascii="Arial" w:cs="Arial" w:eastAsia="Arial" w:hAnsi="Arial"/>
                <w:sz w:val="17"/>
                <w:szCs w:val="17"/>
                <w:color w:val="auto"/>
              </w:rPr>
              <w:t>91.7%</w:t>
            </w:r>
          </w:p>
        </w:tc>
        <w:tc>
          <w:tcPr>
            <w:tcW w:w="1080" w:type="dxa"/>
            <w:vAlign w:val="bottom"/>
          </w:tcPr>
          <w:p>
            <w:pPr>
              <w:jc w:val="right"/>
              <w:spacing w:after="0"/>
              <w:rPr>
                <w:sz w:val="20"/>
                <w:szCs w:val="20"/>
                <w:color w:val="auto"/>
              </w:rPr>
            </w:pPr>
            <w:r>
              <w:rPr>
                <w:rFonts w:ascii="Arial" w:cs="Arial" w:eastAsia="Arial" w:hAnsi="Arial"/>
                <w:sz w:val="17"/>
                <w:szCs w:val="17"/>
                <w:color w:val="0D0D0D"/>
              </w:rPr>
              <w:t>91.7%</w:t>
            </w: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CleanChip Technologies Limited</w:t>
            </w:r>
          </w:p>
        </w:tc>
        <w:tc>
          <w:tcPr>
            <w:tcW w:w="35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Hong Kong, June 2017</w:t>
            </w:r>
          </w:p>
        </w:tc>
        <w:tc>
          <w:tcPr>
            <w:tcW w:w="242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rPr>
              <w:t>91.7%</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91.7%</w:t>
            </w:r>
          </w:p>
        </w:tc>
      </w:tr>
      <w:tr>
        <w:trPr>
          <w:trHeight w:val="204"/>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ACM Research Korea CO., LTD.</w:t>
            </w:r>
          </w:p>
        </w:tc>
        <w:tc>
          <w:tcPr>
            <w:tcW w:w="3580" w:type="dxa"/>
            <w:vAlign w:val="bottom"/>
          </w:tcPr>
          <w:p>
            <w:pPr>
              <w:ind w:left="560"/>
              <w:spacing w:after="0"/>
              <w:rPr>
                <w:sz w:val="20"/>
                <w:szCs w:val="20"/>
                <w:color w:val="auto"/>
              </w:rPr>
            </w:pPr>
            <w:r>
              <w:rPr>
                <w:rFonts w:ascii="Arial" w:cs="Arial" w:eastAsia="Arial" w:hAnsi="Arial"/>
                <w:sz w:val="17"/>
                <w:szCs w:val="17"/>
                <w:color w:val="auto"/>
              </w:rPr>
              <w:t>Korea, December 2017</w:t>
            </w:r>
          </w:p>
        </w:tc>
        <w:tc>
          <w:tcPr>
            <w:tcW w:w="2420" w:type="dxa"/>
            <w:vAlign w:val="bottom"/>
          </w:tcPr>
          <w:p>
            <w:pPr>
              <w:jc w:val="right"/>
              <w:ind w:right="455"/>
              <w:spacing w:after="0"/>
              <w:rPr>
                <w:sz w:val="20"/>
                <w:szCs w:val="20"/>
                <w:color w:val="auto"/>
              </w:rPr>
            </w:pPr>
            <w:r>
              <w:rPr>
                <w:rFonts w:ascii="Arial" w:cs="Arial" w:eastAsia="Arial" w:hAnsi="Arial"/>
                <w:sz w:val="17"/>
                <w:szCs w:val="17"/>
                <w:color w:val="auto"/>
              </w:rPr>
              <w:t>91.7%</w:t>
            </w:r>
          </w:p>
        </w:tc>
        <w:tc>
          <w:tcPr>
            <w:tcW w:w="1080" w:type="dxa"/>
            <w:vAlign w:val="bottom"/>
          </w:tcPr>
          <w:p>
            <w:pPr>
              <w:jc w:val="right"/>
              <w:spacing w:after="0"/>
              <w:rPr>
                <w:sz w:val="20"/>
                <w:szCs w:val="20"/>
                <w:color w:val="auto"/>
              </w:rPr>
            </w:pPr>
            <w:r>
              <w:rPr>
                <w:rFonts w:ascii="Arial" w:cs="Arial" w:eastAsia="Arial" w:hAnsi="Arial"/>
                <w:sz w:val="17"/>
                <w:szCs w:val="17"/>
                <w:color w:val="0D0D0D"/>
              </w:rPr>
              <w:t>91.7%</w:t>
            </w: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Shengwei Research (Shanghai), Inc.</w:t>
            </w:r>
          </w:p>
        </w:tc>
        <w:tc>
          <w:tcPr>
            <w:tcW w:w="35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PRC, March 2019</w:t>
            </w:r>
          </w:p>
        </w:tc>
        <w:tc>
          <w:tcPr>
            <w:tcW w:w="242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rPr>
              <w:t>91.7%</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91.7%</w:t>
            </w:r>
          </w:p>
        </w:tc>
      </w:tr>
      <w:tr>
        <w:trPr>
          <w:trHeight w:val="204"/>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ACM Research (CA), Inc.</w:t>
            </w:r>
          </w:p>
        </w:tc>
        <w:tc>
          <w:tcPr>
            <w:tcW w:w="3580" w:type="dxa"/>
            <w:vAlign w:val="bottom"/>
          </w:tcPr>
          <w:p>
            <w:pPr>
              <w:ind w:left="560"/>
              <w:spacing w:after="0"/>
              <w:rPr>
                <w:sz w:val="20"/>
                <w:szCs w:val="20"/>
                <w:color w:val="auto"/>
              </w:rPr>
            </w:pPr>
            <w:r>
              <w:rPr>
                <w:rFonts w:ascii="Arial" w:cs="Arial" w:eastAsia="Arial" w:hAnsi="Arial"/>
                <w:sz w:val="17"/>
                <w:szCs w:val="17"/>
                <w:color w:val="auto"/>
              </w:rPr>
              <w:t>USA, April 2019</w:t>
            </w:r>
          </w:p>
        </w:tc>
        <w:tc>
          <w:tcPr>
            <w:tcW w:w="2420" w:type="dxa"/>
            <w:vAlign w:val="bottom"/>
          </w:tcPr>
          <w:p>
            <w:pPr>
              <w:jc w:val="right"/>
              <w:ind w:right="455"/>
              <w:spacing w:after="0"/>
              <w:rPr>
                <w:sz w:val="20"/>
                <w:szCs w:val="20"/>
                <w:color w:val="auto"/>
              </w:rPr>
            </w:pPr>
            <w:r>
              <w:rPr>
                <w:rFonts w:ascii="Arial" w:cs="Arial" w:eastAsia="Arial" w:hAnsi="Arial"/>
                <w:sz w:val="17"/>
                <w:szCs w:val="17"/>
                <w:color w:val="auto"/>
              </w:rPr>
              <w:t>91.7%</w:t>
            </w:r>
          </w:p>
        </w:tc>
        <w:tc>
          <w:tcPr>
            <w:tcW w:w="1080" w:type="dxa"/>
            <w:vAlign w:val="bottom"/>
          </w:tcPr>
          <w:p>
            <w:pPr>
              <w:jc w:val="right"/>
              <w:spacing w:after="0"/>
              <w:rPr>
                <w:sz w:val="20"/>
                <w:szCs w:val="20"/>
                <w:color w:val="auto"/>
              </w:rPr>
            </w:pPr>
            <w:r>
              <w:rPr>
                <w:rFonts w:ascii="Arial" w:cs="Arial" w:eastAsia="Arial" w:hAnsi="Arial"/>
                <w:sz w:val="17"/>
                <w:szCs w:val="17"/>
                <w:color w:val="0D0D0D"/>
              </w:rPr>
              <w:t>91.7%</w:t>
            </w: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ACM Research (Cayman), Inc.</w:t>
            </w:r>
          </w:p>
        </w:tc>
        <w:tc>
          <w:tcPr>
            <w:tcW w:w="35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Cayman Islands, April 2019</w:t>
            </w:r>
          </w:p>
        </w:tc>
        <w:tc>
          <w:tcPr>
            <w:tcW w:w="242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rPr>
              <w:t>100.0%</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100.0%</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 and Principles of Consolidation</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Company’s condensed consolidated financial statements include the accounts of ACM and its subsidiaries, including ACM Shanghai and its subsidiaries, which include ACM Wuxi, ACM Shengwei and CleanChip (the subsidiaries of which include ACM California and ACM Korea). ACM’s subsidiaries are those entities in which ACM, directly or indirectly, controls a majority of the voting power. All significant intercompany transactions and balances have been eliminated upon consolidation.</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Securities and Exchange Commission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2020 included in ACM’s Annual Report on Form 10-K for the year ended December 31, 2020.</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accompanying condensed consolidated balance sheet as of June 30, 2021, condensed consolidated statements of operations and comprehensive income for the three and six months ended June 30, 2021 and 2020, condensed consolidated statements of changes in stockholders’ equity for the three and six months ended June 30, 2021 and 2020, and condensed consolidated statements of cash flows for the six months ended June 30, 2021 and 2020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June 30, 2021 and the results of operations for the three and six months ended June 30, 2021 are not necessarily indicative of the results to be expected for any future period.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COVID-19 Assessment</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outbreak of COVID-19, the coronavirus, has grown both in the United States and globally, and related government and private sector responsive actions have adversely affected the Company’s business operations. In December 2019 a series of emergency quarantine measures taken by the PRC government disrupted domestic business activities during the weeks after the initial outbreak of COVID-19. Since that time, an increasing number of countries, including the United States, have imposed restrictions on travel to and from the PRC and elsewhere, as well as general movement restrictions, business closures and other measures imposed to slow the spread of COVID-19 and its variants. The situation continues to develop, and it is impossible to predict the effect and ultimate impact of the COVID-19 outbreak on the Company’s business operations and results. While the quarantine, social distancing and other regulatory measures instituted or recommended in response to COVID-19 are expected to be temporary, the duration of the business disruptions and related financial impact cannot be estimated at this time. The COVID-19 outbreak has been declared a worldwide health pandemic that could adversely affect the economies and financial markets of many countries, resulting in an economic downturn and changes in global economic policy that could reduce demand for the Company’s products and its customers’ chips and have a material adverse impact on the Company’s business, operating results and financial condition. Through June 30, 2021 the Company had not experienced a significant negative impact of COVID-19 on its operations, capital and financial resources, including overall liquidity position. The Company continues to monitor the impact of the COVID-19 pandemic on all aspects of its business.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Company conducts substantially all of its product development, manufacturing, support and services in the PRC, and those activities have been directly impacted by the COVID-19 outbreak and related restrictions on transportation and public appearances. In February 2020 ACM Shanghai’s headquarters were closed for an additional six days beyond the normal Lunar New Year Holiday in accordance with Shanghai government restrictions related to the outbreak. The Company cannot assure that further closures or reductions of its PRC operations or production may not be necessary in upcoming months as the result of business interruptions arising from protective measures being taken by the PRC and other governmental agencies or of other consequences of the COVID-19 outbreak.</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Company’s corporate headquarters are located in Alameda County in the San Francisco Bay Area of California. In order to attempt to mitigate the COVID-19 pandemic, in March 2020 (a) the State of California declared a state of emergency related to the spread of COVID-19, (b) the San Francisco Department of Public Health announced aggressive recommendations to reduce the spread of the virus, (c) the health officers of six San Francisco Bay Area counties, including Alameda County, issued shelter-in-place orders, which (i) direct all individuals living in those counties to shelter at their places of residence (subject to limited exceptions), (ii) direct all businesses and governmental agencies to cease non-essential operations at physical locations in those counties, (iii) prohibit all non-essential gatherings of any number of individuals, (iv) order cessation of all non-essential travel, and (d) the Governor of California and the State Public Health Officer and Director of the California Department of Public Health ordered all individuals living in the State of California to stay at their place of residence for an indefinite period of time (subject to limited exceptions). The effects of these types of actions in the future may negatively impact productivity, disrupt the business of the Company and delay timelines, the magnitude of which will depend, in part, on the length and severity of the restrictions and other limitations on the Company’s ability to conduct its business in the ordinary course.</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prolonged and broad-based shift to a remote working environment continues to create inherent productivity, connectivity, and oversight challenges and could affect our ability to enhance, develop and support existing products and services, detect and prevent spam and problematic content, hold product sales and marketing events, and generate new sales leads, among others. In addition, the changed environment under which the Company is operating could have an effect on its internal controls over financial reporting as well as the Company’s ability to meet a number of its compliance requirements in a timely or quality manner. Additional and/or extended, governmental lockdowns, restrictions or new regulations could significantly impact the ability of our employees and vendors to work productively. Governmental restrictions have been globally inconsistent and it remains unclear when a return to worksite locations or travel will be permitted or what restrictions will be in place in those environments. As the Company continues to return its workforce in more office locations in 2021, it may experience increased costs as it prepares its facilities for a safe return to work environment and experiment with hybrid work models, in addition to potential effects on its ability to compete effectively and maintain its corporate culture.</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Extended periods of interruption to the Company’s corporate, development or manufacturing facilities due to the COVID-19 outbreak could cause the Company to lose revenue and market share, which would depress its financial performance and could be difficult to recapture. The Company’s business may also be harmed if travel to or from the PRC or the United States continues to be restricted or inadvisable or if members of management and other employees are absent because they contract the coronavirus, they elect not to come to work due to the illness affecting others in the Company’s office or laboratory facilities, or they are subject to quarantines or other governmentally imposed restrictions.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37"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The preparation of the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the valuation and recognition of fair value of trading securities,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Management evaluates these estimates and assumptions on a regular basis. Actual results could differ from those estimates and assumptions.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Basic and Diluted Net Income per Common Share</w:t>
            </w:r>
          </w:p>
        </w:tc>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5980" w:type="dxa"/>
            <w:vAlign w:val="bottom"/>
            <w:gridSpan w:val="3"/>
          </w:tcPr>
          <w:p>
            <w:pPr>
              <w:spacing w:after="0"/>
              <w:rPr>
                <w:sz w:val="20"/>
                <w:szCs w:val="20"/>
                <w:color w:val="auto"/>
              </w:rPr>
            </w:pPr>
            <w:r>
              <w:rPr>
                <w:rFonts w:ascii="Arial" w:cs="Arial" w:eastAsia="Arial" w:hAnsi="Arial"/>
                <w:sz w:val="17"/>
                <w:szCs w:val="17"/>
                <w:color w:val="auto"/>
              </w:rPr>
              <w:t>Basic and diluted net income per common share are calculated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5"/>
          </w:tcPr>
          <w:p>
            <w:pPr>
              <w:jc w:val="right"/>
              <w:ind w:right="300"/>
              <w:spacing w:after="0"/>
              <w:rPr>
                <w:sz w:val="20"/>
                <w:szCs w:val="20"/>
                <w:color w:val="auto"/>
              </w:rPr>
            </w:pPr>
            <w:r>
              <w:rPr>
                <w:rFonts w:ascii="Arial" w:cs="Arial" w:eastAsia="Arial" w:hAnsi="Arial"/>
                <w:sz w:val="17"/>
                <w:szCs w:val="17"/>
                <w:b w:val="1"/>
                <w:bCs w:val="1"/>
                <w:color w:val="auto"/>
                <w:w w:val="91"/>
              </w:rPr>
              <w:t>Three Months Ended 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right"/>
              <w:ind w:right="320"/>
              <w:spacing w:after="0"/>
              <w:rPr>
                <w:sz w:val="20"/>
                <w:szCs w:val="20"/>
                <w:color w:val="auto"/>
              </w:rPr>
            </w:pPr>
            <w:r>
              <w:rPr>
                <w:rFonts w:ascii="Arial" w:cs="Arial" w:eastAsia="Arial" w:hAnsi="Arial"/>
                <w:sz w:val="17"/>
                <w:szCs w:val="17"/>
                <w:b w:val="1"/>
                <w:bCs w:val="1"/>
                <w:color w:val="auto"/>
                <w:w w:val="92"/>
              </w:rPr>
              <w:t>Six Months Ended 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gridSpan w:val="3"/>
          </w:tcPr>
          <w:p>
            <w:pPr>
              <w:spacing w:after="0"/>
              <w:rPr>
                <w:sz w:val="20"/>
                <w:szCs w:val="20"/>
                <w:color w:val="auto"/>
              </w:rPr>
            </w:pPr>
            <w:r>
              <w:rPr>
                <w:rFonts w:ascii="Arial" w:cs="Arial" w:eastAsia="Arial" w:hAnsi="Arial"/>
                <w:sz w:val="17"/>
                <w:szCs w:val="17"/>
                <w:color w:val="auto"/>
              </w:rPr>
              <w:t>Numerator: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496</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13,156</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2,459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gridSpan w:val="2"/>
          </w:tcPr>
          <w:p>
            <w:pPr>
              <w:ind w:left="100"/>
              <w:spacing w:after="0" w:line="191" w:lineRule="exact"/>
              <w:rPr>
                <w:sz w:val="20"/>
                <w:szCs w:val="20"/>
                <w:color w:val="auto"/>
              </w:rPr>
            </w:pPr>
            <w:r>
              <w:rPr>
                <w:rFonts w:ascii="Arial" w:cs="Arial" w:eastAsia="Arial" w:hAnsi="Arial"/>
                <w:sz w:val="17"/>
                <w:szCs w:val="17"/>
                <w:color w:val="auto"/>
                <w:w w:val="98"/>
              </w:rPr>
              <w:t>Less: Net income attributable to non-controlling interests and redeemable non-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gridSpan w:val="2"/>
          </w:tcPr>
          <w:p>
            <w:pPr>
              <w:ind w:left="220"/>
              <w:spacing w:after="0"/>
              <w:rPr>
                <w:sz w:val="20"/>
                <w:szCs w:val="20"/>
                <w:color w:val="auto"/>
              </w:rPr>
            </w:pPr>
            <w:r>
              <w:rPr>
                <w:rFonts w:ascii="Arial" w:cs="Arial" w:eastAsia="Arial" w:hAnsi="Arial"/>
                <w:sz w:val="17"/>
                <w:szCs w:val="17"/>
                <w:color w:val="auto"/>
              </w:rPr>
              <w:t>controlling interests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767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1,119</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835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income (loss) available to common stockholders, basic and 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6,567</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4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outstanding, basic</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19,123,659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18,050,841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18,956,195</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18,085,602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gridSpan w:val="2"/>
          </w:tcPr>
          <w:p>
            <w:pPr>
              <w:ind w:left="100"/>
              <w:spacing w:after="0"/>
              <w:rPr>
                <w:sz w:val="20"/>
                <w:szCs w:val="20"/>
                <w:color w:val="auto"/>
              </w:rPr>
            </w:pPr>
            <w:r>
              <w:rPr>
                <w:rFonts w:ascii="Arial" w:cs="Arial" w:eastAsia="Arial" w:hAnsi="Arial"/>
                <w:sz w:val="17"/>
                <w:szCs w:val="17"/>
                <w:color w:val="auto"/>
              </w:rPr>
              <w:t>Effect of dilutive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2,684,085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3,465,334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2,723,333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3,111,601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Weighted average shares outstanding, diluted</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21,807,744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21,516,175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21,679,528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21,197,203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4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(loss) per common share: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tcPr>
          <w:p>
            <w:pPr>
              <w:ind w:left="100"/>
              <w:spacing w:after="0"/>
              <w:rPr>
                <w:sz w:val="20"/>
                <w:szCs w:val="20"/>
                <w:color w:val="auto"/>
              </w:rPr>
            </w:pPr>
            <w:r>
              <w:rPr>
                <w:rFonts w:ascii="Arial" w:cs="Arial" w:eastAsia="Arial" w:hAnsi="Arial"/>
                <w:sz w:val="17"/>
                <w:szCs w:val="17"/>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0.34</w:t>
            </w:r>
          </w:p>
        </w:tc>
        <w:tc>
          <w:tcPr>
            <w:tcW w:w="24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(0.00)</w:t>
            </w:r>
          </w:p>
        </w:tc>
        <w:tc>
          <w:tcPr>
            <w:tcW w:w="24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0.63</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0.56</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three and six months ended June 30, 2021 and 2020, the net income per common share attributable to each class is the same under the “two-class” method. As such, the two classes of common stock have been presented on a combined basis in the condensed consolidated statements of operations and comprehensive income and in the above computation of net income per common share.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Diluted net income per common share reflects the potential dilution from securities, including stock options and issued warrants, that could share in ACM’s earnings. Certain potential dilutive securities were excluded from the net income per share calculation because the impact would be anti-dilutive. ACM’s potential dilutive securities consist of warrants and stock options for the three and six months ended June 30, 2021 and 2020.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Concentration of Credit Risk</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Financial instruments that potentially subject the Company to credit risk consist principally of cash and cash equivalents, restricted cash and accounts receivable.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Company deposits and invests its cash with financial institutions that management believes are creditworthy.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is potentially subject to concentrations of credit risks in its accounts receivable. For the six months ended June 30, 2021 and 2020, the Company’s three largest customers accounted for 67.1% and 92.4%, respectively, of revenue. For the three months ended June 30, 2021 and 2020, the Company’s three largest customers accounted for 81.2% and 91.0%, respectively, of revenue. As of June 30, 2021 and December 31, 2020, the Company’s three largest customers accounted for 67.1% and 75.8%, respectively, of the Company’s accounts receivables. The Company believes that the receivable balances from these largest customers do not represent a significant credit risk based on past collection experience.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In December 2019, the Financial Accounting Standards Board (the “FASB”) issued Accounting Standards Update (“ASU”) No.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ASU 2019-12 simplifies the accounting for income taxes by removing certain exceptions to the general principles in</w:t>
      </w:r>
      <w:r>
        <w:rPr>
          <w:rFonts w:ascii="Arial" w:cs="Arial" w:eastAsia="Arial" w:hAnsi="Arial"/>
          <w:sz w:val="17"/>
          <w:szCs w:val="17"/>
          <w:i w:val="1"/>
          <w:iCs w:val="1"/>
          <w:color w:val="auto"/>
        </w:rPr>
        <w:t xml:space="preserve"> </w:t>
      </w:r>
      <w:r>
        <w:rPr>
          <w:rFonts w:ascii="Arial" w:cs="Arial" w:eastAsia="Arial" w:hAnsi="Arial"/>
          <w:sz w:val="17"/>
          <w:szCs w:val="17"/>
          <w:color w:val="auto"/>
        </w:rPr>
        <w:t>Topic 740. It also improves consistent application of and simplifies GAAP for other areas of Topic 740 by clarifying and amending existing guidance. The Company adopted ASU 2019-12 on January 1, 2021. The adoption of ASU 2019-12 did not have a material impact on the Company’s condensed consolidated financial statements.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March 2020, the FASB issued ASU No. 2020-04, Reference Rate Reform (Topic 848): Facilitation of the Effects of Reference Rate Reform on Financial Reporting. ASU 2020-04 provide optional expedients and exceptions for applying GAAP to contracts, hedging relationships, and other transactions affected by reference rate reform. The Company adopted ASU 2020-04 on January 1, 2021. The adoption of ASU 2020-04 did not have a material impact on the Company’s condensed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ASU 2016-13 replaced the pre-existing incurred loss impairment methodology with a 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In October 2019, the FASB issued ASU 2019-10, </w:t>
      </w:r>
      <w:r>
        <w:rPr>
          <w:rFonts w:ascii="Arial" w:cs="Arial" w:eastAsia="Arial" w:hAnsi="Arial"/>
          <w:sz w:val="17"/>
          <w:szCs w:val="17"/>
          <w:i w:val="1"/>
          <w:iCs w:val="1"/>
          <w:color w:val="auto"/>
        </w:rPr>
        <w:t>Financial Instruments – Credit Losses (Topic 326), Derivatives and Hedging (Topic 815) and Leases (Topic 842)</w:t>
      </w:r>
      <w:r>
        <w:rPr>
          <w:rFonts w:ascii="Arial" w:cs="Arial" w:eastAsia="Arial" w:hAnsi="Arial"/>
          <w:sz w:val="17"/>
          <w:szCs w:val="17"/>
          <w:color w:val="auto"/>
        </w:rPr>
        <w:t>, which defers the effective date for public filers that are considered small reporting companies (“SRC”) as defined by the U.S. Securities and Exchange Commission (“SEC”) to fiscal years beginning after December 15, 2022, including interim periods within those fiscal years. Since the Company was eligible to be an SRC based on its SRC determination as of November 15, 2019 (which is the issuance date of ASU 2019-10) in accordance with SEC regulations, the Company will adopt the standards for the year beginning January 1, 2023. Adoption of the standard requires using a modified retrospective approach through a cumulative-effect adjustment to retained earnings as of the effective date to align existing credit loss methodology with the new standard. The Company is evaluating the impact of this standard on its consolidated financial statements, including accounting policies, processes and systems and expects the standard will have a minor impact on its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FROM CONTRACTS WITH CUSTOMERS</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assesses revenues based upon the nature or type of goods or services it provides and the geographic location of the related businesses. The following tables present disaggregated revenue information:</w:t>
      </w:r>
    </w:p>
    <w:p>
      <w:pPr>
        <w:spacing w:after="0" w:line="186" w:lineRule="exact"/>
        <w:rPr>
          <w:sz w:val="20"/>
          <w:szCs w:val="20"/>
          <w:color w:val="auto"/>
        </w:rPr>
      </w:pPr>
    </w:p>
    <w:tbl>
      <w:tblPr>
        <w:tblLayout w:type="fixed"/>
        <w:tblInd w:w="56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w w:val="90"/>
              </w:rPr>
              <w:t>Three Months Ended June 30,</w:t>
            </w:r>
          </w:p>
        </w:tc>
        <w:tc>
          <w:tcPr>
            <w:tcW w:w="200" w:type="dxa"/>
            <w:vAlign w:val="bottom"/>
          </w:tcPr>
          <w:p>
            <w:pPr>
              <w:spacing w:after="0"/>
              <w:rPr>
                <w:sz w:val="19"/>
                <w:szCs w:val="19"/>
                <w:color w:val="auto"/>
              </w:rPr>
            </w:pPr>
          </w:p>
        </w:tc>
        <w:tc>
          <w:tcPr>
            <w:tcW w:w="2220" w:type="dxa"/>
            <w:vAlign w:val="bottom"/>
            <w:tcBorders>
              <w:bottom w:val="single" w:sz="8" w:color="auto"/>
            </w:tcBorders>
            <w:gridSpan w:val="5"/>
          </w:tcPr>
          <w:p>
            <w:pPr>
              <w:jc w:val="right"/>
              <w:ind w:right="115"/>
              <w:spacing w:after="0"/>
              <w:rPr>
                <w:sz w:val="20"/>
                <w:szCs w:val="20"/>
                <w:color w:val="auto"/>
              </w:rPr>
            </w:pPr>
            <w:r>
              <w:rPr>
                <w:rFonts w:ascii="Arial" w:cs="Arial" w:eastAsia="Arial" w:hAnsi="Arial"/>
                <w:sz w:val="17"/>
                <w:szCs w:val="17"/>
                <w:b w:val="1"/>
                <w:bCs w:val="1"/>
                <w:color w:val="auto"/>
                <w:w w:val="90"/>
              </w:rPr>
              <w:t>Six Months Ended June 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Single Wafer Cleaning, Tahoe and Semi-Critical Cleaning Equipment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45,461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77,874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ECP (front-end and packaging), Furnace and Other Technologies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4,490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5,550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Advanced Packaging (excluding ECP), Services &amp; Spares</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8,403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14,172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b w:val="1"/>
                <w:bCs w:val="1"/>
                <w:color w:val="auto"/>
              </w:rPr>
              <w:t>Total Revenue By Product Category</w:t>
            </w:r>
          </w:p>
        </w:tc>
        <w:tc>
          <w:tcPr>
            <w:tcW w:w="220" w:type="dxa"/>
            <w:vAlign w:val="bottom"/>
            <w:gridSpan w:val="2"/>
          </w:tcPr>
          <w:p>
            <w:pPr>
              <w:jc w:val="right"/>
              <w:ind w:right="41"/>
              <w:spacing w:after="0"/>
              <w:rPr>
                <w:sz w:val="20"/>
                <w:szCs w:val="20"/>
                <w:color w:val="auto"/>
              </w:rPr>
            </w:pPr>
            <w:r>
              <w:rPr>
                <w:rFonts w:ascii="Arial" w:cs="Arial" w:eastAsia="Arial" w:hAnsi="Arial"/>
                <w:sz w:val="17"/>
                <w:szCs w:val="17"/>
                <w:b w:val="1"/>
                <w:bCs w:val="1"/>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53,864</w:t>
            </w:r>
          </w:p>
        </w:tc>
        <w:tc>
          <w:tcPr>
            <w:tcW w:w="400" w:type="dxa"/>
            <w:vAlign w:val="bottom"/>
            <w:gridSpan w:val="2"/>
          </w:tcPr>
          <w:p>
            <w:pPr>
              <w:jc w:val="right"/>
              <w:ind w:right="46"/>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39,049</w:t>
            </w:r>
          </w:p>
        </w:tc>
        <w:tc>
          <w:tcPr>
            <w:tcW w:w="360" w:type="dxa"/>
            <w:vAlign w:val="bottom"/>
            <w:gridSpan w:val="2"/>
          </w:tcPr>
          <w:p>
            <w:pPr>
              <w:jc w:val="right"/>
              <w:ind w:right="1"/>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97,596</w:t>
            </w:r>
          </w:p>
        </w:tc>
        <w:tc>
          <w:tcPr>
            <w:tcW w:w="360" w:type="dxa"/>
            <w:vAlign w:val="bottom"/>
            <w:gridSpan w:val="2"/>
          </w:tcPr>
          <w:p>
            <w:pPr>
              <w:jc w:val="right"/>
              <w:ind w:right="6"/>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63,397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Wet cleaning and other front-end processing tools</w:t>
            </w:r>
          </w:p>
        </w:tc>
        <w:tc>
          <w:tcPr>
            <w:tcW w:w="220" w:type="dxa"/>
            <w:vAlign w:val="bottom"/>
            <w:gridSpan w:val="2"/>
          </w:tcPr>
          <w:p>
            <w:pPr>
              <w:jc w:val="right"/>
              <w:ind w:right="41"/>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45,974</w:t>
            </w:r>
          </w:p>
        </w:tc>
        <w:tc>
          <w:tcPr>
            <w:tcW w:w="40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37,830</w:t>
            </w:r>
          </w:p>
        </w:tc>
        <w:tc>
          <w:tcPr>
            <w:tcW w:w="360" w:type="dxa"/>
            <w:vAlign w:val="bottom"/>
            <w:gridSpan w:val="2"/>
          </w:tcPr>
          <w:p>
            <w:pPr>
              <w:jc w:val="right"/>
              <w:ind w:right="1"/>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77,874</w:t>
            </w:r>
          </w:p>
        </w:tc>
        <w:tc>
          <w:tcPr>
            <w:tcW w:w="36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60,614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Advanced packaging, other processing tools, services and spares</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7,890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b w:val="1"/>
                <w:bCs w:val="1"/>
                <w:color w:val="auto"/>
              </w:rPr>
              <w:t>Total Revenue Front-end and Back-End</w:t>
            </w:r>
          </w:p>
        </w:tc>
        <w:tc>
          <w:tcPr>
            <w:tcW w:w="220" w:type="dxa"/>
            <w:vAlign w:val="bottom"/>
            <w:gridSpan w:val="2"/>
          </w:tcPr>
          <w:p>
            <w:pPr>
              <w:jc w:val="right"/>
              <w:ind w:right="41"/>
              <w:spacing w:after="0"/>
              <w:rPr>
                <w:sz w:val="20"/>
                <w:szCs w:val="20"/>
                <w:color w:val="auto"/>
              </w:rPr>
            </w:pPr>
            <w:r>
              <w:rPr>
                <w:rFonts w:ascii="Arial" w:cs="Arial" w:eastAsia="Arial" w:hAnsi="Arial"/>
                <w:sz w:val="17"/>
                <w:szCs w:val="17"/>
                <w:b w:val="1"/>
                <w:bCs w:val="1"/>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53,864</w:t>
            </w:r>
          </w:p>
        </w:tc>
        <w:tc>
          <w:tcPr>
            <w:tcW w:w="400" w:type="dxa"/>
            <w:vAlign w:val="bottom"/>
            <w:gridSpan w:val="2"/>
          </w:tcPr>
          <w:p>
            <w:pPr>
              <w:jc w:val="right"/>
              <w:ind w:right="46"/>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39,049</w:t>
            </w:r>
          </w:p>
        </w:tc>
        <w:tc>
          <w:tcPr>
            <w:tcW w:w="360" w:type="dxa"/>
            <w:vAlign w:val="bottom"/>
            <w:gridSpan w:val="2"/>
          </w:tcPr>
          <w:p>
            <w:pPr>
              <w:jc w:val="right"/>
              <w:ind w:right="1"/>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97,596</w:t>
            </w:r>
          </w:p>
        </w:tc>
        <w:tc>
          <w:tcPr>
            <w:tcW w:w="360" w:type="dxa"/>
            <w:vAlign w:val="bottom"/>
            <w:gridSpan w:val="2"/>
          </w:tcPr>
          <w:p>
            <w:pPr>
              <w:jc w:val="right"/>
              <w:ind w:right="6"/>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63,397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w w:val="90"/>
              </w:rPr>
              <w:t>Three Months Ended June 30,</w:t>
            </w:r>
          </w:p>
        </w:tc>
        <w:tc>
          <w:tcPr>
            <w:tcW w:w="200" w:type="dxa"/>
            <w:vAlign w:val="bottom"/>
          </w:tcPr>
          <w:p>
            <w:pPr>
              <w:spacing w:after="0"/>
              <w:rPr>
                <w:sz w:val="24"/>
                <w:szCs w:val="24"/>
                <w:color w:val="auto"/>
              </w:rPr>
            </w:pPr>
          </w:p>
        </w:tc>
        <w:tc>
          <w:tcPr>
            <w:tcW w:w="2220" w:type="dxa"/>
            <w:vAlign w:val="bottom"/>
            <w:tcBorders>
              <w:bottom w:val="single" w:sz="8" w:color="auto"/>
            </w:tcBorders>
            <w:gridSpan w:val="5"/>
          </w:tcPr>
          <w:p>
            <w:pPr>
              <w:jc w:val="right"/>
              <w:ind w:right="115"/>
              <w:spacing w:after="0"/>
              <w:rPr>
                <w:sz w:val="20"/>
                <w:szCs w:val="20"/>
                <w:color w:val="auto"/>
              </w:rPr>
            </w:pPr>
            <w:r>
              <w:rPr>
                <w:rFonts w:ascii="Arial" w:cs="Arial" w:eastAsia="Arial" w:hAnsi="Arial"/>
                <w:sz w:val="17"/>
                <w:szCs w:val="17"/>
                <w:b w:val="1"/>
                <w:bCs w:val="1"/>
                <w:color w:val="auto"/>
                <w:w w:val="90"/>
              </w:rPr>
              <w:t>Six Months Ended June 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Mainland China</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53,736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39,004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97,432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63,293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Other Regions</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53,864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39,049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97,596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63,397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60" w:type="dxa"/>
            <w:vAlign w:val="bottom"/>
            <w:gridSpan w:val="2"/>
          </w:tcPr>
          <w:p>
            <w:pPr>
              <w:spacing w:after="0"/>
              <w:rPr>
                <w:sz w:val="20"/>
                <w:szCs w:val="20"/>
                <w:color w:val="auto"/>
              </w:rPr>
            </w:pPr>
            <w:r>
              <w:rPr>
                <w:rFonts w:ascii="Arial" w:cs="Arial" w:eastAsia="Arial" w:hAnsi="Arial"/>
                <w:sz w:val="17"/>
                <w:szCs w:val="17"/>
                <w:b w:val="1"/>
                <w:bCs w:val="1"/>
                <w:color w:val="auto"/>
              </w:rPr>
              <w:t>NOTE 4 – ACCOUNTS RECEIVABLE</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7"/>
        </w:trPr>
        <w:tc>
          <w:tcPr>
            <w:tcW w:w="7560" w:type="dxa"/>
            <w:vAlign w:val="bottom"/>
            <w:gridSpan w:val="2"/>
          </w:tcPr>
          <w:p>
            <w:pPr>
              <w:spacing w:after="0"/>
              <w:rPr>
                <w:sz w:val="20"/>
                <w:szCs w:val="20"/>
                <w:color w:val="auto"/>
              </w:rPr>
            </w:pPr>
            <w:r>
              <w:rPr>
                <w:rFonts w:ascii="Arial" w:cs="Arial" w:eastAsia="Arial" w:hAnsi="Arial"/>
                <w:sz w:val="17"/>
                <w:szCs w:val="17"/>
                <w:color w:val="auto"/>
              </w:rPr>
              <w:t>At June 30, 2021 and December 31, 2020 accounts receivable consisted of the following:</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7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b w:val="1"/>
                <w:bCs w:val="1"/>
                <w:color w:val="auto"/>
                <w:w w:val="88"/>
              </w:rPr>
              <w:t>June 30,</w:t>
            </w:r>
          </w:p>
        </w:tc>
        <w:tc>
          <w:tcPr>
            <w:tcW w:w="1200" w:type="dxa"/>
            <w:vAlign w:val="bottom"/>
            <w:gridSpan w:val="4"/>
          </w:tcPr>
          <w:p>
            <w:pPr>
              <w:ind w:left="140"/>
              <w:spacing w:after="0"/>
              <w:rPr>
                <w:sz w:val="20"/>
                <w:szCs w:val="20"/>
                <w:color w:val="auto"/>
              </w:rPr>
            </w:pPr>
            <w:r>
              <w:rPr>
                <w:rFonts w:ascii="Arial" w:cs="Arial" w:eastAsia="Arial" w:hAnsi="Arial"/>
                <w:sz w:val="17"/>
                <w:szCs w:val="17"/>
                <w:b w:val="1"/>
                <w:bCs w:val="1"/>
                <w:color w:val="auto"/>
                <w:w w:val="94"/>
              </w:rPr>
              <w:t>December 31,</w:t>
            </w:r>
          </w:p>
        </w:tc>
      </w:tr>
      <w:tr>
        <w:trPr>
          <w:trHeight w:val="226"/>
        </w:trPr>
        <w:tc>
          <w:tcPr>
            <w:tcW w:w="170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2021</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r>
      <w:tr>
        <w:trPr>
          <w:trHeight w:val="204"/>
        </w:trPr>
        <w:tc>
          <w:tcPr>
            <w:tcW w:w="170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71,357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56,441</w:t>
            </w:r>
          </w:p>
        </w:tc>
        <w:tc>
          <w:tcPr>
            <w:tcW w:w="80" w:type="dxa"/>
            <w:vAlign w:val="bottom"/>
            <w:shd w:val="clear" w:color="auto" w:fill="CCEEFF"/>
          </w:tcPr>
          <w:p>
            <w:pPr>
              <w:spacing w:after="0"/>
              <w:rPr>
                <w:sz w:val="17"/>
                <w:szCs w:val="17"/>
                <w:color w:val="auto"/>
              </w:rPr>
            </w:pPr>
          </w:p>
        </w:tc>
      </w:tr>
      <w:tr>
        <w:trPr>
          <w:trHeight w:val="209"/>
        </w:trPr>
        <w:tc>
          <w:tcPr>
            <w:tcW w:w="170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Less: Allowance for doubtful accounts</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44"/>
        </w:trPr>
        <w:tc>
          <w:tcPr>
            <w:tcW w:w="1700" w:type="dxa"/>
            <w:vAlign w:val="bottom"/>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71,357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56,441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reviews accounts receivable on a periodic basis and makes general and specific allowances when there is doubt as to the collectability of individual balances. No allowance for doubtful accounts was considered necessary at June 30, 2021 and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980" w:type="dxa"/>
            <w:vAlign w:val="bottom"/>
            <w:gridSpan w:val="2"/>
          </w:tcPr>
          <w:p>
            <w:pPr>
              <w:spacing w:after="0"/>
              <w:rPr>
                <w:sz w:val="20"/>
                <w:szCs w:val="20"/>
                <w:color w:val="auto"/>
              </w:rPr>
            </w:pPr>
            <w:r>
              <w:rPr>
                <w:rFonts w:ascii="Arial" w:cs="Arial" w:eastAsia="Arial" w:hAnsi="Arial"/>
                <w:sz w:val="17"/>
                <w:szCs w:val="17"/>
                <w:b w:val="1"/>
                <w:bCs w:val="1"/>
                <w:color w:val="auto"/>
              </w:rPr>
              <w:t>NOTE 5 – INVENTORIES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7"/>
        </w:trPr>
        <w:tc>
          <w:tcPr>
            <w:tcW w:w="7980" w:type="dxa"/>
            <w:vAlign w:val="bottom"/>
            <w:gridSpan w:val="2"/>
          </w:tcPr>
          <w:p>
            <w:pPr>
              <w:spacing w:after="0"/>
              <w:rPr>
                <w:sz w:val="20"/>
                <w:szCs w:val="20"/>
                <w:color w:val="auto"/>
              </w:rPr>
            </w:pPr>
            <w:r>
              <w:rPr>
                <w:rFonts w:ascii="Arial" w:cs="Arial" w:eastAsia="Arial" w:hAnsi="Arial"/>
                <w:sz w:val="17"/>
                <w:szCs w:val="17"/>
                <w:color w:val="auto"/>
              </w:rPr>
              <w:t>At June 30, 2021 and December 31, 2020 inventory consisted of the following:</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1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auto"/>
                <w:w w:val="88"/>
              </w:rPr>
              <w:t>June 30,</w:t>
            </w:r>
          </w:p>
        </w:tc>
        <w:tc>
          <w:tcPr>
            <w:tcW w:w="1240" w:type="dxa"/>
            <w:vAlign w:val="bottom"/>
            <w:gridSpan w:val="4"/>
          </w:tcPr>
          <w:p>
            <w:pPr>
              <w:ind w:left="160"/>
              <w:spacing w:after="0"/>
              <w:rPr>
                <w:sz w:val="20"/>
                <w:szCs w:val="20"/>
                <w:color w:val="auto"/>
              </w:rPr>
            </w:pPr>
            <w:r>
              <w:rPr>
                <w:rFonts w:ascii="Arial" w:cs="Arial" w:eastAsia="Arial" w:hAnsi="Arial"/>
                <w:sz w:val="17"/>
                <w:szCs w:val="17"/>
                <w:b w:val="1"/>
                <w:bCs w:val="1"/>
                <w:color w:val="auto"/>
                <w:w w:val="95"/>
              </w:rPr>
              <w:t>December 31,</w:t>
            </w:r>
          </w:p>
        </w:tc>
      </w:tr>
      <w:tr>
        <w:trPr>
          <w:trHeight w:val="226"/>
        </w:trPr>
        <w:tc>
          <w:tcPr>
            <w:tcW w:w="114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r>
      <w:tr>
        <w:trPr>
          <w:trHeight w:val="204"/>
        </w:trPr>
        <w:tc>
          <w:tcPr>
            <w:tcW w:w="114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48,801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32,391</w:t>
            </w:r>
          </w:p>
        </w:tc>
        <w:tc>
          <w:tcPr>
            <w:tcW w:w="80" w:type="dxa"/>
            <w:vAlign w:val="bottom"/>
            <w:shd w:val="clear" w:color="auto" w:fill="CCEEFF"/>
          </w:tcPr>
          <w:p>
            <w:pPr>
              <w:spacing w:after="0"/>
              <w:rPr>
                <w:sz w:val="17"/>
                <w:szCs w:val="17"/>
                <w:color w:val="auto"/>
              </w:rPr>
            </w:pPr>
          </w:p>
        </w:tc>
      </w:tr>
      <w:tr>
        <w:trPr>
          <w:trHeight w:val="204"/>
        </w:trPr>
        <w:tc>
          <w:tcPr>
            <w:tcW w:w="114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Work in process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24,084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23,871</w:t>
            </w:r>
          </w:p>
        </w:tc>
        <w:tc>
          <w:tcPr>
            <w:tcW w:w="80" w:type="dxa"/>
            <w:vAlign w:val="bottom"/>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63,967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32,377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4"/>
        </w:trPr>
        <w:tc>
          <w:tcPr>
            <w:tcW w:w="114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Total inventory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136,852</w:t>
            </w:r>
          </w:p>
        </w:tc>
        <w:tc>
          <w:tcPr>
            <w:tcW w:w="38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88,639</w:t>
            </w:r>
          </w:p>
        </w:tc>
        <w:tc>
          <w:tcPr>
            <w:tcW w:w="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At June 30, 2021 and December 31, 2020, the Company held an inventory reserve of $1,118 and $1,140, respectively. System shipments of first-tools to an existing or prospective customer, for which ownership does not transfer until customer acceptance, are classified as finished goods inventory and carried at cost until ownership is transferred.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360" w:type="dxa"/>
            <w:vAlign w:val="bottom"/>
            <w:gridSpan w:val="2"/>
          </w:tcPr>
          <w:p>
            <w:pPr>
              <w:spacing w:after="0"/>
              <w:rPr>
                <w:sz w:val="20"/>
                <w:szCs w:val="20"/>
                <w:color w:val="auto"/>
              </w:rPr>
            </w:pPr>
            <w:r>
              <w:rPr>
                <w:rFonts w:ascii="Arial" w:cs="Arial" w:eastAsia="Arial" w:hAnsi="Arial"/>
                <w:sz w:val="17"/>
                <w:szCs w:val="17"/>
                <w:b w:val="1"/>
                <w:bCs w:val="1"/>
                <w:color w:val="auto"/>
              </w:rPr>
              <w:t>NOTE 6 – PROPERTY, PLANT AND EQUIPMENT, NET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7"/>
        </w:trPr>
        <w:tc>
          <w:tcPr>
            <w:tcW w:w="8360" w:type="dxa"/>
            <w:vAlign w:val="bottom"/>
            <w:gridSpan w:val="2"/>
          </w:tcPr>
          <w:p>
            <w:pPr>
              <w:spacing w:after="0"/>
              <w:rPr>
                <w:sz w:val="20"/>
                <w:szCs w:val="20"/>
                <w:color w:val="auto"/>
              </w:rPr>
            </w:pPr>
            <w:r>
              <w:rPr>
                <w:rFonts w:ascii="Arial" w:cs="Arial" w:eastAsia="Arial" w:hAnsi="Arial"/>
                <w:sz w:val="17"/>
                <w:szCs w:val="17"/>
                <w:color w:val="auto"/>
              </w:rPr>
              <w:t>At June 30, 2021 and December 31, 2020, property, plant and equipment consisted of the following:</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5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6"/>
              </w:rPr>
              <w:t>June 30,</w:t>
            </w:r>
          </w:p>
        </w:tc>
        <w:tc>
          <w:tcPr>
            <w:tcW w:w="8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86"/>
              </w:rPr>
              <w:t>December 31,</w:t>
            </w:r>
          </w:p>
        </w:tc>
      </w:tr>
      <w:tr>
        <w:trPr>
          <w:trHeight w:val="226"/>
        </w:trPr>
        <w:tc>
          <w:tcPr>
            <w:tcW w:w="58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Manufacturing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74"/>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5,966</w:t>
            </w: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Office equipment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1,047</w:t>
            </w: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Transportation equipment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80" w:type="dxa"/>
            <w:vAlign w:val="bottom"/>
            <w:shd w:val="clear" w:color="auto" w:fill="CCEEFF"/>
          </w:tcPr>
          <w:p>
            <w:pPr>
              <w:spacing w:after="0"/>
              <w:rPr>
                <w:sz w:val="17"/>
                <w:szCs w:val="17"/>
                <w:color w:val="auto"/>
              </w:rPr>
            </w:pPr>
          </w:p>
        </w:tc>
      </w:tr>
      <w:tr>
        <w:trPr>
          <w:trHeight w:val="209"/>
        </w:trPr>
        <w:tc>
          <w:tcPr>
            <w:tcW w:w="5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Leasehold improvement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2,398</w:t>
            </w:r>
          </w:p>
        </w:tc>
        <w:tc>
          <w:tcPr>
            <w:tcW w:w="80" w:type="dxa"/>
            <w:vAlign w:val="bottom"/>
          </w:tcPr>
          <w:p>
            <w:pPr>
              <w:spacing w:after="0"/>
              <w:rPr>
                <w:sz w:val="18"/>
                <w:szCs w:val="18"/>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Total cost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9,627</w:t>
            </w: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Less: Total accumulated depreciation</w:t>
            </w:r>
          </w:p>
        </w:tc>
        <w:tc>
          <w:tcPr>
            <w:tcW w:w="1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(4,681)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(3,745)</w:t>
            </w:r>
          </w:p>
        </w:tc>
      </w:tr>
      <w:tr>
        <w:trPr>
          <w:trHeight w:val="209"/>
        </w:trPr>
        <w:tc>
          <w:tcPr>
            <w:tcW w:w="58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4"/>
        </w:trPr>
        <w:tc>
          <w:tcPr>
            <w:tcW w:w="58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Total property, plant and equipment, net</w:t>
            </w:r>
          </w:p>
        </w:tc>
        <w:tc>
          <w:tcPr>
            <w:tcW w:w="140" w:type="dxa"/>
            <w:vAlign w:val="bottom"/>
          </w:tcPr>
          <w:p>
            <w:pPr>
              <w:jc w:val="right"/>
              <w:spacing w:after="0"/>
              <w:rPr>
                <w:sz w:val="20"/>
                <w:szCs w:val="20"/>
                <w:color w:val="auto"/>
              </w:rPr>
            </w:pPr>
            <w:r>
              <w:rPr>
                <w:rFonts w:ascii="Arial" w:cs="Arial" w:eastAsia="Arial" w:hAnsi="Arial"/>
                <w:sz w:val="15"/>
                <w:szCs w:val="15"/>
                <w:color w:val="0D0D0D"/>
                <w:w w:val="71"/>
              </w:rPr>
              <w:t>$</w:t>
            </w:r>
          </w:p>
        </w:tc>
        <w:tc>
          <w:tcPr>
            <w:tcW w:w="880" w:type="dxa"/>
            <w:vAlign w:val="bottom"/>
          </w:tcPr>
          <w:p>
            <w:pPr>
              <w:jc w:val="right"/>
              <w:spacing w:after="0"/>
              <w:rPr>
                <w:sz w:val="20"/>
                <w:szCs w:val="20"/>
                <w:color w:val="auto"/>
              </w:rPr>
            </w:pPr>
            <w:r>
              <w:rPr>
                <w:rFonts w:ascii="Arial" w:cs="Arial" w:eastAsia="Arial" w:hAnsi="Arial"/>
                <w:sz w:val="17"/>
                <w:szCs w:val="17"/>
                <w:color w:val="0D0D0D"/>
              </w:rPr>
              <w:t>8,985</w:t>
            </w:r>
          </w:p>
        </w:tc>
        <w:tc>
          <w:tcPr>
            <w:tcW w:w="140" w:type="dxa"/>
            <w:vAlign w:val="bottom"/>
          </w:tcPr>
          <w:p>
            <w:pPr>
              <w:spacing w:after="0"/>
              <w:rPr>
                <w:sz w:val="17"/>
                <w:szCs w:val="17"/>
                <w:color w:val="auto"/>
              </w:rPr>
            </w:pPr>
          </w:p>
        </w:tc>
        <w:tc>
          <w:tcPr>
            <w:tcW w:w="28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8,192</w:t>
            </w:r>
          </w:p>
        </w:tc>
        <w:tc>
          <w:tcPr>
            <w:tcW w:w="8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Depreciation expense was $467 and $189 for the three months ended June 30, 2021 and 2020, respectively, and $906 and $374 for the six months ended June 30, 2021 and 2020,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980" w:type="dxa"/>
            <w:vAlign w:val="bottom"/>
            <w:gridSpan w:val="2"/>
          </w:tcPr>
          <w:p>
            <w:pPr>
              <w:spacing w:after="0"/>
              <w:rPr>
                <w:sz w:val="20"/>
                <w:szCs w:val="20"/>
                <w:color w:val="auto"/>
              </w:rPr>
            </w:pPr>
            <w:r>
              <w:rPr>
                <w:rFonts w:ascii="Arial" w:cs="Arial" w:eastAsia="Arial" w:hAnsi="Arial"/>
                <w:sz w:val="17"/>
                <w:szCs w:val="17"/>
                <w:b w:val="1"/>
                <w:bCs w:val="1"/>
                <w:color w:val="auto"/>
              </w:rPr>
              <w:t>NOTE 7 – LAND USE RIGHT, NET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3"/>
        </w:trPr>
        <w:tc>
          <w:tcPr>
            <w:tcW w:w="7980" w:type="dxa"/>
            <w:vAlign w:val="bottom"/>
            <w:gridSpan w:val="2"/>
          </w:tcPr>
          <w:p>
            <w:pPr>
              <w:ind w:left="40"/>
              <w:spacing w:after="0"/>
              <w:rPr>
                <w:sz w:val="20"/>
                <w:szCs w:val="20"/>
                <w:color w:val="auto"/>
              </w:rPr>
            </w:pPr>
            <w:r>
              <w:rPr>
                <w:rFonts w:ascii="Arial" w:cs="Arial" w:eastAsia="Arial" w:hAnsi="Arial"/>
                <w:sz w:val="17"/>
                <w:szCs w:val="17"/>
                <w:color w:val="auto"/>
              </w:rPr>
              <w:t>A summary of land use right is as follows: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7"/>
        </w:trPr>
        <w:tc>
          <w:tcPr>
            <w:tcW w:w="11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88"/>
              </w:rPr>
              <w:t>June 30,</w:t>
            </w:r>
          </w:p>
        </w:tc>
        <w:tc>
          <w:tcPr>
            <w:tcW w:w="1140" w:type="dxa"/>
            <w:vAlign w:val="bottom"/>
            <w:gridSpan w:val="4"/>
          </w:tcPr>
          <w:p>
            <w:pPr>
              <w:ind w:left="60"/>
              <w:spacing w:after="0"/>
              <w:rPr>
                <w:sz w:val="20"/>
                <w:szCs w:val="20"/>
                <w:color w:val="auto"/>
              </w:rPr>
            </w:pPr>
            <w:r>
              <w:rPr>
                <w:rFonts w:ascii="Arial" w:cs="Arial" w:eastAsia="Arial" w:hAnsi="Arial"/>
                <w:sz w:val="17"/>
                <w:szCs w:val="17"/>
                <w:b w:val="1"/>
                <w:bCs w:val="1"/>
                <w:color w:val="auto"/>
                <w:w w:val="95"/>
              </w:rPr>
              <w:t>December 31,</w:t>
            </w:r>
          </w:p>
        </w:tc>
      </w:tr>
      <w:tr>
        <w:trPr>
          <w:trHeight w:val="226"/>
        </w:trPr>
        <w:tc>
          <w:tcPr>
            <w:tcW w:w="114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r>
      <w:tr>
        <w:trPr>
          <w:trHeight w:val="204"/>
        </w:trPr>
        <w:tc>
          <w:tcPr>
            <w:tcW w:w="114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Land use right purchase amount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9,744</w:t>
            </w:r>
          </w:p>
        </w:tc>
        <w:tc>
          <w:tcPr>
            <w:tcW w:w="80" w:type="dxa"/>
            <w:vAlign w:val="bottom"/>
            <w:shd w:val="clear" w:color="auto" w:fill="CCEEFF"/>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Less: Accumulated amortization</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(98)</w:t>
            </w:r>
          </w:p>
        </w:tc>
      </w:tr>
      <w:tr>
        <w:trPr>
          <w:trHeight w:val="244"/>
        </w:trPr>
        <w:tc>
          <w:tcPr>
            <w:tcW w:w="114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Land use right,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9,646</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2020 ACM Shanghai, through its wholly owned subsidiary ACM Shengwei, entered into an agreement for a 50-year land use right in the Lingang region of Shanghai. In July 2020 ACM Shengwei began a multi-year construction project for a new 1,000,000 square foot development and production center that will incorporate new manufacturing systems and automation technologies, and will provide floor space to support significantly increase production capacity and related research and development activities.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$49 for the three months ended June 30, 2021, and $98 for the six months ended June 30,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60" w:type="dxa"/>
            <w:vAlign w:val="bottom"/>
            <w:gridSpan w:val="2"/>
          </w:tcPr>
          <w:p>
            <w:pPr>
              <w:jc w:val="right"/>
              <w:ind w:right="895"/>
              <w:spacing w:after="0"/>
              <w:rPr>
                <w:sz w:val="20"/>
                <w:szCs w:val="20"/>
                <w:color w:val="auto"/>
              </w:rPr>
            </w:pPr>
            <w:r>
              <w:rPr>
                <w:rFonts w:ascii="Arial" w:cs="Arial" w:eastAsia="Arial" w:hAnsi="Arial"/>
                <w:sz w:val="17"/>
                <w:szCs w:val="17"/>
                <w:color w:val="auto"/>
                <w:w w:val="90"/>
              </w:rPr>
              <w:t>The annual amortization of land use right for each of the five succeeding years is as follows:</w:t>
            </w: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9"/>
        </w:trPr>
        <w:tc>
          <w:tcPr>
            <w:tcW w:w="2260" w:type="dxa"/>
            <w:vAlign w:val="bottom"/>
          </w:tcPr>
          <w:p>
            <w:pPr>
              <w:spacing w:after="0"/>
              <w:rPr>
                <w:sz w:val="24"/>
                <w:szCs w:val="24"/>
                <w:color w:val="auto"/>
              </w:rPr>
            </w:pPr>
          </w:p>
        </w:tc>
        <w:tc>
          <w:tcPr>
            <w:tcW w:w="5000" w:type="dxa"/>
            <w:vAlign w:val="bottom"/>
            <w:tcBorders>
              <w:bottom w:val="single" w:sz="8" w:color="auto"/>
            </w:tcBorders>
          </w:tcPr>
          <w:p>
            <w:pPr>
              <w:jc w:val="right"/>
              <w:ind w:right="2975"/>
              <w:spacing w:after="0"/>
              <w:rPr>
                <w:sz w:val="20"/>
                <w:szCs w:val="20"/>
                <w:color w:val="auto"/>
              </w:rPr>
            </w:pPr>
            <w:r>
              <w:rPr>
                <w:rFonts w:ascii="Arial" w:cs="Arial" w:eastAsia="Arial" w:hAnsi="Arial"/>
                <w:sz w:val="17"/>
                <w:szCs w:val="17"/>
                <w:b w:val="1"/>
                <w:bCs w:val="1"/>
                <w:color w:val="auto"/>
                <w:w w:val="90"/>
              </w:rPr>
              <w:t>Year ending December 31,</w:t>
            </w:r>
          </w:p>
        </w:tc>
        <w:tc>
          <w:tcPr>
            <w:tcW w:w="1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204"/>
        </w:trPr>
        <w:tc>
          <w:tcPr>
            <w:tcW w:w="2260" w:type="dxa"/>
            <w:vAlign w:val="bottom"/>
          </w:tcPr>
          <w:p>
            <w:pPr>
              <w:spacing w:after="0"/>
              <w:rPr>
                <w:sz w:val="17"/>
                <w:szCs w:val="17"/>
                <w:color w:val="auto"/>
              </w:rPr>
            </w:pPr>
          </w:p>
        </w:tc>
        <w:tc>
          <w:tcPr>
            <w:tcW w:w="5000" w:type="dxa"/>
            <w:vAlign w:val="bottom"/>
            <w:shd w:val="clear" w:color="auto" w:fill="CCEEFF"/>
          </w:tcPr>
          <w:p>
            <w:pPr>
              <w:jc w:val="right"/>
              <w:ind w:right="4575"/>
              <w:spacing w:after="0"/>
              <w:rPr>
                <w:sz w:val="20"/>
                <w:szCs w:val="20"/>
                <w:color w:val="auto"/>
              </w:rPr>
            </w:pPr>
            <w:r>
              <w:rPr>
                <w:rFonts w:ascii="Arial" w:cs="Arial" w:eastAsia="Arial" w:hAnsi="Arial"/>
                <w:sz w:val="17"/>
                <w:szCs w:val="17"/>
                <w:color w:val="auto"/>
                <w:w w:val="84"/>
              </w:rPr>
              <w:t>2021</w:t>
            </w: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r>
      <w:tr>
        <w:trPr>
          <w:trHeight w:val="204"/>
        </w:trPr>
        <w:tc>
          <w:tcPr>
            <w:tcW w:w="2260" w:type="dxa"/>
            <w:vAlign w:val="bottom"/>
          </w:tcPr>
          <w:p>
            <w:pPr>
              <w:spacing w:after="0"/>
              <w:rPr>
                <w:sz w:val="17"/>
                <w:szCs w:val="17"/>
                <w:color w:val="auto"/>
              </w:rPr>
            </w:pPr>
          </w:p>
        </w:tc>
        <w:tc>
          <w:tcPr>
            <w:tcW w:w="5000" w:type="dxa"/>
            <w:vAlign w:val="bottom"/>
          </w:tcPr>
          <w:p>
            <w:pPr>
              <w:jc w:val="right"/>
              <w:ind w:right="4575"/>
              <w:spacing w:after="0"/>
              <w:rPr>
                <w:sz w:val="20"/>
                <w:szCs w:val="20"/>
                <w:color w:val="auto"/>
              </w:rPr>
            </w:pPr>
            <w:r>
              <w:rPr>
                <w:rFonts w:ascii="Arial" w:cs="Arial" w:eastAsia="Arial" w:hAnsi="Arial"/>
                <w:sz w:val="17"/>
                <w:szCs w:val="17"/>
                <w:color w:val="auto"/>
                <w:w w:val="84"/>
              </w:rPr>
              <w:t>2022</w:t>
            </w:r>
          </w:p>
        </w:tc>
        <w:tc>
          <w:tcPr>
            <w:tcW w:w="1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197</w:t>
            </w:r>
          </w:p>
        </w:tc>
      </w:tr>
      <w:tr>
        <w:trPr>
          <w:trHeight w:val="204"/>
        </w:trPr>
        <w:tc>
          <w:tcPr>
            <w:tcW w:w="2260" w:type="dxa"/>
            <w:vAlign w:val="bottom"/>
          </w:tcPr>
          <w:p>
            <w:pPr>
              <w:spacing w:after="0"/>
              <w:rPr>
                <w:sz w:val="17"/>
                <w:szCs w:val="17"/>
                <w:color w:val="auto"/>
              </w:rPr>
            </w:pPr>
          </w:p>
        </w:tc>
        <w:tc>
          <w:tcPr>
            <w:tcW w:w="5000" w:type="dxa"/>
            <w:vAlign w:val="bottom"/>
            <w:shd w:val="clear" w:color="auto" w:fill="CCEEFF"/>
          </w:tcPr>
          <w:p>
            <w:pPr>
              <w:jc w:val="right"/>
              <w:ind w:right="4575"/>
              <w:spacing w:after="0"/>
              <w:rPr>
                <w:sz w:val="20"/>
                <w:szCs w:val="20"/>
                <w:color w:val="auto"/>
              </w:rPr>
            </w:pPr>
            <w:r>
              <w:rPr>
                <w:rFonts w:ascii="Arial" w:cs="Arial" w:eastAsia="Arial" w:hAnsi="Arial"/>
                <w:sz w:val="17"/>
                <w:szCs w:val="17"/>
                <w:color w:val="auto"/>
                <w:w w:val="84"/>
              </w:rPr>
              <w:t>2023</w:t>
            </w: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r>
      <w:tr>
        <w:trPr>
          <w:trHeight w:val="204"/>
        </w:trPr>
        <w:tc>
          <w:tcPr>
            <w:tcW w:w="2260" w:type="dxa"/>
            <w:vAlign w:val="bottom"/>
          </w:tcPr>
          <w:p>
            <w:pPr>
              <w:spacing w:after="0"/>
              <w:rPr>
                <w:sz w:val="17"/>
                <w:szCs w:val="17"/>
                <w:color w:val="auto"/>
              </w:rPr>
            </w:pPr>
          </w:p>
        </w:tc>
        <w:tc>
          <w:tcPr>
            <w:tcW w:w="5000" w:type="dxa"/>
            <w:vAlign w:val="bottom"/>
          </w:tcPr>
          <w:p>
            <w:pPr>
              <w:jc w:val="right"/>
              <w:ind w:right="4575"/>
              <w:spacing w:after="0"/>
              <w:rPr>
                <w:sz w:val="20"/>
                <w:szCs w:val="20"/>
                <w:color w:val="auto"/>
              </w:rPr>
            </w:pPr>
            <w:r>
              <w:rPr>
                <w:rFonts w:ascii="Arial" w:cs="Arial" w:eastAsia="Arial" w:hAnsi="Arial"/>
                <w:sz w:val="17"/>
                <w:szCs w:val="17"/>
                <w:color w:val="auto"/>
                <w:w w:val="84"/>
              </w:rPr>
              <w:t>2024</w:t>
            </w:r>
          </w:p>
        </w:tc>
        <w:tc>
          <w:tcPr>
            <w:tcW w:w="1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197</w:t>
            </w:r>
          </w:p>
        </w:tc>
      </w:tr>
      <w:tr>
        <w:trPr>
          <w:trHeight w:val="204"/>
        </w:trPr>
        <w:tc>
          <w:tcPr>
            <w:tcW w:w="2260" w:type="dxa"/>
            <w:vAlign w:val="bottom"/>
          </w:tcPr>
          <w:p>
            <w:pPr>
              <w:spacing w:after="0"/>
              <w:rPr>
                <w:sz w:val="17"/>
                <w:szCs w:val="17"/>
                <w:color w:val="auto"/>
              </w:rPr>
            </w:pPr>
          </w:p>
        </w:tc>
        <w:tc>
          <w:tcPr>
            <w:tcW w:w="5000" w:type="dxa"/>
            <w:vAlign w:val="bottom"/>
            <w:shd w:val="clear" w:color="auto" w:fill="CCEEFF"/>
          </w:tcPr>
          <w:p>
            <w:pPr>
              <w:jc w:val="right"/>
              <w:ind w:right="4575"/>
              <w:spacing w:after="0"/>
              <w:rPr>
                <w:sz w:val="20"/>
                <w:szCs w:val="20"/>
                <w:color w:val="auto"/>
              </w:rPr>
            </w:pPr>
            <w:r>
              <w:rPr>
                <w:rFonts w:ascii="Arial" w:cs="Arial" w:eastAsia="Arial" w:hAnsi="Arial"/>
                <w:sz w:val="17"/>
                <w:szCs w:val="17"/>
                <w:color w:val="auto"/>
                <w:w w:val="84"/>
              </w:rPr>
              <w:t>2025</w:t>
            </w: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r>
    </w:tbl>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980" w:type="dxa"/>
            <w:vAlign w:val="bottom"/>
            <w:gridSpan w:val="2"/>
          </w:tcPr>
          <w:p>
            <w:pPr>
              <w:spacing w:after="0"/>
              <w:rPr>
                <w:sz w:val="20"/>
                <w:szCs w:val="20"/>
                <w:color w:val="auto"/>
              </w:rPr>
            </w:pPr>
            <w:r>
              <w:rPr>
                <w:rFonts w:ascii="Arial" w:cs="Arial" w:eastAsia="Arial" w:hAnsi="Arial"/>
                <w:sz w:val="17"/>
                <w:szCs w:val="17"/>
                <w:b w:val="1"/>
                <w:bCs w:val="1"/>
                <w:color w:val="auto"/>
              </w:rPr>
              <w:t>NOTE 8 – OTHER LONG-TERM ASSETS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3"/>
        </w:trPr>
        <w:tc>
          <w:tcPr>
            <w:tcW w:w="7980" w:type="dxa"/>
            <w:vAlign w:val="bottom"/>
            <w:gridSpan w:val="2"/>
          </w:tcPr>
          <w:p>
            <w:pPr>
              <w:spacing w:after="0"/>
              <w:rPr>
                <w:sz w:val="20"/>
                <w:szCs w:val="20"/>
                <w:color w:val="auto"/>
              </w:rPr>
            </w:pPr>
            <w:r>
              <w:rPr>
                <w:rFonts w:ascii="Arial" w:cs="Arial" w:eastAsia="Arial" w:hAnsi="Arial"/>
                <w:sz w:val="17"/>
                <w:szCs w:val="17"/>
                <w:color w:val="auto"/>
              </w:rPr>
              <w:t>At June 30, 2021 and December 31, 2020, other long-term assets consisted of the following:</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7"/>
        </w:trPr>
        <w:tc>
          <w:tcPr>
            <w:tcW w:w="11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auto"/>
                <w:w w:val="88"/>
              </w:rPr>
              <w:t>June 30,</w:t>
            </w:r>
          </w:p>
        </w:tc>
        <w:tc>
          <w:tcPr>
            <w:tcW w:w="1240" w:type="dxa"/>
            <w:vAlign w:val="bottom"/>
            <w:gridSpan w:val="4"/>
          </w:tcPr>
          <w:p>
            <w:pPr>
              <w:ind w:left="160"/>
              <w:spacing w:after="0"/>
              <w:rPr>
                <w:sz w:val="20"/>
                <w:szCs w:val="20"/>
                <w:color w:val="auto"/>
              </w:rPr>
            </w:pPr>
            <w:r>
              <w:rPr>
                <w:rFonts w:ascii="Arial" w:cs="Arial" w:eastAsia="Arial" w:hAnsi="Arial"/>
                <w:sz w:val="17"/>
                <w:szCs w:val="17"/>
                <w:b w:val="1"/>
                <w:bCs w:val="1"/>
                <w:color w:val="auto"/>
                <w:w w:val="95"/>
              </w:rPr>
              <w:t>December 31,</w:t>
            </w:r>
          </w:p>
        </w:tc>
      </w:tr>
      <w:tr>
        <w:trPr>
          <w:trHeight w:val="226"/>
        </w:trPr>
        <w:tc>
          <w:tcPr>
            <w:tcW w:w="114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r>
      <w:tr>
        <w:trPr>
          <w:trHeight w:val="204"/>
        </w:trPr>
        <w:tc>
          <w:tcPr>
            <w:tcW w:w="114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Prepayment for property - Lingang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40,372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39,450</w:t>
            </w:r>
          </w:p>
        </w:tc>
        <w:tc>
          <w:tcPr>
            <w:tcW w:w="80" w:type="dxa"/>
            <w:vAlign w:val="bottom"/>
            <w:shd w:val="clear" w:color="auto" w:fill="CCEEFF"/>
          </w:tcPr>
          <w:p>
            <w:pPr>
              <w:spacing w:after="0"/>
              <w:rPr>
                <w:sz w:val="17"/>
                <w:szCs w:val="17"/>
                <w:color w:val="auto"/>
              </w:rPr>
            </w:pPr>
          </w:p>
        </w:tc>
      </w:tr>
      <w:tr>
        <w:trPr>
          <w:trHeight w:val="204"/>
        </w:trPr>
        <w:tc>
          <w:tcPr>
            <w:tcW w:w="114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Prepayment for property, plant and equipment and other non-current assets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1,463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4"/>
        </w:trPr>
        <w:tc>
          <w:tcPr>
            <w:tcW w:w="114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Prepayment for property - lease deposit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4"/>
        </w:trPr>
        <w:tc>
          <w:tcPr>
            <w:tcW w:w="114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Security deposit for land use right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763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756</w:t>
            </w:r>
          </w:p>
        </w:tc>
        <w:tc>
          <w:tcPr>
            <w:tcW w:w="80" w:type="dxa"/>
            <w:vAlign w:val="bottom"/>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4"/>
        </w:trPr>
        <w:tc>
          <w:tcPr>
            <w:tcW w:w="114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Total other long-term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43,434</w:t>
            </w:r>
          </w:p>
        </w:tc>
        <w:tc>
          <w:tcPr>
            <w:tcW w:w="38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40,496</w:t>
            </w:r>
          </w:p>
        </w:tc>
        <w:tc>
          <w:tcPr>
            <w:tcW w:w="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prepayment for property - Lingang is for the housing in Lingang, Shanghai, which consists of (1) the contractual amount to acquire the property and (2) capitalized interest charges on the long-term loan related to acquisition of the property, which amounted to $541 as of June 30, 2021. The property is pledged for a long-term loan from China Merchants Bank (note 12).</w:t>
      </w:r>
    </w:p>
    <w:p>
      <w:pPr>
        <w:sectPr>
          <w:pgSz w:w="11900" w:h="16838" w:orient="portrait"/>
          <w:cols w:equalWidth="0" w:num="1">
            <w:col w:w="11240"/>
          </w:cols>
          <w:pgMar w:left="320" w:top="122"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3994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360" w:type="dxa"/>
            <w:vAlign w:val="bottom"/>
            <w:gridSpan w:val="2"/>
          </w:tcPr>
          <w:p>
            <w:pPr>
              <w:spacing w:after="0"/>
              <w:rPr>
                <w:sz w:val="20"/>
                <w:szCs w:val="20"/>
                <w:color w:val="auto"/>
              </w:rPr>
            </w:pPr>
            <w:r>
              <w:rPr>
                <w:rFonts w:ascii="Arial" w:cs="Arial" w:eastAsia="Arial" w:hAnsi="Arial"/>
                <w:sz w:val="17"/>
                <w:szCs w:val="17"/>
                <w:b w:val="1"/>
                <w:bCs w:val="1"/>
                <w:color w:val="auto"/>
              </w:rPr>
              <w:t>NOTE 9 – SHORT-TERM BORROWINGS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7"/>
        </w:trPr>
        <w:tc>
          <w:tcPr>
            <w:tcW w:w="8360" w:type="dxa"/>
            <w:vAlign w:val="bottom"/>
            <w:gridSpan w:val="2"/>
          </w:tcPr>
          <w:p>
            <w:pPr>
              <w:spacing w:after="0"/>
              <w:rPr>
                <w:sz w:val="20"/>
                <w:szCs w:val="20"/>
                <w:color w:val="auto"/>
              </w:rPr>
            </w:pPr>
            <w:r>
              <w:rPr>
                <w:rFonts w:ascii="Arial" w:cs="Arial" w:eastAsia="Arial" w:hAnsi="Arial"/>
                <w:sz w:val="17"/>
                <w:szCs w:val="17"/>
                <w:color w:val="auto"/>
              </w:rPr>
              <w:t>At June 30, 2021 and December 31, 2020, short-term and long-term borrowings consisted of the following:</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5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15"/>
              <w:spacing w:after="0"/>
              <w:rPr>
                <w:sz w:val="20"/>
                <w:szCs w:val="20"/>
                <w:color w:val="auto"/>
              </w:rPr>
            </w:pPr>
            <w:r>
              <w:rPr>
                <w:rFonts w:ascii="Arial" w:cs="Arial" w:eastAsia="Arial" w:hAnsi="Arial"/>
                <w:sz w:val="17"/>
                <w:szCs w:val="17"/>
                <w:b w:val="1"/>
                <w:bCs w:val="1"/>
                <w:color w:val="auto"/>
                <w:w w:val="96"/>
              </w:rPr>
              <w:t>June 30,</w:t>
            </w:r>
          </w:p>
        </w:tc>
        <w:tc>
          <w:tcPr>
            <w:tcW w:w="2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24"/>
                <w:szCs w:val="24"/>
                <w:color w:val="auto"/>
              </w:rPr>
            </w:pPr>
          </w:p>
        </w:tc>
      </w:tr>
      <w:tr>
        <w:trPr>
          <w:trHeight w:val="226"/>
        </w:trPr>
        <w:tc>
          <w:tcPr>
            <w:tcW w:w="58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Line of credit up to RMB 80,000 from China Everbright Bank,</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ind w:left="120"/>
              <w:spacing w:after="0"/>
              <w:rPr>
                <w:sz w:val="20"/>
                <w:szCs w:val="20"/>
                <w:color w:val="auto"/>
              </w:rPr>
            </w:pPr>
            <w:r>
              <w:rPr>
                <w:rFonts w:ascii="Arial" w:cs="Arial" w:eastAsia="Arial" w:hAnsi="Arial"/>
                <w:sz w:val="17"/>
                <w:szCs w:val="17"/>
                <w:color w:val="auto"/>
              </w:rPr>
              <w:t>1)due on April 1, 2021 with an annual interest rate of 4.70%. *1 and fully repaid on March 23, 2021.</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4,599</w:t>
            </w: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2)due on June 27, 2021 with an annual interest rate of 4.25%. *1 and fully repaid on June 28, 2021.</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w:t>
            </w: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ind w:left="120"/>
              <w:spacing w:after="0"/>
              <w:rPr>
                <w:sz w:val="20"/>
                <w:szCs w:val="20"/>
                <w:color w:val="auto"/>
              </w:rPr>
            </w:pPr>
            <w:r>
              <w:rPr>
                <w:rFonts w:ascii="Arial" w:cs="Arial" w:eastAsia="Arial" w:hAnsi="Arial"/>
                <w:sz w:val="17"/>
                <w:szCs w:val="17"/>
                <w:color w:val="auto"/>
              </w:rPr>
              <w:t>3)due on April 29, 2021 with an annual interest rate of 2.80%. *1 and fully repaid on March 23, 2021.</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820</w:t>
            </w: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4)due on June 27, 2021 with an annual interest rate of 2.70%. *1 and fully repaid on June 25, 2021.</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w:t>
            </w: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ind w:left="120"/>
              <w:spacing w:after="0"/>
              <w:rPr>
                <w:sz w:val="20"/>
                <w:szCs w:val="20"/>
                <w:color w:val="auto"/>
              </w:rPr>
            </w:pPr>
            <w:r>
              <w:rPr>
                <w:rFonts w:ascii="Arial" w:cs="Arial" w:eastAsia="Arial" w:hAnsi="Arial"/>
                <w:sz w:val="17"/>
                <w:szCs w:val="17"/>
                <w:color w:val="auto"/>
              </w:rPr>
              <w:t>5)due on September 30, 2021 with an annual interest rate of 2.50%. *1</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2,854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Line of credit up to RMB 20,000 from Bank of Communications,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ind w:left="120"/>
              <w:spacing w:after="0"/>
              <w:rPr>
                <w:sz w:val="20"/>
                <w:szCs w:val="20"/>
                <w:color w:val="auto"/>
              </w:rPr>
            </w:pPr>
            <w:r>
              <w:rPr>
                <w:rFonts w:ascii="Arial" w:cs="Arial" w:eastAsia="Arial" w:hAnsi="Arial"/>
                <w:sz w:val="17"/>
                <w:szCs w:val="17"/>
                <w:color w:val="auto"/>
              </w:rPr>
              <w:t>1)due on April 12, 2021 with an annual interest rate of 4.65% and fully repaid on April 12, 2021.</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1,533</w:t>
            </w: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2)due on May 24, 2021 with an annual interest rate of 3.65% and fully repaid on May 24, 2021.</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w:t>
            </w: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Line of credit up to RMB 70,000 from Bank of Shanghai Pudong Branch,</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1)due on May 27, 2021 with an annual interest rate of 4.68%. *2 and fully repaid on May 27, 2021.</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2,575</w:t>
            </w: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ind w:left="120"/>
              <w:spacing w:after="0"/>
              <w:rPr>
                <w:sz w:val="20"/>
                <w:szCs w:val="20"/>
                <w:color w:val="auto"/>
              </w:rPr>
            </w:pPr>
            <w:r>
              <w:rPr>
                <w:rFonts w:ascii="Arial" w:cs="Arial" w:eastAsia="Arial" w:hAnsi="Arial"/>
                <w:sz w:val="17"/>
                <w:szCs w:val="17"/>
                <w:color w:val="auto"/>
              </w:rPr>
              <w:t>2)due on June 27, 2021 with an annual interest rate of 4.68%. *2 and fully repaid on March 29, 2021.</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1,380</w:t>
            </w: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3)due on May 28, 2021 with an annual interest rate of 3.48%. *2 and fully repaid on May 28, 2021.</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w:t>
            </w: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ind w:left="120"/>
              <w:spacing w:after="0"/>
              <w:rPr>
                <w:sz w:val="20"/>
                <w:szCs w:val="20"/>
                <w:color w:val="auto"/>
              </w:rPr>
            </w:pPr>
            <w:r>
              <w:rPr>
                <w:rFonts w:ascii="Arial" w:cs="Arial" w:eastAsia="Arial" w:hAnsi="Arial"/>
                <w:sz w:val="17"/>
                <w:szCs w:val="17"/>
                <w:color w:val="auto"/>
              </w:rPr>
              <w:t>4)due on June 7, 2021 with an annual interest rate of 3.50%. *2 and fully repaid on June 7, 2021.</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1,521</w:t>
            </w: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5)due on June 16, 2021 with an annual interest rate of 3.50%. *2 and fully repaid on June 16, 2021.</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w:t>
            </w: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Line of credit up to RMB 80,000 from China Merchants Bank,</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1)due on August 10, 2021 with annual interest rate of 3.85%.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w:t>
            </w: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ind w:left="120"/>
              <w:spacing w:after="0"/>
              <w:rPr>
                <w:sz w:val="20"/>
                <w:szCs w:val="20"/>
                <w:color w:val="auto"/>
              </w:rPr>
            </w:pPr>
            <w:r>
              <w:rPr>
                <w:rFonts w:ascii="Arial" w:cs="Arial" w:eastAsia="Arial" w:hAnsi="Arial"/>
                <w:sz w:val="17"/>
                <w:szCs w:val="17"/>
                <w:color w:val="auto"/>
              </w:rPr>
              <w:t>2)due on August 25, 2021 with annual interest rate of 3.85%.</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3,096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3,066</w:t>
            </w: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3)due on February 1, 2022 with annual interest rate of 3.85%.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ind w:left="120"/>
              <w:spacing w:after="0"/>
              <w:rPr>
                <w:sz w:val="20"/>
                <w:szCs w:val="20"/>
                <w:color w:val="auto"/>
              </w:rPr>
            </w:pPr>
            <w:r>
              <w:rPr>
                <w:rFonts w:ascii="Arial" w:cs="Arial" w:eastAsia="Arial" w:hAnsi="Arial"/>
                <w:sz w:val="17"/>
                <w:szCs w:val="17"/>
                <w:color w:val="auto"/>
              </w:rPr>
              <w:t>4)due on May 26, 2022 with annual interest rate of 3.9%.</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1,393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5)due on February 2, 2022 with annual interest rate of 3.95%.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ind w:left="120"/>
              <w:spacing w:after="0"/>
              <w:rPr>
                <w:sz w:val="20"/>
                <w:szCs w:val="20"/>
                <w:color w:val="auto"/>
              </w:rPr>
            </w:pPr>
            <w:r>
              <w:rPr>
                <w:rFonts w:ascii="Arial" w:cs="Arial" w:eastAsia="Arial" w:hAnsi="Arial"/>
                <w:sz w:val="17"/>
                <w:szCs w:val="17"/>
                <w:color w:val="auto"/>
              </w:rPr>
              <w:t>6)due on February 2, 2022 with annual interest rate of 3.95%.</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1,471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7)due on February 2, 2022 with annual interest rate of 3.95%.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Line of credit up to RMB 100,000 from Bank of Shanghai Pudong Branch,</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1)due on June 7, 2022 with an annual interest rate of 2.7%. *3.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Line of credit up to RMB 40,000 from Bank of China,</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1)due on June 15, 2022 with an annual interest rate of 3.86%.</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9"/>
        </w:trPr>
        <w:tc>
          <w:tcPr>
            <w:tcW w:w="83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4"/>
        </w:trPr>
        <w:tc>
          <w:tcPr>
            <w:tcW w:w="580" w:type="dxa"/>
            <w:vAlign w:val="bottom"/>
          </w:tcPr>
          <w:p>
            <w:pPr>
              <w:spacing w:after="0"/>
              <w:rPr>
                <w:sz w:val="21"/>
                <w:szCs w:val="21"/>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0D0D0D"/>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0D0D0D"/>
              </w:rPr>
              <w:t>22,162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0D0D0D"/>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0D0D0D"/>
              </w:rPr>
              <w:t>26,147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386"/>
        </w:trPr>
        <w:tc>
          <w:tcPr>
            <w:tcW w:w="8360" w:type="dxa"/>
            <w:vAlign w:val="bottom"/>
            <w:gridSpan w:val="2"/>
          </w:tcPr>
          <w:p>
            <w:pPr>
              <w:spacing w:after="0"/>
              <w:rPr>
                <w:sz w:val="20"/>
                <w:szCs w:val="20"/>
                <w:color w:val="auto"/>
              </w:rPr>
            </w:pPr>
            <w:r>
              <w:rPr>
                <w:rFonts w:ascii="Arial" w:cs="Arial" w:eastAsia="Arial" w:hAnsi="Arial"/>
                <w:sz w:val="17"/>
                <w:szCs w:val="17"/>
                <w:color w:val="auto"/>
              </w:rPr>
              <w:t>*1 Guaranteed by ACM’s Chief Executive Officer</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8360" w:type="dxa"/>
            <w:vAlign w:val="bottom"/>
            <w:gridSpan w:val="2"/>
          </w:tcPr>
          <w:p>
            <w:pPr>
              <w:spacing w:after="0"/>
              <w:rPr>
                <w:sz w:val="20"/>
                <w:szCs w:val="20"/>
                <w:color w:val="auto"/>
              </w:rPr>
            </w:pPr>
            <w:r>
              <w:rPr>
                <w:rFonts w:ascii="Arial" w:cs="Arial" w:eastAsia="Arial" w:hAnsi="Arial"/>
                <w:sz w:val="17"/>
                <w:szCs w:val="17"/>
                <w:color w:val="auto"/>
              </w:rPr>
              <w:t>*2 Guaranteed by ACM’s Chief Executive Officer and CleanChip</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8360" w:type="dxa"/>
            <w:vAlign w:val="bottom"/>
            <w:gridSpan w:val="2"/>
          </w:tcPr>
          <w:p>
            <w:pPr>
              <w:spacing w:after="0"/>
              <w:rPr>
                <w:sz w:val="20"/>
                <w:szCs w:val="20"/>
                <w:color w:val="auto"/>
              </w:rPr>
            </w:pPr>
            <w:r>
              <w:rPr>
                <w:rFonts w:ascii="Arial" w:cs="Arial" w:eastAsia="Arial" w:hAnsi="Arial"/>
                <w:sz w:val="17"/>
                <w:szCs w:val="17"/>
                <w:color w:val="auto"/>
              </w:rPr>
              <w:t>*3 Guaranteed by CleanChip</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spacing w:after="0" w:line="21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For the three months ended June 30, 2021 and 2020, interest expense related to short-term borrowings amounted to $191 and $228, respectively, and $380 and $339 for the six months ended June 30, 2021 and 2020.</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360" w:type="dxa"/>
            <w:vAlign w:val="bottom"/>
            <w:gridSpan w:val="2"/>
          </w:tcPr>
          <w:p>
            <w:pPr>
              <w:spacing w:after="0"/>
              <w:rPr>
                <w:sz w:val="20"/>
                <w:szCs w:val="20"/>
                <w:color w:val="auto"/>
              </w:rPr>
            </w:pPr>
            <w:r>
              <w:rPr>
                <w:rFonts w:ascii="Arial" w:cs="Arial" w:eastAsia="Arial" w:hAnsi="Arial"/>
                <w:sz w:val="17"/>
                <w:szCs w:val="17"/>
                <w:b w:val="1"/>
                <w:bCs w:val="1"/>
                <w:color w:val="auto"/>
              </w:rPr>
              <w:t>NOTE 10 – OTHER PAYABLE AND ACCRUED EXPENSES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7"/>
        </w:trPr>
        <w:tc>
          <w:tcPr>
            <w:tcW w:w="8360" w:type="dxa"/>
            <w:vAlign w:val="bottom"/>
            <w:gridSpan w:val="2"/>
          </w:tcPr>
          <w:p>
            <w:pPr>
              <w:spacing w:after="0"/>
              <w:rPr>
                <w:sz w:val="20"/>
                <w:szCs w:val="20"/>
                <w:color w:val="auto"/>
              </w:rPr>
            </w:pPr>
            <w:r>
              <w:rPr>
                <w:rFonts w:ascii="Arial" w:cs="Arial" w:eastAsia="Arial" w:hAnsi="Arial"/>
                <w:sz w:val="17"/>
                <w:szCs w:val="17"/>
                <w:color w:val="auto"/>
              </w:rPr>
              <w:t>At June 30, 2021 and December 31, 2020, other payable and accrued expenses consisted of the following:</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7"/>
        </w:trPr>
        <w:tc>
          <w:tcPr>
            <w:tcW w:w="5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15"/>
              <w:spacing w:after="0"/>
              <w:rPr>
                <w:sz w:val="20"/>
                <w:szCs w:val="20"/>
                <w:color w:val="auto"/>
              </w:rPr>
            </w:pPr>
            <w:r>
              <w:rPr>
                <w:rFonts w:ascii="Arial" w:cs="Arial" w:eastAsia="Arial" w:hAnsi="Arial"/>
                <w:sz w:val="17"/>
                <w:szCs w:val="17"/>
                <w:b w:val="1"/>
                <w:bCs w:val="1"/>
                <w:color w:val="auto"/>
                <w:w w:val="96"/>
              </w:rPr>
              <w:t>June 30,</w:t>
            </w:r>
          </w:p>
        </w:tc>
        <w:tc>
          <w:tcPr>
            <w:tcW w:w="2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24"/>
                <w:szCs w:val="24"/>
                <w:color w:val="auto"/>
              </w:rPr>
            </w:pPr>
          </w:p>
        </w:tc>
      </w:tr>
      <w:tr>
        <w:trPr>
          <w:trHeight w:val="226"/>
        </w:trPr>
        <w:tc>
          <w:tcPr>
            <w:tcW w:w="58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Accrued commissions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7,127</w:t>
            </w: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Accrued warranty</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4,471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3,975</w:t>
            </w: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Accrued payroll</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3,068</w:t>
            </w:r>
          </w:p>
        </w:tc>
        <w:tc>
          <w:tcPr>
            <w:tcW w:w="80" w:type="dxa"/>
            <w:vAlign w:val="bottom"/>
            <w:shd w:val="clear" w:color="auto" w:fill="CCEEFF"/>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Accrued professional fees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384</w:t>
            </w: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Accrued machine testing fees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w:t>
            </w:r>
          </w:p>
        </w:tc>
        <w:tc>
          <w:tcPr>
            <w:tcW w:w="80" w:type="dxa"/>
            <w:vAlign w:val="bottom"/>
            <w:shd w:val="clear" w:color="auto" w:fill="CCEEFF"/>
          </w:tcPr>
          <w:p>
            <w:pPr>
              <w:spacing w:after="0"/>
              <w:rPr>
                <w:sz w:val="17"/>
                <w:szCs w:val="17"/>
                <w:color w:val="auto"/>
              </w:rPr>
            </w:pPr>
          </w:p>
        </w:tc>
      </w:tr>
      <w:tr>
        <w:trPr>
          <w:trHeight w:val="209"/>
        </w:trPr>
        <w:tc>
          <w:tcPr>
            <w:tcW w:w="5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Others</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2,656</w:t>
            </w:r>
          </w:p>
        </w:tc>
        <w:tc>
          <w:tcPr>
            <w:tcW w:w="80" w:type="dxa"/>
            <w:vAlign w:val="bottom"/>
          </w:tcPr>
          <w:p>
            <w:pPr>
              <w:spacing w:after="0"/>
              <w:rPr>
                <w:sz w:val="18"/>
                <w:szCs w:val="18"/>
                <w:color w:val="auto"/>
              </w:rPr>
            </w:pPr>
          </w:p>
        </w:tc>
      </w:tr>
      <w:tr>
        <w:trPr>
          <w:trHeight w:val="244"/>
        </w:trPr>
        <w:tc>
          <w:tcPr>
            <w:tcW w:w="580" w:type="dxa"/>
            <w:vAlign w:val="bottom"/>
          </w:tcPr>
          <w:p>
            <w:pPr>
              <w:spacing w:after="0"/>
              <w:rPr>
                <w:sz w:val="21"/>
                <w:szCs w:val="21"/>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21,871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18,805</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LEASES</w:t>
      </w:r>
    </w:p>
    <w:p>
      <w:pPr>
        <w:spacing w:after="0" w:line="2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142"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gridSpan w:val="2"/>
          </w:tcPr>
          <w:p>
            <w:pPr>
              <w:spacing w:after="0"/>
              <w:rPr>
                <w:sz w:val="20"/>
                <w:szCs w:val="20"/>
                <w:color w:val="auto"/>
              </w:rPr>
            </w:pPr>
            <w:r>
              <w:rPr>
                <w:rFonts w:ascii="Arial" w:cs="Arial" w:eastAsia="Arial" w:hAnsi="Arial"/>
                <w:sz w:val="17"/>
                <w:szCs w:val="17"/>
                <w:color w:val="auto"/>
              </w:rPr>
              <w:t>The components of lease expense were as follows: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9"/>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720" w:type="dxa"/>
            <w:vAlign w:val="bottom"/>
            <w:gridSpan w:val="6"/>
          </w:tcPr>
          <w:p>
            <w:pPr>
              <w:ind w:left="140"/>
              <w:spacing w:after="0"/>
              <w:rPr>
                <w:sz w:val="20"/>
                <w:szCs w:val="20"/>
                <w:color w:val="auto"/>
              </w:rPr>
            </w:pPr>
            <w:r>
              <w:rPr>
                <w:rFonts w:ascii="Arial" w:cs="Arial" w:eastAsia="Arial" w:hAnsi="Arial"/>
                <w:sz w:val="17"/>
                <w:szCs w:val="17"/>
                <w:b w:val="1"/>
                <w:bCs w:val="1"/>
                <w:color w:val="auto"/>
              </w:rPr>
              <w:t>Three Months Ended June 30,</w:t>
            </w:r>
          </w:p>
        </w:tc>
        <w:tc>
          <w:tcPr>
            <w:tcW w:w="120" w:type="dxa"/>
            <w:vAlign w:val="bottom"/>
          </w:tcPr>
          <w:p>
            <w:pPr>
              <w:spacing w:after="0"/>
              <w:rPr>
                <w:sz w:val="24"/>
                <w:szCs w:val="24"/>
                <w:color w:val="auto"/>
              </w:rPr>
            </w:pPr>
          </w:p>
        </w:tc>
        <w:tc>
          <w:tcPr>
            <w:tcW w:w="2420" w:type="dxa"/>
            <w:vAlign w:val="bottom"/>
            <w:gridSpan w:val="5"/>
          </w:tcPr>
          <w:p>
            <w:pPr>
              <w:ind w:left="40"/>
              <w:spacing w:after="0"/>
              <w:rPr>
                <w:sz w:val="20"/>
                <w:szCs w:val="20"/>
                <w:color w:val="auto"/>
              </w:rPr>
            </w:pPr>
            <w:r>
              <w:rPr>
                <w:rFonts w:ascii="Arial" w:cs="Arial" w:eastAsia="Arial" w:hAnsi="Arial"/>
                <w:sz w:val="17"/>
                <w:szCs w:val="17"/>
                <w:b w:val="1"/>
                <w:bCs w:val="1"/>
                <w:color w:val="auto"/>
              </w:rPr>
              <w:t>Six Months Ended June 30,</w:t>
            </w: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cost</w:t>
            </w: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w:t>
            </w: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Short-term lease cost</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153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Lease cost</w:t>
            </w:r>
          </w:p>
        </w:tc>
        <w:tc>
          <w:tcPr>
            <w:tcW w:w="80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information related to operating leases was as follows for the three months ended June 30, 2021 and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5"/>
          </w:tcPr>
          <w:p>
            <w:pPr>
              <w:ind w:left="20"/>
              <w:spacing w:after="0"/>
              <w:rPr>
                <w:sz w:val="20"/>
                <w:szCs w:val="20"/>
                <w:color w:val="auto"/>
              </w:rPr>
            </w:pPr>
            <w:r>
              <w:rPr>
                <w:rFonts w:ascii="Arial" w:cs="Arial" w:eastAsia="Arial" w:hAnsi="Arial"/>
                <w:sz w:val="17"/>
                <w:szCs w:val="17"/>
                <w:b w:val="1"/>
                <w:bCs w:val="1"/>
                <w:color w:val="auto"/>
              </w:rPr>
              <w:t>Three Months Ended June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5"/>
          </w:tcPr>
          <w:p>
            <w:pPr>
              <w:jc w:val="right"/>
              <w:ind w:right="380"/>
              <w:spacing w:after="0"/>
              <w:rPr>
                <w:sz w:val="20"/>
                <w:szCs w:val="20"/>
                <w:color w:val="auto"/>
              </w:rPr>
            </w:pPr>
            <w:r>
              <w:rPr>
                <w:rFonts w:ascii="Arial" w:cs="Arial" w:eastAsia="Arial" w:hAnsi="Arial"/>
                <w:sz w:val="17"/>
                <w:szCs w:val="17"/>
                <w:b w:val="1"/>
                <w:bCs w:val="1"/>
                <w:color w:val="auto"/>
                <w:w w:val="91"/>
              </w:rPr>
              <w:t>Six Months Ended June 30,</w:t>
            </w:r>
          </w:p>
        </w:tc>
      </w:tr>
      <w:tr>
        <w:trPr>
          <w:trHeight w:val="209"/>
        </w:trPr>
        <w:tc>
          <w:tcPr>
            <w:tcW w:w="5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7"/>
                <w:szCs w:val="17"/>
                <w:color w:val="auto"/>
                <w:w w:val="96"/>
              </w:rPr>
              <w:t>Cash paid for amounts included in the measurement of lease liabilities: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5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cash outflow from operating leases</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734</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852</w:t>
            </w:r>
          </w:p>
        </w:tc>
      </w:tr>
      <w:tr>
        <w:trPr>
          <w:trHeight w:val="553"/>
        </w:trPr>
        <w:tc>
          <w:tcPr>
            <w:tcW w:w="518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jc w:val="right"/>
              <w:ind w:right="204"/>
              <w:spacing w:after="0"/>
              <w:rPr>
                <w:sz w:val="20"/>
                <w:szCs w:val="20"/>
                <w:color w:val="auto"/>
              </w:rPr>
            </w:pPr>
            <w:r>
              <w:rPr>
                <w:rFonts w:ascii="Arial" w:cs="Arial" w:eastAsia="Arial" w:hAnsi="Arial"/>
                <w:sz w:val="14"/>
                <w:szCs w:val="14"/>
                <w:color w:val="auto"/>
              </w:rPr>
              <w:t>18</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2"/>
        </w:trPr>
        <w:tc>
          <w:tcPr>
            <w:tcW w:w="5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2"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tcPr>
          <w:p>
            <w:pPr>
              <w:spacing w:after="0"/>
              <w:rPr>
                <w:rFonts w:ascii="Arial" w:cs="Arial" w:eastAsia="Arial" w:hAnsi="Arial"/>
                <w:sz w:val="14"/>
                <w:szCs w:val="14"/>
                <w:i w:val="1"/>
                <w:iCs w:val="1"/>
                <w:color w:val="0000EE"/>
                <w:w w:val="85"/>
              </w:rPr>
            </w:pPr>
            <w:hyperlink w:anchor="page2">
              <w:r>
                <w:rPr>
                  <w:rFonts w:ascii="Arial" w:cs="Arial" w:eastAsia="Arial" w:hAnsi="Arial"/>
                  <w:sz w:val="14"/>
                  <w:szCs w:val="14"/>
                  <w:i w:val="1"/>
                  <w:iCs w:val="1"/>
                  <w:color w:val="0000EE"/>
                  <w:w w:val="85"/>
                </w:rPr>
                <w:t>Table of Contents</w:t>
              </w:r>
            </w:hyperlink>
          </w:p>
        </w:tc>
        <w:tc>
          <w:tcPr>
            <w:tcW w:w="754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61"/>
        </w:trPr>
        <w:tc>
          <w:tcPr>
            <w:tcW w:w="8500" w:type="dxa"/>
            <w:vAlign w:val="bottom"/>
            <w:gridSpan w:val="3"/>
          </w:tcPr>
          <w:p>
            <w:pPr>
              <w:spacing w:after="0"/>
              <w:rPr>
                <w:sz w:val="20"/>
                <w:szCs w:val="20"/>
                <w:color w:val="auto"/>
              </w:rPr>
            </w:pPr>
            <w:r>
              <w:rPr>
                <w:rFonts w:ascii="Arial" w:cs="Arial" w:eastAsia="Arial" w:hAnsi="Arial"/>
                <w:sz w:val="17"/>
                <w:szCs w:val="17"/>
                <w:color w:val="auto"/>
              </w:rPr>
              <w:t>Maturities of lease liabilities for all operating leases were as follows as of June 30, 2021:</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7"/>
                <w:szCs w:val="17"/>
                <w:b w:val="1"/>
                <w:bCs w:val="1"/>
                <w:color w:val="auto"/>
                <w:w w:val="94"/>
              </w:rPr>
              <w:t>December 31,</w:t>
            </w:r>
          </w:p>
        </w:tc>
      </w:tr>
      <w:tr>
        <w:trPr>
          <w:trHeight w:val="204"/>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3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1,274</w:t>
            </w:r>
          </w:p>
        </w:tc>
        <w:tc>
          <w:tcPr>
            <w:tcW w:w="80" w:type="dxa"/>
            <w:vAlign w:val="bottom"/>
            <w:shd w:val="clear" w:color="auto" w:fill="CCEEFF"/>
          </w:tcPr>
          <w:p>
            <w:pPr>
              <w:spacing w:after="0"/>
              <w:rPr>
                <w:sz w:val="17"/>
                <w:szCs w:val="17"/>
                <w:color w:val="auto"/>
              </w:rPr>
            </w:pPr>
          </w:p>
        </w:tc>
      </w:tr>
      <w:tr>
        <w:trPr>
          <w:trHeight w:val="204"/>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2022</w:t>
            </w: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2,312</w:t>
            </w:r>
          </w:p>
        </w:tc>
        <w:tc>
          <w:tcPr>
            <w:tcW w:w="80" w:type="dxa"/>
            <w:vAlign w:val="bottom"/>
          </w:tcPr>
          <w:p>
            <w:pPr>
              <w:spacing w:after="0"/>
              <w:rPr>
                <w:sz w:val="17"/>
                <w:szCs w:val="17"/>
                <w:color w:val="auto"/>
              </w:rPr>
            </w:pPr>
          </w:p>
        </w:tc>
      </w:tr>
      <w:tr>
        <w:trPr>
          <w:trHeight w:val="204"/>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80" w:type="dxa"/>
            <w:vAlign w:val="bottom"/>
            <w:shd w:val="clear" w:color="auto" w:fill="CCEEFF"/>
          </w:tcPr>
          <w:p>
            <w:pPr>
              <w:spacing w:after="0"/>
              <w:rPr>
                <w:sz w:val="17"/>
                <w:szCs w:val="17"/>
                <w:color w:val="auto"/>
              </w:rPr>
            </w:pPr>
          </w:p>
        </w:tc>
      </w:tr>
      <w:tr>
        <w:trPr>
          <w:trHeight w:val="204"/>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2024</w:t>
            </w: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918</w:t>
            </w:r>
          </w:p>
        </w:tc>
        <w:tc>
          <w:tcPr>
            <w:tcW w:w="80" w:type="dxa"/>
            <w:vAlign w:val="bottom"/>
          </w:tcPr>
          <w:p>
            <w:pPr>
              <w:spacing w:after="0"/>
              <w:rPr>
                <w:sz w:val="17"/>
                <w:szCs w:val="17"/>
                <w:color w:val="auto"/>
              </w:rPr>
            </w:pPr>
          </w:p>
        </w:tc>
      </w:tr>
      <w:tr>
        <w:trPr>
          <w:trHeight w:val="209"/>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2025</w:t>
            </w: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4"/>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Total lease payments</w:t>
            </w: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5,551</w:t>
            </w:r>
          </w:p>
        </w:tc>
        <w:tc>
          <w:tcPr>
            <w:tcW w:w="80" w:type="dxa"/>
            <w:vAlign w:val="bottom"/>
          </w:tcPr>
          <w:p>
            <w:pPr>
              <w:spacing w:after="0"/>
              <w:rPr>
                <w:sz w:val="17"/>
                <w:szCs w:val="17"/>
                <w:color w:val="auto"/>
              </w:rPr>
            </w:pPr>
          </w:p>
        </w:tc>
      </w:tr>
      <w:tr>
        <w:trPr>
          <w:trHeight w:val="209"/>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Less: Interest</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(342)</w:t>
            </w:r>
          </w:p>
        </w:tc>
      </w:tr>
      <w:tr>
        <w:trPr>
          <w:trHeight w:val="204"/>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Present value of lease liabilities</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5,209</w:t>
            </w:r>
          </w:p>
        </w:tc>
        <w:tc>
          <w:tcPr>
            <w:tcW w:w="80" w:type="dxa"/>
            <w:vAlign w:val="bottom"/>
            <w:tcBorders>
              <w:top w:val="single" w:sz="8" w:color="CCEEFF"/>
            </w:tcBorders>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terms and discount rates for all operating leases were as follows as of June 30, 2021 and December 31, 2020: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Arial" w:cs="Arial" w:eastAsia="Arial" w:hAnsi="Arial"/>
                <w:sz w:val="17"/>
                <w:szCs w:val="17"/>
                <w:b w:val="1"/>
                <w:bCs w:val="1"/>
                <w:color w:val="auto"/>
              </w:rPr>
              <w:t>June 30,</w:t>
            </w:r>
          </w:p>
        </w:tc>
        <w:tc>
          <w:tcPr>
            <w:tcW w:w="11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6"/>
              </w:rPr>
              <w:t>December 31,</w:t>
            </w:r>
          </w:p>
        </w:tc>
      </w:tr>
      <w:tr>
        <w:trPr>
          <w:trHeight w:val="226"/>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255"/>
              <w:spacing w:after="0"/>
              <w:rPr>
                <w:sz w:val="20"/>
                <w:szCs w:val="20"/>
                <w:color w:val="auto"/>
              </w:rPr>
            </w:pPr>
            <w:r>
              <w:rPr>
                <w:rFonts w:ascii="Arial" w:cs="Arial" w:eastAsia="Arial" w:hAnsi="Arial"/>
                <w:sz w:val="17"/>
                <w:szCs w:val="17"/>
                <w:b w:val="1"/>
                <w:bCs w:val="1"/>
                <w:color w:val="auto"/>
                <w:w w:val="84"/>
              </w:rPr>
              <w:t>2021</w:t>
            </w:r>
          </w:p>
        </w:tc>
        <w:tc>
          <w:tcPr>
            <w:tcW w:w="260" w:type="dxa"/>
            <w:vAlign w:val="bottom"/>
          </w:tcPr>
          <w:p>
            <w:pPr>
              <w:spacing w:after="0"/>
              <w:rPr>
                <w:sz w:val="19"/>
                <w:szCs w:val="19"/>
                <w:color w:val="auto"/>
              </w:rPr>
            </w:pPr>
          </w:p>
        </w:tc>
        <w:tc>
          <w:tcPr>
            <w:tcW w:w="980" w:type="dxa"/>
            <w:vAlign w:val="bottom"/>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19"/>
                <w:szCs w:val="19"/>
                <w:color w:val="auto"/>
              </w:rPr>
            </w:pPr>
          </w:p>
        </w:tc>
      </w:tr>
      <w:tr>
        <w:trPr>
          <w:trHeight w:val="203"/>
        </w:trPr>
        <w:tc>
          <w:tcPr>
            <w:tcW w:w="7580" w:type="dxa"/>
            <w:vAlign w:val="bottom"/>
            <w:gridSpan w:val="3"/>
          </w:tcPr>
          <w:p>
            <w:pPr>
              <w:ind w:left="560"/>
              <w:spacing w:after="0"/>
              <w:rPr>
                <w:sz w:val="20"/>
                <w:szCs w:val="20"/>
                <w:color w:val="auto"/>
              </w:rPr>
            </w:pPr>
            <w:r>
              <w:rPr>
                <w:rFonts w:ascii="Arial" w:cs="Arial" w:eastAsia="Arial" w:hAnsi="Arial"/>
                <w:sz w:val="17"/>
                <w:szCs w:val="17"/>
                <w:color w:val="auto"/>
              </w:rPr>
              <w:t>Remaining lease term and discount rate:</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580" w:type="dxa"/>
            <w:vAlign w:val="bottom"/>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remaining lease term (years)</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ind w:left="380"/>
              <w:spacing w:after="0"/>
              <w:rPr>
                <w:sz w:val="20"/>
                <w:szCs w:val="20"/>
                <w:color w:val="auto"/>
              </w:rPr>
            </w:pPr>
            <w:r>
              <w:rPr>
                <w:rFonts w:ascii="Arial" w:cs="Arial" w:eastAsia="Arial" w:hAnsi="Arial"/>
                <w:sz w:val="17"/>
                <w:szCs w:val="17"/>
                <w:color w:val="auto"/>
                <w:w w:val="84"/>
              </w:rPr>
              <w:t>1.80</w:t>
            </w:r>
          </w:p>
        </w:tc>
        <w:tc>
          <w:tcPr>
            <w:tcW w:w="26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ind w:left="680"/>
              <w:spacing w:after="0"/>
              <w:rPr>
                <w:sz w:val="20"/>
                <w:szCs w:val="20"/>
                <w:color w:val="auto"/>
              </w:rPr>
            </w:pPr>
            <w:r>
              <w:rPr>
                <w:rFonts w:ascii="Arial" w:cs="Arial" w:eastAsia="Arial" w:hAnsi="Arial"/>
                <w:sz w:val="17"/>
                <w:szCs w:val="17"/>
                <w:color w:val="auto"/>
                <w:w w:val="84"/>
              </w:rPr>
              <w:t>2.11</w:t>
            </w:r>
          </w:p>
        </w:tc>
        <w:tc>
          <w:tcPr>
            <w:tcW w:w="140" w:type="dxa"/>
            <w:vAlign w:val="bottom"/>
            <w:shd w:val="clear" w:color="auto" w:fill="CCEEFF"/>
          </w:tcPr>
          <w:p>
            <w:pPr>
              <w:spacing w:after="0"/>
              <w:rPr>
                <w:sz w:val="17"/>
                <w:szCs w:val="17"/>
                <w:color w:val="auto"/>
              </w:rPr>
            </w:pPr>
          </w:p>
        </w:tc>
      </w:tr>
      <w:tr>
        <w:trPr>
          <w:trHeight w:val="215"/>
        </w:trPr>
        <w:tc>
          <w:tcPr>
            <w:tcW w:w="58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7"/>
                <w:szCs w:val="17"/>
                <w:color w:val="auto"/>
              </w:rPr>
              <w:t>Weighted average discount rate</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7"/>
                <w:szCs w:val="17"/>
                <w:color w:val="auto"/>
              </w:rPr>
              <w:t>4.59%</w:t>
            </w:r>
          </w:p>
        </w:tc>
        <w:tc>
          <w:tcPr>
            <w:tcW w:w="1120" w:type="dxa"/>
            <w:vAlign w:val="bottom"/>
            <w:gridSpan w:val="2"/>
          </w:tcPr>
          <w:p>
            <w:pPr>
              <w:ind w:left="660"/>
              <w:spacing w:after="0"/>
              <w:rPr>
                <w:sz w:val="20"/>
                <w:szCs w:val="20"/>
                <w:color w:val="auto"/>
              </w:rPr>
            </w:pPr>
            <w:r>
              <w:rPr>
                <w:rFonts w:ascii="Arial" w:cs="Arial" w:eastAsia="Arial" w:hAnsi="Arial"/>
                <w:sz w:val="17"/>
                <w:szCs w:val="17"/>
                <w:color w:val="auto"/>
                <w:w w:val="91"/>
              </w:rPr>
              <w:t>5.14%</w:t>
            </w:r>
          </w:p>
        </w:tc>
      </w:tr>
      <w:tr>
        <w:trPr>
          <w:trHeight w:val="421"/>
        </w:trPr>
        <w:tc>
          <w:tcPr>
            <w:tcW w:w="7580" w:type="dxa"/>
            <w:vAlign w:val="bottom"/>
            <w:gridSpan w:val="3"/>
          </w:tcPr>
          <w:p>
            <w:pPr>
              <w:spacing w:after="0"/>
              <w:rPr>
                <w:sz w:val="20"/>
                <w:szCs w:val="20"/>
                <w:color w:val="auto"/>
              </w:rPr>
            </w:pPr>
            <w:r>
              <w:rPr>
                <w:rFonts w:ascii="Arial" w:cs="Arial" w:eastAsia="Arial" w:hAnsi="Arial"/>
                <w:sz w:val="17"/>
                <w:szCs w:val="17"/>
                <w:b w:val="1"/>
                <w:bCs w:val="1"/>
                <w:color w:val="auto"/>
              </w:rPr>
              <w:t>NOTE 12 – LONG-TERM BORROWINGS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3"/>
        </w:trPr>
        <w:tc>
          <w:tcPr>
            <w:tcW w:w="7580" w:type="dxa"/>
            <w:vAlign w:val="bottom"/>
            <w:gridSpan w:val="3"/>
          </w:tcPr>
          <w:p>
            <w:pPr>
              <w:spacing w:after="0"/>
              <w:rPr>
                <w:sz w:val="20"/>
                <w:szCs w:val="20"/>
                <w:color w:val="auto"/>
              </w:rPr>
            </w:pPr>
            <w:r>
              <w:rPr>
                <w:rFonts w:ascii="Arial" w:cs="Arial" w:eastAsia="Arial" w:hAnsi="Arial"/>
                <w:sz w:val="17"/>
                <w:szCs w:val="17"/>
                <w:color w:val="auto"/>
              </w:rPr>
              <w:t>At June 30, 2021 and December 31, 2020, long-term borrowings consisted of the following:</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7"/>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85"/>
              </w:rPr>
              <w:t>June 30,</w:t>
            </w:r>
          </w:p>
        </w:tc>
        <w:tc>
          <w:tcPr>
            <w:tcW w:w="1040" w:type="dxa"/>
            <w:vAlign w:val="bottom"/>
            <w:gridSpan w:val="3"/>
          </w:tcPr>
          <w:p>
            <w:pPr>
              <w:spacing w:after="0"/>
              <w:rPr>
                <w:sz w:val="20"/>
                <w:szCs w:val="20"/>
                <w:color w:val="auto"/>
              </w:rPr>
            </w:pPr>
            <w:r>
              <w:rPr>
                <w:rFonts w:ascii="Arial" w:cs="Arial" w:eastAsia="Arial" w:hAnsi="Arial"/>
                <w:sz w:val="17"/>
                <w:szCs w:val="17"/>
                <w:b w:val="1"/>
                <w:bCs w:val="1"/>
                <w:color w:val="auto"/>
                <w:w w:val="90"/>
              </w:rPr>
              <w:t>December 31,</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6"/>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2021</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Loan from China Merchants Bank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18,968</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19,570</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Loan from Bank of China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1,548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Less: Current portion</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(1,799)</w:t>
            </w: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(1,591)</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
        </w:trPr>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4"/>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18,717</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17,979</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loan from China Merchants Bank is for the purpose of purchasing property in Lingang, Shanghai. The loan is repayable in 120 installments with the last installment due in November 2030, with an annual interest rate of 4.65%. The loan is pledged by the property of ACM Shengwei and guaranteed by ACM Shanghai. As of June 30, 2021, the right certificate of the pledged property has not been obtained and the procedures of the formal pledge registration in the bank had not been completed.</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loan from Bank of China is for the purpose of funding ACM Shanghai project expenditures. The loan bears interest at an annual rate of 2.6% and is repayable in 6 installments, with the last installment due in June 2024.</w:t>
      </w:r>
    </w:p>
    <w:p>
      <w:pPr>
        <w:spacing w:after="0" w:line="190" w:lineRule="exact"/>
        <w:rPr>
          <w:sz w:val="20"/>
          <w:szCs w:val="20"/>
          <w:color w:val="auto"/>
        </w:rPr>
      </w:pPr>
    </w:p>
    <w:p>
      <w:pPr>
        <w:jc w:val="center"/>
        <w:ind w:right="4440"/>
        <w:spacing w:after="0"/>
        <w:rPr>
          <w:sz w:val="20"/>
          <w:szCs w:val="20"/>
          <w:color w:val="auto"/>
        </w:rPr>
      </w:pPr>
      <w:r>
        <w:rPr>
          <w:rFonts w:ascii="Arial" w:cs="Arial" w:eastAsia="Arial" w:hAnsi="Arial"/>
          <w:sz w:val="15"/>
          <w:szCs w:val="15"/>
          <w:color w:val="auto"/>
        </w:rPr>
        <w:t>Scheduled principal payments for the outstanding long-term loan as of June 30, 2021 are as follows:</w:t>
      </w:r>
    </w:p>
    <w:p>
      <w:pPr>
        <w:spacing w:after="0" w:line="256"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Year ending December 31, 2021</w:t>
      </w:r>
    </w:p>
    <w:p>
      <w:pPr>
        <w:spacing w:after="0" w:line="24" w:lineRule="exact"/>
        <w:rPr>
          <w:sz w:val="20"/>
          <w:szCs w:val="20"/>
          <w:color w:val="auto"/>
        </w:rPr>
      </w:pPr>
    </w:p>
    <w:tbl>
      <w:tblPr>
        <w:tblLayout w:type="fixed"/>
        <w:tblInd w:w="2260" w:type="dxa"/>
        <w:tblCellMar>
          <w:top w:w="0" w:type="dxa"/>
          <w:left w:w="0" w:type="dxa"/>
          <w:bottom w:w="0" w:type="dxa"/>
          <w:right w:w="0" w:type="dxa"/>
        </w:tblCellMar>
      </w:tblPr>
      <w:tr>
        <w:trPr>
          <w:trHeight w:val="210"/>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890</w:t>
            </w:r>
          </w:p>
        </w:tc>
        <w:tc>
          <w:tcPr>
            <w:tcW w:w="80" w:type="dxa"/>
            <w:vAlign w:val="bottom"/>
            <w:shd w:val="clear" w:color="auto" w:fill="CCEEFF"/>
          </w:tcPr>
          <w:p>
            <w:pPr>
              <w:spacing w:after="0"/>
              <w:rPr>
                <w:sz w:val="18"/>
                <w:szCs w:val="18"/>
                <w:color w:val="auto"/>
              </w:rPr>
            </w:pPr>
          </w:p>
        </w:tc>
      </w:tr>
      <w:tr>
        <w:trPr>
          <w:trHeight w:val="204"/>
        </w:trPr>
        <w:tc>
          <w:tcPr>
            <w:tcW w:w="5980" w:type="dxa"/>
            <w:vAlign w:val="bottom"/>
          </w:tcPr>
          <w:p>
            <w:pPr>
              <w:spacing w:after="0"/>
              <w:rPr>
                <w:sz w:val="20"/>
                <w:szCs w:val="20"/>
                <w:color w:val="auto"/>
              </w:rPr>
            </w:pPr>
            <w:r>
              <w:rPr>
                <w:rFonts w:ascii="Arial" w:cs="Arial" w:eastAsia="Arial" w:hAnsi="Arial"/>
                <w:sz w:val="17"/>
                <w:szCs w:val="17"/>
                <w:color w:val="auto"/>
              </w:rPr>
              <w:t>2022</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1,837</w:t>
            </w:r>
          </w:p>
        </w:tc>
        <w:tc>
          <w:tcPr>
            <w:tcW w:w="80" w:type="dxa"/>
            <w:vAlign w:val="bottom"/>
          </w:tcPr>
          <w:p>
            <w:pPr>
              <w:spacing w:after="0"/>
              <w:rPr>
                <w:sz w:val="17"/>
                <w:szCs w:val="17"/>
                <w:color w:val="auto"/>
              </w:rPr>
            </w:pPr>
          </w:p>
        </w:tc>
      </w:tr>
      <w:tr>
        <w:trPr>
          <w:trHeight w:val="204"/>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w:t>
            </w:r>
          </w:p>
        </w:tc>
        <w:tc>
          <w:tcPr>
            <w:tcW w:w="80" w:type="dxa"/>
            <w:vAlign w:val="bottom"/>
            <w:shd w:val="clear" w:color="auto" w:fill="CCEEFF"/>
          </w:tcPr>
          <w:p>
            <w:pPr>
              <w:spacing w:after="0"/>
              <w:rPr>
                <w:sz w:val="17"/>
                <w:szCs w:val="17"/>
                <w:color w:val="auto"/>
              </w:rPr>
            </w:pPr>
          </w:p>
        </w:tc>
      </w:tr>
      <w:tr>
        <w:trPr>
          <w:trHeight w:val="204"/>
        </w:trPr>
        <w:tc>
          <w:tcPr>
            <w:tcW w:w="5980" w:type="dxa"/>
            <w:vAlign w:val="bottom"/>
          </w:tcPr>
          <w:p>
            <w:pPr>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3,007</w:t>
            </w:r>
          </w:p>
        </w:tc>
        <w:tc>
          <w:tcPr>
            <w:tcW w:w="80" w:type="dxa"/>
            <w:vAlign w:val="bottom"/>
          </w:tcPr>
          <w:p>
            <w:pPr>
              <w:spacing w:after="0"/>
              <w:rPr>
                <w:sz w:val="17"/>
                <w:szCs w:val="17"/>
                <w:color w:val="auto"/>
              </w:rPr>
            </w:pP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2025 and onwards</w:t>
            </w: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12,865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4"/>
        </w:trPr>
        <w:tc>
          <w:tcPr>
            <w:tcW w:w="5980" w:type="dxa"/>
            <w:vAlign w:val="bottom"/>
          </w:tcPr>
          <w:p>
            <w:pPr>
              <w:spacing w:after="0"/>
              <w:rPr>
                <w:sz w:val="17"/>
                <w:szCs w:val="17"/>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20,516</w:t>
            </w:r>
          </w:p>
        </w:tc>
        <w:tc>
          <w:tcPr>
            <w:tcW w:w="80" w:type="dxa"/>
            <w:vAlign w:val="bottom"/>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For the three months ended June 30, 2021, interest related to long-term borrowings of $227 was incurred, of which $3 was charged to interest expenses and $224 was capitalized as other long-term assets. For the six months ended June 30, 2021, interest related to long-term borrowings of $544 was incurred, of which $3 was charged to interest expenses and $541 was capitalized as other long-term assets</w:t>
      </w:r>
      <w:r>
        <w:rPr>
          <w:rFonts w:ascii="Arial" w:cs="Arial" w:eastAsia="Arial" w:hAnsi="Arial"/>
          <w:sz w:val="13"/>
          <w:szCs w:val="13"/>
          <w:color w:val="auto"/>
        </w:rPr>
        <w: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OTHER LONG-TERM LIABILITIES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Other long-term liabilities represent government subsidies received from PRC governmental authorities for development and commercialization of certain technology but not yet recognized. As of June 30, 2021 and December 31, 2020, other long-term liabilities consisted of the following unearned government subsidies:</w:t>
      </w:r>
    </w:p>
    <w:p>
      <w:pPr>
        <w:spacing w:after="0" w:line="196" w:lineRule="exact"/>
        <w:rPr>
          <w:sz w:val="20"/>
          <w:szCs w:val="20"/>
          <w:color w:val="auto"/>
        </w:rPr>
      </w:pPr>
    </w:p>
    <w:tbl>
      <w:tblPr>
        <w:tblLayout w:type="fixed"/>
        <w:tblInd w:w="11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auto"/>
                <w:w w:val="88"/>
              </w:rPr>
              <w:t>June 30,</w:t>
            </w:r>
          </w:p>
        </w:tc>
        <w:tc>
          <w:tcPr>
            <w:tcW w:w="1240" w:type="dxa"/>
            <w:vAlign w:val="bottom"/>
            <w:gridSpan w:val="4"/>
          </w:tcPr>
          <w:p>
            <w:pPr>
              <w:ind w:left="160"/>
              <w:spacing w:after="0"/>
              <w:rPr>
                <w:sz w:val="20"/>
                <w:szCs w:val="20"/>
                <w:color w:val="auto"/>
              </w:rPr>
            </w:pPr>
            <w:r>
              <w:rPr>
                <w:rFonts w:ascii="Arial" w:cs="Arial" w:eastAsia="Arial" w:hAnsi="Arial"/>
                <w:sz w:val="17"/>
                <w:szCs w:val="17"/>
                <w:b w:val="1"/>
                <w:bCs w:val="1"/>
                <w:color w:val="auto"/>
                <w:w w:val="95"/>
              </w:rPr>
              <w:t>December 31,</w:t>
            </w:r>
          </w:p>
        </w:tc>
      </w:tr>
      <w:tr>
        <w:trPr>
          <w:trHeight w:val="226"/>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Subsidies to Stress Free Polishing project, commenced in 2008 and 2017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0D0D0D"/>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1,266</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Subsidies to Electro Copper Plating project, commenced in 2014</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1,922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0D0D0D"/>
              </w:rPr>
              <w:t>2,156</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Subsidies to Polytetrafluoroethylene, commenced in 2018</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130</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Subsidies to Tahoe-Single Bench Clean, commenced in 2020</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0D0D0D"/>
              </w:rPr>
              <w:t>1,544</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Subsidies to Backside Clean-YMTC National Project, commenced in 2020</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2,591</w:t>
            </w:r>
          </w:p>
        </w:tc>
        <w:tc>
          <w:tcPr>
            <w:tcW w:w="8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D0D0D"/>
              </w:rPr>
              <w:t>347</w:t>
            </w:r>
          </w:p>
        </w:tc>
        <w:tc>
          <w:tcPr>
            <w:tcW w:w="8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4,557</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0D0D0D"/>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0D0D0D"/>
              </w:rPr>
              <w:t>8,034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LONG-TERM INVESTMENT</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September 6, 2017, ACM and Ninebell Co., Ltd. (“Ninebell”), a Korean company that is one of the Company’s principal material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June 27, 2019, ACM Shanghai and Shengyi Semiconductor Technology Co., Ltd. (“Shengyi”), a company based in Wuxi, China that is one of the Company’s component suppliers, entered into an agreement pursuant to which Shengyi issued to ACM Shanghai shares representing 15% of Shengyi’s post-closing equity for a purchase price of $109. The investment in Shengyi is accounted for under the equity method.</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September 5,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a Chinese limited partnership based in Hefei, China. Pursuant to such Partnership Agreement, on September 30, 2019, ACM Shanghai invested RMB 30,000 ($4,200), which represented 10% of the partnership’s total subscribed capital. The investment in Hefei Shixi Chanheng Integrated Circuit Industry Venture Capital Fund Partnership (LP) is accounted for under the equity method in accordance with ASC 323-30-S99-1.</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treats the equity investment in the consolidated financial statements under the equity method. Under the equity method, the investment is initially recorded at cost, adjusted for any excess of the Company’s share of the incorporated-date fair values of the investee’s identifiable net assets over the cost of the investment (if any). Thereafter, the investment is adjusted for the post incorporation change in the Company’s share of the investee’s net assets and any impairment loss relating to the investment.</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Arial" w:cs="Arial" w:eastAsia="Arial" w:hAnsi="Arial"/>
                <w:sz w:val="17"/>
                <w:szCs w:val="17"/>
                <w:b w:val="1"/>
                <w:bCs w:val="1"/>
                <w:color w:val="auto"/>
                <w:w w:val="96"/>
              </w:rPr>
              <w:t>June 30,</w:t>
            </w:r>
          </w:p>
        </w:tc>
        <w:tc>
          <w:tcPr>
            <w:tcW w:w="2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b w:val="1"/>
                <w:bCs w:val="1"/>
                <w:color w:val="auto"/>
                <w:w w:val="86"/>
              </w:rPr>
              <w:t>December 31,</w:t>
            </w:r>
          </w:p>
        </w:tc>
        <w:tc>
          <w:tcPr>
            <w:tcW w:w="80" w:type="dxa"/>
            <w:vAlign w:val="bottom"/>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Ninebell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74"/>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1,666</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Shengyi</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134</w:t>
            </w:r>
          </w:p>
        </w:tc>
        <w:tc>
          <w:tcPr>
            <w:tcW w:w="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Hefei Shixi</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4,543</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7,006</w:t>
            </w:r>
          </w:p>
        </w:tc>
        <w:tc>
          <w:tcPr>
            <w:tcW w:w="42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6,340</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share of equity investees’ net income was $295 and $209, for the three months ended June 30, 2021 and 2020, respectively, and $615 and $357 for the six-months ended June 30, 2021 and 2020, respectively, which amounts were included in equity income in net income of affiliates in the accompanying condensed consolidated statements of operations and comprehensive income.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FINANCIAL LIABILITY CARRIED AT FAIR VALUE</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December 2016 Shengxin (Shanghai) Management Consulting Limited Partnership (“SMC”) paid 20,123,500 RMB ($2,981 as of the date of funding) (the “SMC Investment”) to ACM Shanghai as an investment pursuant to terms to be subsequently negotiated. SMC is a PRC limited partnership partially owned by employees of ACM Shanghai.</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March 2017 (a) ACM issued to SMC a warrant (the “2017 Warrant”) exercisable to purchase 397,502 shares of Class A common stock at a price of $7.50 per share, for a total exercise price of $2,981, and (b) ACM Shanghai agreed to repay the SMC Investment within 60 days after the exercise of the 2017 Warrant. In March 2018 SMC exercised the 2017 Warrant in full, as a result of which (1) ACM issued 397,502 shares of Class A common stock to SMC (the “2017 Warrant Shares”), (2) SMC borrowed the funds to pay the 2017 Warrant exercise price pursuant to a senior secured promissory note (the “SMC Note”) in the principal amount of $2,981 issued to ACM Shanghai, which in turn issued to ACM a promissory note (the “Intercompany Note”) in the principal amount of $2,981 in payment of the 2017 Warrant exercise price. Each of the SMC Note and the Intercompany Note bore interest at a rate of 3.01% per annum and matured on August 17, 2023. The SMC Note was secured by a pledge of the 2017 Warrant Shares.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connection with its follow-on public offering of Class A common stock in August 2019, ACM agreed to purchase a total of 154,821 of the 2017 Warrant Shares from SMC at a per share price of $13.195, of which (a) $1,161 was applied to reduce SMC’s obligations to ACM Shanghai under the SMC Note, and which ACM then withheld for its own account and applied to reduce ACM Shanghai’s obligations to ACM under the Intercompany Note, and (b) the remaining $882 was paid to SMC. In a separate transaction, ACM Shanghai repaid $1,161 of the SMC Investment in cash, which reduced the amount of the SMC Investment due to SMC to $1,820.</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The SMC Note and SMC Investment were offsetting items in the Company’s consolidated balance sheet in accordance with ASC 210-20-45-1 up to April 30, 2020.</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preparation for the STAR IPO, ACM Shanghai was required to terminate its financial relationship with SMC. In order to facilitate such termination, on April 30, 2020, ACM entered into two agreements relating to outstanding obligations among ACM Research, ACM Shanghai and SMC. Pursuant to such agreements: (i) ACM Shanghai assigned to ACM its rights under the SMC Note, including the right to receive payment of the $1,820 payable thereunder; (ii) ACM cancelled the outstanding $1,820 obligation of ACM Shanghai under the Intercompany Note; (iii) SMC surrendered its remaining 242,681 2017 Warrant Shares to ACM Research; and (iv) in exchange for such 242,681 2017 Warrant Shares, ACM agreed to deliver to SMC certain consideration (“SMC Consideration”) agreed upon by ACM Research and SMC, subject to obtaining certain PRC regulatory approvals. Under the agreements, if the required approvals were not obtained by December 31, 2023, ACM would cancel the SMC Note as consideration for the 242,681 2017 Warrant Shares. In a separate transaction in April 2020, ACM Shanghai repaid the remaining $1,820 of the SMC Investment in cash.</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Beginning April 30, 2020, the SMC Consideration was accounted for as a financial liability, and the Company applied the fair value measurement option to value the SMC Consideration in accordance with ASC 825-10-15-4a. On April 30, 2020, the SMC Consideration was $9,715, which reflected cancellation of the 2017 Warrant Shares and was recorded in equity. The financial liability was remeasured to fair value as of the end of each subsequent reporting period.</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29, 2020, ACM and SMC entered into an amended agreement under which, in settlement of the SMC Consideration, ACM issued to SMC a warrant (the “2020 Warrant”) to purchase 242,681 shares of Class A common stock at a purchase price of $7.50 per share, and ACM cancelled the SMC Note. The financial liability was remeasured to fair value of $21,679 as of July 29, 2020, and was retired with the issuance of the 2020 Warrant. The Company recognized a change in fair value of financial liability of $11,964 for the year ended December 31, 2020, which was reflected in the consolidated statement of operations. The Company recorded the difference of $19,859 between the 2020 Warrant of $21,679 and the SMC Note of $1,820 into equity.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2020 Warrant was initially measured at fair value at the issuance date and classified as equity permanently in accordance with ASC 815. The fair value of the 2020 Warrant amounted to $21,679, based on the grant date using the Black-Scholes valuation model with the following assumptions:</w:t>
      </w:r>
    </w:p>
    <w:p>
      <w:pPr>
        <w:spacing w:after="0" w:line="186" w:lineRule="exact"/>
        <w:rPr>
          <w:sz w:val="20"/>
          <w:szCs w:val="20"/>
          <w:color w:val="auto"/>
        </w:rPr>
      </w:pPr>
    </w:p>
    <w:tbl>
      <w:tblPr>
        <w:tblLayout w:type="fixed"/>
        <w:tblInd w:w="226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6"/>
              </w:rPr>
              <w:t>July 29,</w:t>
            </w:r>
          </w:p>
        </w:tc>
      </w:tr>
      <w:tr>
        <w:trPr>
          <w:trHeight w:val="226"/>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2020</w:t>
            </w:r>
          </w:p>
        </w:tc>
        <w:tc>
          <w:tcPr>
            <w:tcW w:w="16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common share(1)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   89.28</w:t>
            </w:r>
          </w:p>
        </w:tc>
        <w:tc>
          <w:tcPr>
            <w:tcW w:w="16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3.42</w:t>
            </w:r>
          </w:p>
        </w:tc>
      </w:tr>
      <w:tr>
        <w:trPr>
          <w:trHeight w:val="204"/>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Volatility(3)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47.42%</w:t>
            </w:r>
          </w:p>
        </w:tc>
      </w:tr>
      <w:tr>
        <w:trPr>
          <w:trHeight w:val="204"/>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0.15%</w:t>
            </w:r>
          </w:p>
        </w:tc>
      </w:tr>
      <w:tr>
        <w:trPr>
          <w:trHeight w:val="204"/>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r>
    </w:tbl>
    <w:p>
      <w:pPr>
        <w:spacing w:after="0" w:line="217" w:lineRule="exact"/>
        <w:rPr>
          <w:sz w:val="20"/>
          <w:szCs w:val="20"/>
          <w:color w:val="auto"/>
        </w:rPr>
      </w:pPr>
    </w:p>
    <w:p>
      <w:pPr>
        <w:ind w:left="460" w:hanging="458"/>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Fair value of Class A common stock was the closing market price of the Class A common stock on July 29, 2020.</w:t>
      </w:r>
    </w:p>
    <w:p>
      <w:pPr>
        <w:spacing w:after="0" w:line="19" w:lineRule="exact"/>
        <w:rPr>
          <w:rFonts w:ascii="Arial" w:cs="Arial" w:eastAsia="Arial" w:hAnsi="Arial"/>
          <w:sz w:val="17"/>
          <w:szCs w:val="17"/>
          <w:color w:val="auto"/>
        </w:rPr>
      </w:pPr>
    </w:p>
    <w:p>
      <w:pPr>
        <w:ind w:left="460" w:hanging="458"/>
        <w:spacing w:after="0" w:line="250"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Expected term of share options was based on the average of the vesting period and the contractual term for each grant according to Staff Accounting Bulletin 110.</w:t>
      </w:r>
    </w:p>
    <w:p>
      <w:pPr>
        <w:ind w:left="460" w:hanging="458"/>
        <w:spacing w:after="0" w:line="250"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Volatility was calculated based on the historical volatility of the stock of companies comparable to ACM in the period equal to the expected term of each grant.</w:t>
      </w:r>
    </w:p>
    <w:p>
      <w:pPr>
        <w:ind w:left="460" w:hanging="458"/>
        <w:spacing w:after="0" w:line="250"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Risk-free interest rate was based on the yields of U.S. Treasury securities with maturities similar to the expected term of the share options in effect at the time of grant.</w:t>
      </w:r>
    </w:p>
    <w:p>
      <w:pPr>
        <w:ind w:left="460" w:hanging="458"/>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Expected dividend was assumed to be 0%, as ACM had no history or expectation of paying a dividend on its common stock.</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June 9, 2021, subsequent to its obtaining the necessary PRC approvals, SMC exercised the 2020 Warrant by paying the $1,820 exercise price to ACM and surrendering the 2020 Warrant to ACM. In return, ACM delivered 242,681 shares of ACM Class A common stock to SMC.</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TRADING SECURITIES</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Pursuant to a Partnership Agreement dated June 9, 2020 (the “Partnership Agreement”) and a Supplementary Agreement thereto dated June 15, 2020 (the “Supplementary Agreement”), ACM Shanghai became a limited partner of Qingdao Fortune-Tech Xinxing Capital Partnership (L.P.), a Chinese limited partnership based in Shanghai, China (the “Partnership”) of which China Fortune-Tech Capital Co., Ltd serves as general partner and thirteen unaffiliated entities serve, with ACM Shanghai, as limited partners. The Partnership was formed to establish a special fund that would purchase, in a strategic placement, shares of Semiconductor Manufacturing International Corporation, (“SMIC”) to be listed on the STAR Market. SMIC is a Shanghai-based foundry that has been a customer of the Company’s single-wafer wet-cleaning tools. The limited partners of the Partnership contributed to the fund a total of RMB 2.224 billion ($315,000), of which ACM Shanghai contributed RMB 100 million ($14.2 million), or 4.3% of the total contribution, on June 18, 2020.</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Upon the closing of the SMIC offering in July 2020, the initial number of SMIC shares owned by the Partnership was apportioned to all of the limited partners in proportion to their respective capital contributions (4.3% in the case of ACM Shanghai). All of the SMIC shares acquired by the Partnership are subject, under applicable Chinese laws, to lock-up restrictions that prevent sales of the shares for one year after the shares were acquired. Thereafter an individual limited partner will be able to instruct the general partner to sell, on behalf of the limited partner, all or a portion of the limited partner’s apportioned shares, subject to compliance with all laws, regulations, trading rules, the Partnership Agreement and the Supplementary Agreement. Alternatively, following the lock-up period, limited partners holding at least thirty percent of the total SMIC shares held by the Partnership will be able, pursuant to a call auction in accordance with the Supplementary Agreement, to cause the general partner to arrange to sell all of the shares desired to be offered by each of the limited partners that complies with procedural requirements provided in the Supplementary Agreement.</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SMIC was listed on the STAR Market in July 2020, ACM Shanghai’s investment is accounted for as trading securities and is stated at fair market value, which is classified as Level 2 of the hierarchy established under ASC 820 with valuations based on quoted prices for identical securities in active markets, less a discount applied to reflect the remaining lock-up period.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gridSpan w:val="2"/>
          </w:tcPr>
          <w:p>
            <w:pPr>
              <w:spacing w:after="0"/>
              <w:rPr>
                <w:sz w:val="20"/>
                <w:szCs w:val="20"/>
                <w:color w:val="auto"/>
              </w:rPr>
            </w:pPr>
            <w:r>
              <w:rPr>
                <w:rFonts w:ascii="Arial" w:cs="Arial" w:eastAsia="Arial" w:hAnsi="Arial"/>
                <w:sz w:val="17"/>
                <w:szCs w:val="17"/>
                <w:color w:val="auto"/>
              </w:rPr>
              <w:t>The components of trading securities were as follows: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auto"/>
                <w:w w:val="88"/>
              </w:rPr>
              <w:t>June 30,</w:t>
            </w:r>
          </w:p>
        </w:tc>
        <w:tc>
          <w:tcPr>
            <w:tcW w:w="1240" w:type="dxa"/>
            <w:vAlign w:val="bottom"/>
            <w:gridSpan w:val="4"/>
          </w:tcPr>
          <w:p>
            <w:pPr>
              <w:ind w:left="160"/>
              <w:spacing w:after="0"/>
              <w:rPr>
                <w:sz w:val="20"/>
                <w:szCs w:val="20"/>
                <w:color w:val="auto"/>
              </w:rPr>
            </w:pPr>
            <w:r>
              <w:rPr>
                <w:rFonts w:ascii="Arial" w:cs="Arial" w:eastAsia="Arial" w:hAnsi="Arial"/>
                <w:sz w:val="17"/>
                <w:szCs w:val="17"/>
                <w:b w:val="1"/>
                <w:bCs w:val="1"/>
                <w:color w:val="auto"/>
                <w:w w:val="95"/>
              </w:rPr>
              <w:t>December 31,</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60" w:type="dxa"/>
            <w:vAlign w:val="bottom"/>
            <w:gridSpan w:val="2"/>
          </w:tcPr>
          <w:p>
            <w:pPr>
              <w:ind w:left="1120"/>
              <w:spacing w:after="0"/>
              <w:rPr>
                <w:sz w:val="20"/>
                <w:szCs w:val="20"/>
                <w:color w:val="auto"/>
              </w:rPr>
            </w:pPr>
            <w:r>
              <w:rPr>
                <w:rFonts w:ascii="Arial" w:cs="Arial" w:eastAsia="Arial" w:hAnsi="Arial"/>
                <w:sz w:val="17"/>
                <w:szCs w:val="17"/>
                <w:color w:val="auto"/>
              </w:rPr>
              <w:t>Trading securities listed in Shanghai Stock Exchange</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Cost</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15,167</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15,020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vMerge w:val="restart"/>
          </w:tcPr>
          <w:p>
            <w:pPr>
              <w:spacing w:after="0"/>
              <w:rPr>
                <w:sz w:val="17"/>
                <w:szCs w:val="17"/>
                <w:color w:val="auto"/>
              </w:rPr>
            </w:pPr>
          </w:p>
        </w:tc>
        <w:tc>
          <w:tcPr>
            <w:tcW w:w="5220" w:type="dxa"/>
            <w:vAlign w:val="bottom"/>
          </w:tcPr>
          <w:p>
            <w:pPr>
              <w:spacing w:after="0"/>
              <w:rPr>
                <w:sz w:val="17"/>
                <w:szCs w:val="17"/>
                <w:color w:val="auto"/>
              </w:rPr>
            </w:pPr>
          </w:p>
        </w:tc>
        <w:tc>
          <w:tcPr>
            <w:tcW w:w="174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vMerge w:val="continue"/>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Market value</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31,257</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28,239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Unrealized gain on trading securities, net of exchange difference amounted to $3,783 for the three months ended June 30, 2021, and $2,736 for the six months ended June 30, 2021.</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00" w:type="dxa"/>
            <w:vAlign w:val="bottom"/>
            <w:gridSpan w:val="2"/>
          </w:tcPr>
          <w:p>
            <w:pPr>
              <w:spacing w:after="0"/>
              <w:rPr>
                <w:sz w:val="20"/>
                <w:szCs w:val="20"/>
                <w:color w:val="auto"/>
              </w:rPr>
            </w:pPr>
            <w:r>
              <w:rPr>
                <w:rFonts w:ascii="Arial" w:cs="Arial" w:eastAsia="Arial" w:hAnsi="Arial"/>
                <w:sz w:val="17"/>
                <w:szCs w:val="17"/>
                <w:b w:val="1"/>
                <w:bCs w:val="1"/>
                <w:color w:val="auto"/>
              </w:rPr>
              <w:t>NOTE 17 – RELATED PARTY BALANCES AND TRANSACTIONS</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9"/>
        </w:trPr>
        <w:tc>
          <w:tcPr>
            <w:tcW w:w="5300" w:type="dxa"/>
            <w:vAlign w:val="bottom"/>
            <w:gridSpan w:val="2"/>
          </w:tcPr>
          <w:p>
            <w:pPr>
              <w:spacing w:after="0"/>
              <w:rPr>
                <w:sz w:val="20"/>
                <w:szCs w:val="20"/>
                <w:color w:val="auto"/>
              </w:rPr>
            </w:pPr>
            <w:r>
              <w:rPr>
                <w:rFonts w:ascii="Arial" w:cs="Arial" w:eastAsia="Arial" w:hAnsi="Arial"/>
                <w:sz w:val="17"/>
                <w:szCs w:val="17"/>
                <w:b w:val="1"/>
                <w:bCs w:val="1"/>
                <w:color w:val="auto"/>
              </w:rPr>
              <w:t>Prepaid expenses</w:t>
            </w:r>
          </w:p>
        </w:tc>
        <w:tc>
          <w:tcPr>
            <w:tcW w:w="1060" w:type="dxa"/>
            <w:vAlign w:val="bottom"/>
            <w:gridSpan w:val="3"/>
          </w:tcPr>
          <w:p>
            <w:pPr>
              <w:spacing w:after="0"/>
              <w:rPr>
                <w:sz w:val="20"/>
                <w:szCs w:val="20"/>
                <w:color w:val="auto"/>
              </w:rPr>
            </w:pPr>
            <w:r>
              <w:rPr>
                <w:rFonts w:ascii="Arial" w:cs="Arial" w:eastAsia="Arial" w:hAnsi="Arial"/>
                <w:sz w:val="17"/>
                <w:szCs w:val="17"/>
                <w:b w:val="1"/>
                <w:bCs w:val="1"/>
                <w:color w:val="auto"/>
                <w:w w:val="94"/>
              </w:rPr>
              <w:t>June 30, 2021</w:t>
            </w:r>
          </w:p>
        </w:tc>
        <w:tc>
          <w:tcPr>
            <w:tcW w:w="1520" w:type="dxa"/>
            <w:vAlign w:val="bottom"/>
            <w:gridSpan w:val="4"/>
          </w:tcPr>
          <w:p>
            <w:pPr>
              <w:ind w:left="80"/>
              <w:spacing w:after="0"/>
              <w:rPr>
                <w:sz w:val="20"/>
                <w:szCs w:val="20"/>
                <w:color w:val="auto"/>
              </w:rPr>
            </w:pPr>
            <w:r>
              <w:rPr>
                <w:rFonts w:ascii="Arial" w:cs="Arial" w:eastAsia="Arial" w:hAnsi="Arial"/>
                <w:sz w:val="17"/>
                <w:szCs w:val="17"/>
                <w:b w:val="1"/>
                <w:bCs w:val="1"/>
                <w:color w:val="auto"/>
                <w:w w:val="92"/>
              </w:rPr>
              <w:t>December 31, 2020</w:t>
            </w:r>
          </w:p>
        </w:tc>
      </w:tr>
      <w:tr>
        <w:trPr>
          <w:trHeight w:val="244"/>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Ninebell</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29"/>
        </w:trPr>
        <w:tc>
          <w:tcPr>
            <w:tcW w:w="5300" w:type="dxa"/>
            <w:vAlign w:val="bottom"/>
            <w:gridSpan w:val="2"/>
          </w:tcPr>
          <w:p>
            <w:pPr>
              <w:spacing w:after="0"/>
              <w:rPr>
                <w:sz w:val="20"/>
                <w:szCs w:val="20"/>
                <w:color w:val="auto"/>
              </w:rPr>
            </w:pPr>
            <w:r>
              <w:rPr>
                <w:rFonts w:ascii="Arial" w:cs="Arial" w:eastAsia="Arial" w:hAnsi="Arial"/>
                <w:sz w:val="17"/>
                <w:szCs w:val="17"/>
                <w:b w:val="1"/>
                <w:bCs w:val="1"/>
                <w:color w:val="auto"/>
              </w:rPr>
              <w:t>Accounts payable</w:t>
            </w:r>
          </w:p>
        </w:tc>
        <w:tc>
          <w:tcPr>
            <w:tcW w:w="1060" w:type="dxa"/>
            <w:vAlign w:val="bottom"/>
            <w:gridSpan w:val="3"/>
          </w:tcPr>
          <w:p>
            <w:pPr>
              <w:spacing w:after="0"/>
              <w:rPr>
                <w:sz w:val="20"/>
                <w:szCs w:val="20"/>
                <w:color w:val="auto"/>
              </w:rPr>
            </w:pPr>
            <w:r>
              <w:rPr>
                <w:rFonts w:ascii="Arial" w:cs="Arial" w:eastAsia="Arial" w:hAnsi="Arial"/>
                <w:sz w:val="17"/>
                <w:szCs w:val="17"/>
                <w:b w:val="1"/>
                <w:bCs w:val="1"/>
                <w:color w:val="auto"/>
                <w:w w:val="94"/>
              </w:rPr>
              <w:t>June 30, 2021</w:t>
            </w:r>
          </w:p>
        </w:tc>
        <w:tc>
          <w:tcPr>
            <w:tcW w:w="1520" w:type="dxa"/>
            <w:vAlign w:val="bottom"/>
            <w:gridSpan w:val="4"/>
          </w:tcPr>
          <w:p>
            <w:pPr>
              <w:ind w:left="80"/>
              <w:spacing w:after="0"/>
              <w:rPr>
                <w:sz w:val="20"/>
                <w:szCs w:val="20"/>
                <w:color w:val="auto"/>
              </w:rPr>
            </w:pPr>
            <w:r>
              <w:rPr>
                <w:rFonts w:ascii="Arial" w:cs="Arial" w:eastAsia="Arial" w:hAnsi="Arial"/>
                <w:sz w:val="17"/>
                <w:szCs w:val="17"/>
                <w:b w:val="1"/>
                <w:bCs w:val="1"/>
                <w:color w:val="auto"/>
                <w:w w:val="92"/>
              </w:rPr>
              <w:t>December 31, 2020</w:t>
            </w:r>
          </w:p>
        </w:tc>
      </w:tr>
      <w:tr>
        <w:trPr>
          <w:trHeight w:val="204"/>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Ninebell</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2,898</w:t>
            </w:r>
          </w:p>
        </w:tc>
        <w:tc>
          <w:tcPr>
            <w:tcW w:w="8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Shengyi</w:t>
            </w:r>
          </w:p>
        </w:tc>
        <w:tc>
          <w:tcPr>
            <w:tcW w:w="3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594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1,195</w:t>
            </w:r>
          </w:p>
        </w:tc>
      </w:tr>
      <w:tr>
        <w:trPr>
          <w:trHeight w:val="244"/>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100" w:type="dxa"/>
            <w:vAlign w:val="bottom"/>
            <w:gridSpan w:val="4"/>
          </w:tcPr>
          <w:p>
            <w:pPr>
              <w:jc w:val="right"/>
              <w:ind w:right="262"/>
              <w:spacing w:after="0"/>
              <w:rPr>
                <w:sz w:val="20"/>
                <w:szCs w:val="20"/>
                <w:color w:val="auto"/>
              </w:rPr>
            </w:pPr>
            <w:r>
              <w:rPr>
                <w:rFonts w:ascii="Arial" w:cs="Arial" w:eastAsia="Arial" w:hAnsi="Arial"/>
                <w:sz w:val="17"/>
                <w:szCs w:val="17"/>
                <w:b w:val="1"/>
                <w:bCs w:val="1"/>
                <w:color w:val="auto"/>
              </w:rPr>
              <w:t>Three Months</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7"/>
                <w:szCs w:val="17"/>
                <w:b w:val="1"/>
                <w:bCs w:val="1"/>
                <w:color w:val="auto"/>
              </w:rPr>
              <w:t>Six Months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100" w:type="dxa"/>
            <w:vAlign w:val="bottom"/>
            <w:gridSpan w:val="4"/>
          </w:tcPr>
          <w:p>
            <w:pPr>
              <w:jc w:val="right"/>
              <w:ind w:right="222"/>
              <w:spacing w:after="0"/>
              <w:rPr>
                <w:sz w:val="20"/>
                <w:szCs w:val="20"/>
                <w:color w:val="auto"/>
              </w:rPr>
            </w:pPr>
            <w:r>
              <w:rPr>
                <w:rFonts w:ascii="Arial" w:cs="Arial" w:eastAsia="Arial" w:hAnsi="Arial"/>
                <w:sz w:val="17"/>
                <w:szCs w:val="17"/>
                <w:b w:val="1"/>
                <w:bCs w:val="1"/>
                <w:color w:val="auto"/>
              </w:rPr>
              <w:t>Ended June 30,</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tcPr>
          <w:p>
            <w:pPr>
              <w:jc w:val="right"/>
              <w:ind w:right="760"/>
              <w:spacing w:after="0"/>
              <w:rPr>
                <w:sz w:val="20"/>
                <w:szCs w:val="20"/>
                <w:color w:val="auto"/>
              </w:rPr>
            </w:pPr>
            <w:r>
              <w:rPr>
                <w:rFonts w:ascii="Arial" w:cs="Arial" w:eastAsia="Arial" w:hAnsi="Arial"/>
                <w:sz w:val="17"/>
                <w:szCs w:val="17"/>
                <w:b w:val="1"/>
                <w:bCs w:val="1"/>
                <w:color w:val="auto"/>
              </w:rPr>
              <w:t>Ended June 30,</w:t>
            </w:r>
          </w:p>
        </w:tc>
      </w:tr>
      <w:tr>
        <w:trPr>
          <w:trHeight w:val="209"/>
        </w:trPr>
        <w:tc>
          <w:tcPr>
            <w:tcW w:w="5980" w:type="dxa"/>
            <w:vAlign w:val="bottom"/>
            <w:gridSpan w:val="2"/>
          </w:tcPr>
          <w:p>
            <w:pPr>
              <w:spacing w:after="0"/>
              <w:rPr>
                <w:sz w:val="20"/>
                <w:szCs w:val="20"/>
                <w:color w:val="auto"/>
              </w:rPr>
            </w:pPr>
            <w:r>
              <w:rPr>
                <w:rFonts w:ascii="Arial" w:cs="Arial" w:eastAsia="Arial" w:hAnsi="Arial"/>
                <w:sz w:val="17"/>
                <w:szCs w:val="17"/>
                <w:b w:val="1"/>
                <w:bCs w:val="1"/>
                <w:color w:val="auto"/>
              </w:rPr>
              <w:t>Purchase of materials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w w:val="95"/>
              </w:rPr>
              <w:t>2020</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Ninebell</w:t>
            </w:r>
          </w:p>
        </w:tc>
        <w:tc>
          <w:tcPr>
            <w:tcW w:w="740" w:type="dxa"/>
            <w:vAlign w:val="bottom"/>
            <w:shd w:val="clear" w:color="auto" w:fill="CCEEFF"/>
          </w:tcPr>
          <w:p>
            <w:pPr>
              <w:jc w:val="right"/>
              <w:ind w:right="579"/>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7,496</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3,370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14,378</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5,523</w:t>
            </w: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Shengyi</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287</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456</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645</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514</w:t>
            </w:r>
          </w:p>
        </w:tc>
      </w:tr>
      <w:tr>
        <w:trPr>
          <w:trHeight w:val="244"/>
        </w:trPr>
        <w:tc>
          <w:tcPr>
            <w:tcW w:w="2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74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7,783</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3,826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15,023</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160" w:type="dxa"/>
            <w:vAlign w:val="bottom"/>
            <w:gridSpan w:val="4"/>
          </w:tcPr>
          <w:p>
            <w:pPr>
              <w:jc w:val="right"/>
              <w:ind w:right="322"/>
              <w:spacing w:after="0"/>
              <w:rPr>
                <w:sz w:val="20"/>
                <w:szCs w:val="20"/>
                <w:color w:val="auto"/>
              </w:rPr>
            </w:pPr>
            <w:r>
              <w:rPr>
                <w:rFonts w:ascii="Arial" w:cs="Arial" w:eastAsia="Arial" w:hAnsi="Arial"/>
                <w:sz w:val="17"/>
                <w:szCs w:val="17"/>
                <w:b w:val="1"/>
                <w:bCs w:val="1"/>
                <w:color w:val="auto"/>
              </w:rPr>
              <w:t>Three Months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20" w:type="dxa"/>
            <w:vAlign w:val="bottom"/>
            <w:gridSpan w:val="3"/>
          </w:tcPr>
          <w:p>
            <w:pPr>
              <w:jc w:val="right"/>
              <w:ind w:right="362"/>
              <w:spacing w:after="0"/>
              <w:rPr>
                <w:sz w:val="20"/>
                <w:szCs w:val="20"/>
                <w:color w:val="auto"/>
              </w:rPr>
            </w:pPr>
            <w:r>
              <w:rPr>
                <w:rFonts w:ascii="Arial" w:cs="Arial" w:eastAsia="Arial" w:hAnsi="Arial"/>
                <w:sz w:val="17"/>
                <w:szCs w:val="17"/>
                <w:b w:val="1"/>
                <w:bCs w:val="1"/>
                <w:color w:val="auto"/>
              </w:rPr>
              <w:t>Six Months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82"/>
              <w:spacing w:after="0"/>
              <w:rPr>
                <w:sz w:val="20"/>
                <w:szCs w:val="20"/>
                <w:color w:val="auto"/>
              </w:rPr>
            </w:pPr>
            <w:r>
              <w:rPr>
                <w:rFonts w:ascii="Arial" w:cs="Arial" w:eastAsia="Arial" w:hAnsi="Arial"/>
                <w:sz w:val="17"/>
                <w:szCs w:val="17"/>
                <w:b w:val="1"/>
                <w:bCs w:val="1"/>
                <w:color w:val="auto"/>
              </w:rPr>
              <w:t>Ended June 30,</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7"/>
                <w:szCs w:val="17"/>
                <w:b w:val="1"/>
                <w:bCs w:val="1"/>
                <w:color w:val="auto"/>
                <w:w w:val="88"/>
              </w:rPr>
              <w:t>Ended June 30,</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980" w:type="dxa"/>
            <w:vAlign w:val="bottom"/>
            <w:gridSpan w:val="2"/>
          </w:tcPr>
          <w:p>
            <w:pPr>
              <w:spacing w:after="0"/>
              <w:rPr>
                <w:sz w:val="20"/>
                <w:szCs w:val="20"/>
                <w:color w:val="auto"/>
              </w:rPr>
            </w:pPr>
            <w:r>
              <w:rPr>
                <w:rFonts w:ascii="Arial" w:cs="Arial" w:eastAsia="Arial" w:hAnsi="Arial"/>
                <w:sz w:val="17"/>
                <w:szCs w:val="17"/>
                <w:b w:val="1"/>
                <w:bCs w:val="1"/>
                <w:color w:val="auto"/>
              </w:rPr>
              <w:t>Service fee charged by</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b w:val="1"/>
                <w:bCs w:val="1"/>
                <w:color w:val="auto"/>
              </w:rPr>
              <w:t>2020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Shengyi</w:t>
            </w:r>
          </w:p>
        </w:tc>
        <w:tc>
          <w:tcPr>
            <w:tcW w:w="800" w:type="dxa"/>
            <w:vAlign w:val="bottom"/>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2"/>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Ninebell</w:t>
            </w: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80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502"/>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COMMON STOCK</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ACM is authorized to issue 50,000,000 shares of Class A common stock and 2,409,738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stockholders.</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the three months ended June 30, 2021, ACM issued 124,094 shares of Class A common stock upon option exercises by employees and non-employees, and an additional 61,667 shares of Class A common stock upon conversion of an equal number of shares of Class B common stock.</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the six months ended June 30, 2021, ACM issued 434,034 shares of Class A common stock upon option exercises by employees and non-employees, and an additional 95,001 shares of Class A common stock upon conversion of an equal number of shares of Class B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six months ended June 30, 2021, ACM issued 242,681 shares of Class A common stock upon the warrant exercise by SMC (Note 15).</w:t>
      </w:r>
    </w:p>
    <w:p>
      <w:pPr>
        <w:spacing w:after="0" w:line="24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the three months ended June 30, 2020, ACM issued 115,425 shares of Class A common stock upon option exercises by employees and non-employees, and an additional 60,002 shares of Class A common stock upon conversion of an equal number of shares of Class B common stock.</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six months ended June 30, 2020, ACM issued 185,903 shares of Class A common stock upon option exercises by employees and non-employees, and an additional 60,002 shares of Class A common stock upon conversion of an equal number of shares of Class B common stock. During the six months ended June 30, 2020, ACM issued 64,717 shares of Class A common stock upon a cashless warrant exercise by a non-employee.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the three and six months ended June 30, 2020, SMC transferred its ownership of 242,681 shares of Class A common stock to ACM in exchange for the SMC Consideration. The 242,681 shares were cancelled during the three and six months ended June 30, 2020. (Note 15)</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At June 30, 2021 and December 31, 2020, the number of shares of Class A common stock issued and outstanding was 17,668,409, and 16,896,693,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At June 30, 2021 and December 31, 2020, the number of shares of Class B common stock issued and outstanding was 1,707,605 and 1,802,606, respectively.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REDEEMABLE NON-CONTROLLING INTERESTS</w:t>
      </w:r>
    </w:p>
    <w:p>
      <w:pPr>
        <w:spacing w:after="0" w:line="216"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During the second quarter of 2020, the redemption feature of the private placement funding terminated and the aggregate proceeds of the funding therefore were reclassified from redeemable non-controlling interests to non-controlling interests. At June 30, 2020, the balance of redeemable non-controlling interest was nil.</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change in the redeemable non-controlling interests for the six months ended June 30, 2020 are presented in the following table:</w:t>
      </w:r>
    </w:p>
    <w:p>
      <w:pPr>
        <w:spacing w:after="0" w:line="261" w:lineRule="exact"/>
        <w:rPr>
          <w:sz w:val="20"/>
          <w:szCs w:val="20"/>
          <w:color w:val="auto"/>
        </w:rPr>
      </w:pPr>
    </w:p>
    <w:tbl>
      <w:tblPr>
        <w:tblLayout w:type="fixed"/>
        <w:tblInd w:w="11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2019</w:t>
            </w:r>
          </w:p>
        </w:tc>
        <w:tc>
          <w:tcPr>
            <w:tcW w:w="98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60,162</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Arial" w:cs="Arial" w:eastAsia="Arial" w:hAnsi="Arial"/>
                <w:sz w:val="17"/>
                <w:szCs w:val="17"/>
                <w:color w:val="auto"/>
              </w:rPr>
              <w:t>Net income attributable to redeemable non-controlling interests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643</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Effect of foreign currency translation gain attributable to redeemable non-controlling interests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(847)</w:t>
            </w:r>
          </w:p>
        </w:tc>
      </w:tr>
      <w:tr>
        <w:trPr>
          <w:trHeight w:val="209"/>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7"/>
                <w:szCs w:val="17"/>
                <w:color w:val="auto"/>
              </w:rPr>
              <w:t>Reclassification of redeemable non-controlling interest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(59,958)</w:t>
            </w:r>
          </w:p>
        </w:tc>
      </w:tr>
      <w:tr>
        <w:trPr>
          <w:trHeight w:val="244"/>
        </w:trPr>
        <w:tc>
          <w:tcPr>
            <w:tcW w:w="2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June 30, 2020</w:t>
            </w: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 STOCK-BASED COMPENSATION</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January 2020 ACM Shanghai adopted a 2019 Stock Option Incentive Plan (the “Subsidiary Stock Option Plan”) that provides for, among other incentives, the granting to officers, directors, employees of options to purchase shares of ACM Shanghai’s common stock. The fair value of the stock options granted is estimated at the date of grant based on the Black-Scholes option pricing model using assumptions generally consistent with those used for ACM’s stock options. Because ACM Shanghai shares are not publicly traded, the expected volatility is estimated with reference to the average historical volatility of a group of publicly traded companies that are believed to have similar characteristics to ACM Shanghai.</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ACM’s stock-based compensation consists of employee and non-employee awards issued under its 1998 Stock Option Plan, its 2016 Omnibus Incentive Plan, and as standalone options. ACM granted stock options to employees under the 2016 Omnibus Incentive Plan during the three and six months ended June 30, 2021. The vesting condition may consist of a service period determined by the Board of Directors for a grant or certain performance conditions determined by the Board of Directors for a grant. The fair value of the stock options granted with service period based condition is estimated at the date of grant using the Black-Scholes option pricing model. The fair value of the stock options granted with market based condition is estimated at the date of grant using the Monte Carlo simulation model.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components of stock-based compensation expense included in the consolidated statements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80" w:type="dxa"/>
            <w:vAlign w:val="bottom"/>
          </w:tcPr>
          <w:p>
            <w:pPr>
              <w:spacing w:after="0"/>
              <w:rPr>
                <w:sz w:val="19"/>
                <w:szCs w:val="19"/>
                <w:color w:val="auto"/>
              </w:rPr>
            </w:pPr>
          </w:p>
        </w:tc>
        <w:tc>
          <w:tcPr>
            <w:tcW w:w="2600" w:type="dxa"/>
            <w:vAlign w:val="bottom"/>
            <w:gridSpan w:val="6"/>
          </w:tcPr>
          <w:p>
            <w:pPr>
              <w:ind w:left="140"/>
              <w:spacing w:after="0"/>
              <w:rPr>
                <w:sz w:val="20"/>
                <w:szCs w:val="20"/>
                <w:color w:val="auto"/>
              </w:rPr>
            </w:pPr>
            <w:r>
              <w:rPr>
                <w:rFonts w:ascii="Arial" w:cs="Arial" w:eastAsia="Arial" w:hAnsi="Arial"/>
                <w:sz w:val="17"/>
                <w:szCs w:val="17"/>
                <w:b w:val="1"/>
                <w:bCs w:val="1"/>
                <w:color w:val="auto"/>
              </w:rPr>
              <w:t>Three Months Ended June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5"/>
          </w:tcPr>
          <w:p>
            <w:pPr>
              <w:jc w:val="right"/>
              <w:ind w:right="400"/>
              <w:spacing w:after="0"/>
              <w:rPr>
                <w:sz w:val="20"/>
                <w:szCs w:val="20"/>
                <w:color w:val="auto"/>
              </w:rPr>
            </w:pPr>
            <w:r>
              <w:rPr>
                <w:rFonts w:ascii="Arial" w:cs="Arial" w:eastAsia="Arial" w:hAnsi="Arial"/>
                <w:sz w:val="17"/>
                <w:szCs w:val="17"/>
                <w:b w:val="1"/>
                <w:bCs w:val="1"/>
                <w:color w:val="auto"/>
                <w:w w:val="90"/>
              </w:rPr>
              <w:t>Six Months Ended June 30,</w:t>
            </w:r>
          </w:p>
        </w:tc>
      </w:tr>
      <w:tr>
        <w:trPr>
          <w:trHeight w:val="209"/>
        </w:trPr>
        <w:tc>
          <w:tcPr>
            <w:tcW w:w="59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7"/>
                <w:szCs w:val="17"/>
                <w:b w:val="1"/>
                <w:bCs w:val="1"/>
                <w:color w:val="auto"/>
              </w:rPr>
              <w:t>Stock-Based Compensation Expense:</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740" w:type="dxa"/>
            <w:vAlign w:val="bottom"/>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110</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7"/>
                <w:szCs w:val="17"/>
                <w:color w:val="auto"/>
              </w:rPr>
            </w:pPr>
          </w:p>
        </w:tc>
      </w:tr>
      <w:tr>
        <w:trPr>
          <w:trHeight w:val="204"/>
        </w:trPr>
        <w:tc>
          <w:tcPr>
            <w:tcW w:w="5980" w:type="dxa"/>
            <w:vAlign w:val="bottom"/>
          </w:tcPr>
          <w:p>
            <w:pPr>
              <w:spacing w:after="0"/>
              <w:rPr>
                <w:sz w:val="20"/>
                <w:szCs w:val="20"/>
                <w:color w:val="auto"/>
              </w:rPr>
            </w:pPr>
            <w:r>
              <w:rPr>
                <w:rFonts w:ascii="Arial" w:cs="Arial" w:eastAsia="Arial" w:hAnsi="Arial"/>
                <w:sz w:val="17"/>
                <w:szCs w:val="17"/>
                <w:color w:val="auto"/>
              </w:rPr>
              <w:t>Sales and marketing expense</w:t>
            </w: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478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983</w:t>
            </w: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258</w:t>
            </w:r>
          </w:p>
        </w:tc>
      </w:tr>
      <w:tr>
        <w:trPr>
          <w:trHeight w:val="204"/>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expense</w:t>
            </w: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508</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375</w:t>
            </w:r>
          </w:p>
        </w:tc>
      </w:tr>
      <w:tr>
        <w:trPr>
          <w:trHeight w:val="209"/>
        </w:trPr>
        <w:tc>
          <w:tcPr>
            <w:tcW w:w="5980" w:type="dxa"/>
            <w:vAlign w:val="bottom"/>
          </w:tcPr>
          <w:p>
            <w:pPr>
              <w:spacing w:after="0"/>
              <w:rPr>
                <w:sz w:val="20"/>
                <w:szCs w:val="20"/>
                <w:color w:val="auto"/>
              </w:rPr>
            </w:pPr>
            <w:r>
              <w:rPr>
                <w:rFonts w:ascii="Arial" w:cs="Arial" w:eastAsia="Arial" w:hAnsi="Arial"/>
                <w:sz w:val="17"/>
                <w:szCs w:val="17"/>
                <w:color w:val="auto"/>
              </w:rPr>
              <w:t>General and administrative expense</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468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873</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823</w:t>
            </w:r>
          </w:p>
        </w:tc>
      </w:tr>
      <w:tr>
        <w:trPr>
          <w:trHeight w:val="244"/>
        </w:trPr>
        <w:tc>
          <w:tcPr>
            <w:tcW w:w="5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1,335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80" w:type="dxa"/>
            <w:vAlign w:val="bottom"/>
          </w:tcPr>
          <w:p>
            <w:pPr>
              <w:spacing w:after="0"/>
              <w:rPr>
                <w:sz w:val="19"/>
                <w:szCs w:val="19"/>
                <w:color w:val="auto"/>
              </w:rPr>
            </w:pPr>
          </w:p>
        </w:tc>
        <w:tc>
          <w:tcPr>
            <w:tcW w:w="2600" w:type="dxa"/>
            <w:vAlign w:val="bottom"/>
            <w:gridSpan w:val="6"/>
          </w:tcPr>
          <w:p>
            <w:pPr>
              <w:ind w:left="140"/>
              <w:spacing w:after="0"/>
              <w:rPr>
                <w:sz w:val="20"/>
                <w:szCs w:val="20"/>
                <w:color w:val="auto"/>
              </w:rPr>
            </w:pPr>
            <w:r>
              <w:rPr>
                <w:rFonts w:ascii="Arial" w:cs="Arial" w:eastAsia="Arial" w:hAnsi="Arial"/>
                <w:sz w:val="17"/>
                <w:szCs w:val="17"/>
                <w:b w:val="1"/>
                <w:bCs w:val="1"/>
                <w:color w:val="auto"/>
              </w:rPr>
              <w:t>Three Months Ended June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5"/>
          </w:tcPr>
          <w:p>
            <w:pPr>
              <w:jc w:val="right"/>
              <w:ind w:right="400"/>
              <w:spacing w:after="0"/>
              <w:rPr>
                <w:sz w:val="20"/>
                <w:szCs w:val="20"/>
                <w:color w:val="auto"/>
              </w:rPr>
            </w:pPr>
            <w:r>
              <w:rPr>
                <w:rFonts w:ascii="Arial" w:cs="Arial" w:eastAsia="Arial" w:hAnsi="Arial"/>
                <w:sz w:val="17"/>
                <w:szCs w:val="17"/>
                <w:b w:val="1"/>
                <w:bCs w:val="1"/>
                <w:color w:val="auto"/>
                <w:w w:val="90"/>
              </w:rPr>
              <w:t>Six Months Ended June 30,</w:t>
            </w:r>
          </w:p>
        </w:tc>
      </w:tr>
      <w:tr>
        <w:trPr>
          <w:trHeight w:val="209"/>
        </w:trPr>
        <w:tc>
          <w:tcPr>
            <w:tcW w:w="59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7"/>
                <w:szCs w:val="17"/>
                <w:b w:val="1"/>
                <w:bCs w:val="1"/>
                <w:color w:val="auto"/>
              </w:rPr>
              <w:t>Stock-based compensation expense by type:</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Employee stock purchase plan</w:t>
            </w:r>
          </w:p>
        </w:tc>
        <w:tc>
          <w:tcPr>
            <w:tcW w:w="740" w:type="dxa"/>
            <w:vAlign w:val="bottom"/>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1,217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1,066</w:t>
            </w:r>
          </w:p>
        </w:tc>
      </w:tr>
      <w:tr>
        <w:trPr>
          <w:trHeight w:val="204"/>
        </w:trPr>
        <w:tc>
          <w:tcPr>
            <w:tcW w:w="5980" w:type="dxa"/>
            <w:vAlign w:val="bottom"/>
          </w:tcPr>
          <w:p>
            <w:pPr>
              <w:spacing w:after="0"/>
              <w:rPr>
                <w:sz w:val="20"/>
                <w:szCs w:val="20"/>
                <w:color w:val="auto"/>
              </w:rPr>
            </w:pPr>
            <w:r>
              <w:rPr>
                <w:rFonts w:ascii="Arial" w:cs="Arial" w:eastAsia="Arial" w:hAnsi="Arial"/>
                <w:sz w:val="17"/>
                <w:szCs w:val="17"/>
                <w:color w:val="auto"/>
              </w:rPr>
              <w:t>Non-employee stock purchase plan</w:t>
            </w: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312</w:t>
            </w:r>
          </w:p>
        </w:tc>
      </w:tr>
      <w:tr>
        <w:trPr>
          <w:trHeight w:val="204"/>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Subsidiary option grants</w:t>
            </w: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166</w:t>
            </w:r>
          </w:p>
        </w:tc>
      </w:tr>
      <w:tr>
        <w:trPr>
          <w:trHeight w:val="25"/>
        </w:trPr>
        <w:tc>
          <w:tcPr>
            <w:tcW w:w="59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5980" w:type="dxa"/>
            <w:vAlign w:val="bottom"/>
          </w:tcPr>
          <w:p>
            <w:pPr>
              <w:spacing w:after="0"/>
              <w:rPr>
                <w:sz w:val="17"/>
                <w:szCs w:val="17"/>
                <w:color w:val="auto"/>
              </w:rPr>
            </w:pPr>
          </w:p>
        </w:tc>
        <w:tc>
          <w:tcPr>
            <w:tcW w:w="740" w:type="dxa"/>
            <w:vAlign w:val="bottom"/>
          </w:tcPr>
          <w:p>
            <w:pPr>
              <w:jc w:val="right"/>
              <w:ind w:right="58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1,335</w:t>
            </w:r>
          </w:p>
        </w:tc>
        <w:tc>
          <w:tcPr>
            <w:tcW w:w="24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855</w:t>
            </w:r>
          </w:p>
        </w:tc>
        <w:tc>
          <w:tcPr>
            <w:tcW w:w="10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2,545</w:t>
            </w:r>
          </w:p>
        </w:tc>
        <w:tc>
          <w:tcPr>
            <w:tcW w:w="20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1,544</w:t>
            </w:r>
          </w:p>
        </w:tc>
      </w:tr>
      <w:tr>
        <w:trPr>
          <w:trHeight w:val="20"/>
        </w:trPr>
        <w:tc>
          <w:tcPr>
            <w:tcW w:w="5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employee share option activities during the six months ended June 30,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Weighted</w:t>
            </w:r>
          </w:p>
        </w:tc>
        <w:tc>
          <w:tcPr>
            <w:tcW w:w="1520" w:type="dxa"/>
            <w:vAlign w:val="bottom"/>
          </w:tcPr>
          <w:p>
            <w:pPr>
              <w:spacing w:after="0"/>
              <w:rPr>
                <w:sz w:val="17"/>
                <w:szCs w:val="17"/>
                <w:color w:val="auto"/>
              </w:rPr>
            </w:pPr>
          </w:p>
        </w:tc>
      </w:tr>
      <w:tr>
        <w:trPr>
          <w:trHeight w:val="204"/>
        </w:trPr>
        <w:tc>
          <w:tcPr>
            <w:tcW w:w="4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Weighted</w:t>
            </w:r>
          </w:p>
        </w:tc>
        <w:tc>
          <w:tcPr>
            <w:tcW w:w="28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6"/>
              </w:rPr>
              <w:t>Average</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8"/>
              </w:rPr>
              <w:t>Weighted Average</w:t>
            </w:r>
          </w:p>
        </w:tc>
      </w:tr>
      <w:tr>
        <w:trPr>
          <w:trHeight w:val="204"/>
        </w:trPr>
        <w:tc>
          <w:tcPr>
            <w:tcW w:w="4760" w:type="dxa"/>
            <w:vAlign w:val="bottom"/>
          </w:tcPr>
          <w:p>
            <w:pPr>
              <w:spacing w:after="0"/>
              <w:rPr>
                <w:sz w:val="17"/>
                <w:szCs w:val="17"/>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4"/>
              </w:rPr>
              <w:t>Number of</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Average Grant</w:t>
            </w:r>
          </w:p>
        </w:tc>
        <w:tc>
          <w:tcPr>
            <w:tcW w:w="28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Exercise</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1"/>
              </w:rPr>
              <w:t>Remaining</w:t>
            </w:r>
          </w:p>
        </w:tc>
      </w:tr>
      <w:tr>
        <w:trPr>
          <w:trHeight w:val="226"/>
        </w:trPr>
        <w:tc>
          <w:tcPr>
            <w:tcW w:w="4760" w:type="dxa"/>
            <w:vAlign w:val="bottom"/>
          </w:tcPr>
          <w:p>
            <w:pPr>
              <w:spacing w:after="0"/>
              <w:rPr>
                <w:sz w:val="19"/>
                <w:szCs w:val="19"/>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89"/>
              </w:rPr>
              <w:t>Option Share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4"/>
              </w:rPr>
              <w:t>Date Fair Value</w:t>
            </w:r>
          </w:p>
        </w:tc>
        <w:tc>
          <w:tcPr>
            <w:tcW w:w="28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Price</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3"/>
              </w:rPr>
              <w:t>Contractual Term</w:t>
            </w:r>
          </w:p>
        </w:tc>
      </w:tr>
      <w:tr>
        <w:trPr>
          <w:trHeight w:val="204"/>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Outstanding at December 31, 2020</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3,191,411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5.13</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12.73</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7"/>
                <w:szCs w:val="17"/>
                <w:b w:val="1"/>
                <w:bCs w:val="1"/>
                <w:color w:val="auto"/>
                <w:w w:val="85"/>
              </w:rPr>
              <w:t>7.13 years</w:t>
            </w:r>
          </w:p>
        </w:tc>
      </w:tr>
      <w:tr>
        <w:trPr>
          <w:trHeight w:val="204"/>
        </w:trPr>
        <w:tc>
          <w:tcPr>
            <w:tcW w:w="4760" w:type="dxa"/>
            <w:vAlign w:val="bottom"/>
          </w:tcPr>
          <w:p>
            <w:pPr>
              <w:spacing w:after="0"/>
              <w:rPr>
                <w:sz w:val="20"/>
                <w:szCs w:val="20"/>
                <w:color w:val="auto"/>
              </w:rPr>
            </w:pPr>
            <w:r>
              <w:rPr>
                <w:rFonts w:ascii="Arial" w:cs="Arial" w:eastAsia="Arial" w:hAnsi="Arial"/>
                <w:sz w:val="17"/>
                <w:szCs w:val="17"/>
                <w:color w:val="auto"/>
              </w:rPr>
              <w:t>Granted</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106,400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50.67</w:t>
            </w:r>
          </w:p>
        </w:tc>
        <w:tc>
          <w:tcPr>
            <w:tcW w:w="28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111.98</w:t>
            </w:r>
          </w:p>
        </w:tc>
        <w:tc>
          <w:tcPr>
            <w:tcW w:w="1520" w:type="dxa"/>
            <w:vAlign w:val="bottom"/>
          </w:tcPr>
          <w:p>
            <w:pPr>
              <w:spacing w:after="0"/>
              <w:rPr>
                <w:sz w:val="17"/>
                <w:szCs w:val="17"/>
                <w:color w:val="auto"/>
              </w:rPr>
            </w:pPr>
          </w:p>
        </w:tc>
      </w:tr>
      <w:tr>
        <w:trPr>
          <w:trHeight w:val="204"/>
        </w:trPr>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(336,216)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2.27</w:t>
            </w: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5.74</w:t>
            </w:r>
          </w:p>
        </w:tc>
        <w:tc>
          <w:tcPr>
            <w:tcW w:w="1520" w:type="dxa"/>
            <w:vAlign w:val="bottom"/>
            <w:shd w:val="clear" w:color="auto" w:fill="CCEEFF"/>
          </w:tcPr>
          <w:p>
            <w:pPr>
              <w:spacing w:after="0"/>
              <w:rPr>
                <w:sz w:val="17"/>
                <w:szCs w:val="17"/>
                <w:color w:val="auto"/>
              </w:rPr>
            </w:pPr>
          </w:p>
        </w:tc>
      </w:tr>
      <w:tr>
        <w:trPr>
          <w:trHeight w:val="204"/>
        </w:trPr>
        <w:tc>
          <w:tcPr>
            <w:tcW w:w="4760" w:type="dxa"/>
            <w:vAlign w:val="bottom"/>
          </w:tcPr>
          <w:p>
            <w:pPr>
              <w:spacing w:after="0"/>
              <w:rPr>
                <w:sz w:val="20"/>
                <w:szCs w:val="20"/>
                <w:color w:val="auto"/>
              </w:rPr>
            </w:pPr>
            <w:r>
              <w:rPr>
                <w:rFonts w:ascii="Arial" w:cs="Arial" w:eastAsia="Arial" w:hAnsi="Arial"/>
                <w:sz w:val="17"/>
                <w:szCs w:val="17"/>
                <w:color w:val="auto"/>
              </w:rPr>
              <w:t>Forfeited/cancelled</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(19,212)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30.33</w:t>
            </w:r>
          </w:p>
        </w:tc>
        <w:tc>
          <w:tcPr>
            <w:tcW w:w="28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69.14</w:t>
            </w:r>
          </w:p>
        </w:tc>
        <w:tc>
          <w:tcPr>
            <w:tcW w:w="1520" w:type="dxa"/>
            <w:vAlign w:val="bottom"/>
          </w:tcPr>
          <w:p>
            <w:pPr>
              <w:spacing w:after="0"/>
              <w:rPr>
                <w:sz w:val="17"/>
                <w:szCs w:val="17"/>
                <w:color w:val="auto"/>
              </w:rPr>
            </w:pPr>
          </w:p>
        </w:tc>
      </w:tr>
      <w:tr>
        <w:trPr>
          <w:trHeight w:val="204"/>
        </w:trPr>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at June 30, 2021</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2,942,383</w:t>
            </w:r>
          </w:p>
        </w:tc>
        <w:tc>
          <w:tcPr>
            <w:tcW w:w="20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b w:val="1"/>
                <w:bCs w:val="1"/>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6.94</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16.75</w:t>
            </w:r>
          </w:p>
        </w:tc>
        <w:tc>
          <w:tcPr>
            <w:tcW w:w="1520" w:type="dxa"/>
            <w:vAlign w:val="bottom"/>
            <w:shd w:val="clear" w:color="auto" w:fill="CCEEFF"/>
          </w:tcPr>
          <w:p>
            <w:pPr>
              <w:ind w:left="800"/>
              <w:spacing w:after="0"/>
              <w:rPr>
                <w:sz w:val="20"/>
                <w:szCs w:val="20"/>
                <w:color w:val="auto"/>
              </w:rPr>
            </w:pPr>
            <w:r>
              <w:rPr>
                <w:rFonts w:ascii="Arial" w:cs="Arial" w:eastAsia="Arial" w:hAnsi="Arial"/>
                <w:sz w:val="17"/>
                <w:szCs w:val="17"/>
                <w:b w:val="1"/>
                <w:bCs w:val="1"/>
                <w:color w:val="auto"/>
                <w:w w:val="85"/>
              </w:rPr>
              <w:t>6.99 years</w:t>
            </w:r>
          </w:p>
        </w:tc>
      </w:tr>
      <w:tr>
        <w:trPr>
          <w:trHeight w:val="215"/>
        </w:trPr>
        <w:tc>
          <w:tcPr>
            <w:tcW w:w="4760" w:type="dxa"/>
            <w:vAlign w:val="bottom"/>
          </w:tcPr>
          <w:p>
            <w:pPr>
              <w:spacing w:after="0"/>
              <w:rPr>
                <w:sz w:val="20"/>
                <w:szCs w:val="20"/>
                <w:color w:val="auto"/>
              </w:rPr>
            </w:pPr>
            <w:r>
              <w:rPr>
                <w:rFonts w:ascii="Arial" w:cs="Arial" w:eastAsia="Arial" w:hAnsi="Arial"/>
                <w:sz w:val="17"/>
                <w:szCs w:val="17"/>
                <w:color w:val="auto"/>
              </w:rPr>
              <w:t>Vested and exercisable at June 30, 2021</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1,845,023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bl>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June 30, 2021 and December 31, 2020, $11,033 and $8,733, respectively, of total unrecognized employee stock-based compensation expense, net of estimated forfeitures, related to stock-based awards for ACM were expected to be recognized over a weighted-average period of 1.82 years and 1.89 years, respectively. Total recognized compensation cost may be adjusted for future changes in estimated forfeitures.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options granted to employee with a service period based condition is estimated on the grant date using the Black-Scholes valuation.</w:t>
      </w:r>
    </w:p>
    <w:p>
      <w:pPr>
        <w:spacing w:after="0" w:line="233" w:lineRule="exact"/>
        <w:rPr>
          <w:sz w:val="20"/>
          <w:szCs w:val="20"/>
          <w:color w:val="auto"/>
        </w:rPr>
      </w:pPr>
    </w:p>
    <w:tbl>
      <w:tblPr>
        <w:tblLayout w:type="fixed"/>
        <w:tblInd w:w="226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060" w:type="dxa"/>
            <w:vAlign w:val="bottom"/>
            <w:gridSpan w:val="4"/>
          </w:tcPr>
          <w:p>
            <w:pPr>
              <w:ind w:left="1560"/>
              <w:spacing w:after="0"/>
              <w:rPr>
                <w:sz w:val="20"/>
                <w:szCs w:val="20"/>
                <w:color w:val="auto"/>
              </w:rPr>
            </w:pPr>
            <w:r>
              <w:rPr>
                <w:rFonts w:ascii="Arial" w:cs="Arial" w:eastAsia="Arial" w:hAnsi="Arial"/>
                <w:sz w:val="17"/>
                <w:szCs w:val="17"/>
                <w:b w:val="1"/>
                <w:bCs w:val="1"/>
                <w:color w:val="auto"/>
              </w:rPr>
              <w:t>Six Months Ended</w:t>
            </w:r>
          </w:p>
        </w:tc>
      </w:tr>
      <w:tr>
        <w:trPr>
          <w:trHeight w:val="204"/>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Arial" w:cs="Arial" w:eastAsia="Arial" w:hAnsi="Arial"/>
                <w:sz w:val="17"/>
                <w:szCs w:val="17"/>
                <w:b w:val="1"/>
                <w:bCs w:val="1"/>
                <w:color w:val="auto"/>
              </w:rPr>
              <w:t>June 30,</w:t>
            </w:r>
          </w:p>
        </w:tc>
      </w:tr>
      <w:tr>
        <w:trPr>
          <w:trHeight w:val="226"/>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2021</w:t>
            </w:r>
          </w:p>
        </w:tc>
        <w:tc>
          <w:tcPr>
            <w:tcW w:w="16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common share(1)</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111.98</w:t>
            </w:r>
          </w:p>
        </w:tc>
        <w:tc>
          <w:tcPr>
            <w:tcW w:w="16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5.50-6.25</w:t>
            </w:r>
          </w:p>
        </w:tc>
      </w:tr>
    </w:tbl>
    <w:p>
      <w:pPr>
        <w:spacing w:after="0" w:line="8" w:lineRule="exact"/>
        <w:rPr>
          <w:sz w:val="20"/>
          <w:szCs w:val="20"/>
          <w:color w:val="auto"/>
        </w:rPr>
      </w:pPr>
    </w:p>
    <w:tbl>
      <w:tblPr>
        <w:tblLayout w:type="fixed"/>
        <w:tblInd w:w="2260" w:type="dxa"/>
        <w:tblCellMar>
          <w:top w:w="0" w:type="dxa"/>
          <w:left w:w="0" w:type="dxa"/>
          <w:bottom w:w="0" w:type="dxa"/>
          <w:right w:w="0" w:type="dxa"/>
        </w:tblCellMar>
      </w:tblPr>
      <w:tr>
        <w:trPr>
          <w:trHeight w:val="195"/>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Volatility(3)</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48.53%</w:t>
            </w:r>
          </w:p>
        </w:tc>
      </w:tr>
      <w:tr>
        <w:trPr>
          <w:trHeight w:val="204"/>
        </w:trPr>
        <w:tc>
          <w:tcPr>
            <w:tcW w:w="394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280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04"/>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dividend(5)</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bl>
    <w:p>
      <w:pPr>
        <w:spacing w:after="0" w:line="217" w:lineRule="exact"/>
        <w:rPr>
          <w:sz w:val="20"/>
          <w:szCs w:val="20"/>
          <w:color w:val="auto"/>
        </w:rPr>
      </w:pPr>
    </w:p>
    <w:p>
      <w:pPr>
        <w:ind w:left="460" w:hanging="458"/>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Equal to closing value on the grant date.</w:t>
      </w:r>
    </w:p>
    <w:p>
      <w:pPr>
        <w:spacing w:after="0" w:line="19" w:lineRule="exact"/>
        <w:rPr>
          <w:rFonts w:ascii="Arial" w:cs="Arial" w:eastAsia="Arial" w:hAnsi="Arial"/>
          <w:sz w:val="17"/>
          <w:szCs w:val="17"/>
          <w:color w:val="auto"/>
        </w:rPr>
      </w:pPr>
    </w:p>
    <w:p>
      <w:pPr>
        <w:ind w:left="460" w:hanging="458"/>
        <w:spacing w:after="0" w:line="250"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Expected term of share options is based on the average of the vesting period and the contractual term for each grant according to Staff Accounting Bulletin 110.</w:t>
      </w:r>
    </w:p>
    <w:p>
      <w:pPr>
        <w:ind w:left="460" w:hanging="458"/>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8" w:lineRule="exact"/>
        <w:rPr>
          <w:rFonts w:ascii="Arial" w:cs="Arial" w:eastAsia="Arial" w:hAnsi="Arial"/>
          <w:sz w:val="17"/>
          <w:szCs w:val="17"/>
          <w:color w:val="auto"/>
        </w:rPr>
      </w:pPr>
    </w:p>
    <w:p>
      <w:pPr>
        <w:ind w:left="460" w:hanging="458"/>
        <w:spacing w:after="0" w:line="250"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share options in effect at the time of grant.</w:t>
      </w:r>
    </w:p>
    <w:p>
      <w:pPr>
        <w:ind w:left="460" w:hanging="458"/>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Expected dividend is assumed to be 0% as ACM has no history or expectation of paying a dividend on its common stock.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Awards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non-employee share option activities during the six-months ended June 30,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Weighted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Weighted</w:t>
            </w: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w w:val="88"/>
              </w:rPr>
              <w:t>Weighted Average</w:t>
            </w:r>
          </w:p>
        </w:tc>
      </w:tr>
      <w:tr>
        <w:trPr>
          <w:trHeight w:val="204"/>
        </w:trPr>
        <w:tc>
          <w:tcPr>
            <w:tcW w:w="4720" w:type="dxa"/>
            <w:vAlign w:val="bottom"/>
          </w:tcPr>
          <w:p>
            <w:pPr>
              <w:spacing w:after="0"/>
              <w:rPr>
                <w:sz w:val="17"/>
                <w:szCs w:val="17"/>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Number of</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Average Grant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Average Exercise</w:t>
            </w: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w w:val="91"/>
              </w:rPr>
              <w:t>Remaining</w:t>
            </w:r>
          </w:p>
        </w:tc>
      </w:tr>
      <w:tr>
        <w:trPr>
          <w:trHeight w:val="226"/>
        </w:trPr>
        <w:tc>
          <w:tcPr>
            <w:tcW w:w="472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Option Shares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Date Fair Value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Price</w:t>
            </w: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w w:val="92"/>
              </w:rPr>
              <w:t>Contractual Term</w:t>
            </w:r>
          </w:p>
        </w:tc>
      </w:tr>
      <w:tr>
        <w:trPr>
          <w:trHeight w:val="204"/>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Outstanding at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836,038</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1.02</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3.07</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7"/>
                <w:szCs w:val="17"/>
                <w:b w:val="1"/>
                <w:bCs w:val="1"/>
                <w:color w:val="auto"/>
                <w:w w:val="85"/>
              </w:rPr>
              <w:t>4.92 years</w:t>
            </w:r>
          </w:p>
        </w:tc>
      </w:tr>
      <w:tr>
        <w:trPr>
          <w:trHeight w:val="204"/>
        </w:trPr>
        <w:tc>
          <w:tcPr>
            <w:tcW w:w="4720" w:type="dxa"/>
            <w:vAlign w:val="bottom"/>
          </w:tcPr>
          <w:p>
            <w:pPr>
              <w:spacing w:after="0"/>
              <w:rPr>
                <w:sz w:val="20"/>
                <w:szCs w:val="20"/>
                <w:color w:val="auto"/>
              </w:rPr>
            </w:pPr>
            <w:r>
              <w:rPr>
                <w:rFonts w:ascii="Arial" w:cs="Arial" w:eastAsia="Arial" w:hAnsi="Arial"/>
                <w:sz w:val="17"/>
                <w:szCs w:val="17"/>
                <w:color w:val="auto"/>
              </w:rPr>
              <w:t>Granted</w:t>
            </w: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4"/>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(97,818)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3.91</w:t>
            </w:r>
          </w:p>
        </w:tc>
        <w:tc>
          <w:tcPr>
            <w:tcW w:w="1500" w:type="dxa"/>
            <w:vAlign w:val="bottom"/>
            <w:shd w:val="clear" w:color="auto" w:fill="CCEEFF"/>
          </w:tcPr>
          <w:p>
            <w:pPr>
              <w:spacing w:after="0"/>
              <w:rPr>
                <w:sz w:val="17"/>
                <w:szCs w:val="17"/>
                <w:color w:val="auto"/>
              </w:rPr>
            </w:pPr>
          </w:p>
        </w:tc>
      </w:tr>
      <w:tr>
        <w:trPr>
          <w:trHeight w:val="204"/>
        </w:trPr>
        <w:tc>
          <w:tcPr>
            <w:tcW w:w="4720" w:type="dxa"/>
            <w:vAlign w:val="bottom"/>
          </w:tcPr>
          <w:p>
            <w:pPr>
              <w:spacing w:after="0"/>
              <w:rPr>
                <w:sz w:val="20"/>
                <w:szCs w:val="20"/>
                <w:color w:val="auto"/>
              </w:rPr>
            </w:pPr>
            <w:r>
              <w:rPr>
                <w:rFonts w:ascii="Arial" w:cs="Arial" w:eastAsia="Arial" w:hAnsi="Arial"/>
                <w:sz w:val="17"/>
                <w:szCs w:val="17"/>
                <w:color w:val="auto"/>
              </w:rPr>
              <w:t>Expired</w:t>
            </w: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4"/>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Forfeited/cancelled</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0.75</w:t>
            </w:r>
          </w:p>
        </w:tc>
        <w:tc>
          <w:tcPr>
            <w:tcW w:w="1500" w:type="dxa"/>
            <w:vAlign w:val="bottom"/>
            <w:shd w:val="clear" w:color="auto" w:fill="CCEEFF"/>
          </w:tcPr>
          <w:p>
            <w:pPr>
              <w:spacing w:after="0"/>
              <w:rPr>
                <w:sz w:val="17"/>
                <w:szCs w:val="17"/>
                <w:color w:val="auto"/>
              </w:rPr>
            </w:pPr>
          </w:p>
        </w:tc>
      </w:tr>
      <w:tr>
        <w:trPr>
          <w:trHeight w:val="204"/>
        </w:trPr>
        <w:tc>
          <w:tcPr>
            <w:tcW w:w="4720" w:type="dxa"/>
            <w:vAlign w:val="bottom"/>
          </w:tcPr>
          <w:p>
            <w:pPr>
              <w:spacing w:after="0"/>
              <w:rPr>
                <w:sz w:val="20"/>
                <w:szCs w:val="20"/>
                <w:color w:val="auto"/>
              </w:rPr>
            </w:pPr>
            <w:r>
              <w:rPr>
                <w:rFonts w:ascii="Arial" w:cs="Arial" w:eastAsia="Arial" w:hAnsi="Arial"/>
                <w:sz w:val="17"/>
                <w:szCs w:val="17"/>
                <w:b w:val="1"/>
                <w:bCs w:val="1"/>
                <w:color w:val="auto"/>
              </w:rPr>
              <w:t>Outstanding at June 30, 2021</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737,970</w:t>
            </w:r>
          </w:p>
        </w:tc>
        <w:tc>
          <w:tcPr>
            <w:tcW w:w="60" w:type="dxa"/>
            <w:vAlign w:val="bottom"/>
          </w:tcPr>
          <w:p>
            <w:pPr>
              <w:spacing w:after="0"/>
              <w:rPr>
                <w:sz w:val="17"/>
                <w:szCs w:val="17"/>
                <w:color w:val="auto"/>
              </w:rPr>
            </w:pPr>
          </w:p>
        </w:tc>
        <w:tc>
          <w:tcPr>
            <w:tcW w:w="200" w:type="dxa"/>
            <w:vAlign w:val="bottom"/>
            <w:gridSpan w:val="2"/>
          </w:tcPr>
          <w:p>
            <w:pPr>
              <w:jc w:val="right"/>
              <w:ind w:right="6"/>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1.02</w:t>
            </w:r>
          </w:p>
        </w:tc>
        <w:tc>
          <w:tcPr>
            <w:tcW w:w="1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2.96</w:t>
            </w:r>
          </w:p>
        </w:tc>
        <w:tc>
          <w:tcPr>
            <w:tcW w:w="1500" w:type="dxa"/>
            <w:vAlign w:val="bottom"/>
          </w:tcPr>
          <w:p>
            <w:pPr>
              <w:ind w:left="780"/>
              <w:spacing w:after="0"/>
              <w:rPr>
                <w:sz w:val="20"/>
                <w:szCs w:val="20"/>
                <w:color w:val="auto"/>
              </w:rPr>
            </w:pPr>
            <w:r>
              <w:rPr>
                <w:rFonts w:ascii="Arial" w:cs="Arial" w:eastAsia="Arial" w:hAnsi="Arial"/>
                <w:sz w:val="17"/>
                <w:szCs w:val="17"/>
                <w:b w:val="1"/>
                <w:bCs w:val="1"/>
                <w:color w:val="auto"/>
                <w:w w:val="85"/>
              </w:rPr>
              <w:t>4.43 years</w:t>
            </w:r>
          </w:p>
        </w:tc>
      </w:tr>
      <w:tr>
        <w:trPr>
          <w:trHeight w:val="204"/>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June 30, 2021</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724,220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bl>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June 30, 2021 and December 31, 2020, $125 and $195, respectively, of total unrecognized non-employee stock-based compensation expense, net of estimated forfeitures, related to stock-based awards were expected to be recognized over a weighted-average period of 0.07 years and 0.09 years, respectively. Total recognized compensation cost may be adjusted for future changes in estimated forfeitures.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ACM Shanghai Option Grants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ACM Shanghai employee stock option activities during the three months ended June 30,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ind w:left="295"/>
              <w:spacing w:after="0"/>
              <w:rPr>
                <w:sz w:val="20"/>
                <w:szCs w:val="20"/>
                <w:color w:val="auto"/>
              </w:rPr>
            </w:pPr>
            <w:r>
              <w:rPr>
                <w:rFonts w:ascii="Arial" w:cs="Arial" w:eastAsia="Arial" w:hAnsi="Arial"/>
                <w:sz w:val="17"/>
                <w:szCs w:val="17"/>
                <w:b w:val="1"/>
                <w:bCs w:val="1"/>
                <w:color w:val="auto"/>
                <w:w w:val="88"/>
              </w:rPr>
              <w:t>Weighted</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8"/>
              </w:rPr>
              <w:t>Weighted</w:t>
            </w:r>
          </w:p>
        </w:tc>
      </w:tr>
      <w:tr>
        <w:trPr>
          <w:trHeight w:val="204"/>
        </w:trPr>
        <w:tc>
          <w:tcPr>
            <w:tcW w:w="4720" w:type="dxa"/>
            <w:vAlign w:val="bottom"/>
          </w:tcPr>
          <w:p>
            <w:pPr>
              <w:spacing w:after="0"/>
              <w:rPr>
                <w:sz w:val="17"/>
                <w:szCs w:val="17"/>
                <w:color w:val="auto"/>
              </w:rPr>
            </w:pPr>
          </w:p>
        </w:tc>
        <w:tc>
          <w:tcPr>
            <w:tcW w:w="154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1"/>
              </w:rPr>
              <w:t>Number of</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Weighted</w:t>
            </w:r>
          </w:p>
        </w:tc>
        <w:tc>
          <w:tcPr>
            <w:tcW w:w="1220" w:type="dxa"/>
            <w:vAlign w:val="bottom"/>
          </w:tcPr>
          <w:p>
            <w:pPr>
              <w:jc w:val="center"/>
              <w:ind w:left="295"/>
              <w:spacing w:after="0"/>
              <w:rPr>
                <w:sz w:val="20"/>
                <w:szCs w:val="20"/>
                <w:color w:val="auto"/>
              </w:rPr>
            </w:pPr>
            <w:r>
              <w:rPr>
                <w:rFonts w:ascii="Arial" w:cs="Arial" w:eastAsia="Arial" w:hAnsi="Arial"/>
                <w:sz w:val="17"/>
                <w:szCs w:val="17"/>
                <w:b w:val="1"/>
                <w:bCs w:val="1"/>
                <w:color w:val="auto"/>
                <w:w w:val="89"/>
              </w:rPr>
              <w:t>Average</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Average</w:t>
            </w:r>
          </w:p>
        </w:tc>
      </w:tr>
      <w:tr>
        <w:trPr>
          <w:trHeight w:val="204"/>
        </w:trPr>
        <w:tc>
          <w:tcPr>
            <w:tcW w:w="4720" w:type="dxa"/>
            <w:vAlign w:val="bottom"/>
          </w:tcPr>
          <w:p>
            <w:pPr>
              <w:spacing w:after="0"/>
              <w:rPr>
                <w:sz w:val="17"/>
                <w:szCs w:val="17"/>
                <w:color w:val="auto"/>
              </w:rPr>
            </w:pPr>
          </w:p>
        </w:tc>
        <w:tc>
          <w:tcPr>
            <w:tcW w:w="154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89"/>
              </w:rPr>
              <w:t>Option Shares in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Average Grant</w:t>
            </w:r>
          </w:p>
        </w:tc>
        <w:tc>
          <w:tcPr>
            <w:tcW w:w="1220" w:type="dxa"/>
            <w:vAlign w:val="bottom"/>
          </w:tcPr>
          <w:p>
            <w:pPr>
              <w:jc w:val="center"/>
              <w:ind w:left="295"/>
              <w:spacing w:after="0"/>
              <w:rPr>
                <w:sz w:val="20"/>
                <w:szCs w:val="20"/>
                <w:color w:val="auto"/>
              </w:rPr>
            </w:pPr>
            <w:r>
              <w:rPr>
                <w:rFonts w:ascii="Arial" w:cs="Arial" w:eastAsia="Arial" w:hAnsi="Arial"/>
                <w:sz w:val="17"/>
                <w:szCs w:val="17"/>
                <w:b w:val="1"/>
                <w:bCs w:val="1"/>
                <w:color w:val="auto"/>
                <w:w w:val="85"/>
              </w:rPr>
              <w:t>Exercise</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1"/>
              </w:rPr>
              <w:t>Remaining</w:t>
            </w:r>
          </w:p>
        </w:tc>
      </w:tr>
      <w:tr>
        <w:trPr>
          <w:trHeight w:val="226"/>
        </w:trPr>
        <w:tc>
          <w:tcPr>
            <w:tcW w:w="4720" w:type="dxa"/>
            <w:vAlign w:val="bottom"/>
          </w:tcPr>
          <w:p>
            <w:pPr>
              <w:spacing w:after="0"/>
              <w:rPr>
                <w:sz w:val="19"/>
                <w:szCs w:val="19"/>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3"/>
              </w:rPr>
              <w:t>ACM Shanghai</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4"/>
              </w:rPr>
              <w:t>Date Fair Value</w:t>
            </w:r>
          </w:p>
        </w:tc>
        <w:tc>
          <w:tcPr>
            <w:tcW w:w="1220" w:type="dxa"/>
            <w:vAlign w:val="bottom"/>
          </w:tcPr>
          <w:p>
            <w:pPr>
              <w:jc w:val="center"/>
              <w:ind w:left="315"/>
              <w:spacing w:after="0"/>
              <w:rPr>
                <w:sz w:val="20"/>
                <w:szCs w:val="20"/>
                <w:color w:val="auto"/>
              </w:rPr>
            </w:pPr>
            <w:r>
              <w:rPr>
                <w:rFonts w:ascii="Arial" w:cs="Arial" w:eastAsia="Arial" w:hAnsi="Arial"/>
                <w:sz w:val="17"/>
                <w:szCs w:val="17"/>
                <w:b w:val="1"/>
                <w:bCs w:val="1"/>
                <w:color w:val="auto"/>
                <w:w w:val="91"/>
              </w:rPr>
              <w:t>Price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3"/>
              </w:rPr>
              <w:t>Contractual Term</w:t>
            </w:r>
          </w:p>
        </w:tc>
      </w:tr>
      <w:tr>
        <w:trPr>
          <w:trHeight w:val="204"/>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Outstanding at December 31, 2020</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5,423,654</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0.23</w:t>
            </w: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035"/>
              <w:spacing w:after="0"/>
              <w:rPr>
                <w:sz w:val="20"/>
                <w:szCs w:val="20"/>
                <w:color w:val="auto"/>
              </w:rPr>
            </w:pPr>
            <w:r>
              <w:rPr>
                <w:rFonts w:ascii="Arial" w:cs="Arial" w:eastAsia="Arial" w:hAnsi="Arial"/>
                <w:sz w:val="17"/>
                <w:szCs w:val="17"/>
                <w:b w:val="1"/>
                <w:bCs w:val="1"/>
                <w:color w:val="auto"/>
                <w:w w:val="84"/>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1.89</w:t>
            </w:r>
          </w:p>
        </w:tc>
        <w:tc>
          <w:tcPr>
            <w:tcW w:w="1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7"/>
                <w:szCs w:val="17"/>
                <w:b w:val="1"/>
                <w:bCs w:val="1"/>
                <w:color w:val="auto"/>
                <w:w w:val="85"/>
              </w:rPr>
              <w:t>3.50 years</w:t>
            </w:r>
          </w:p>
        </w:tc>
      </w:tr>
      <w:tr>
        <w:trPr>
          <w:trHeight w:val="204"/>
        </w:trPr>
        <w:tc>
          <w:tcPr>
            <w:tcW w:w="4720" w:type="dxa"/>
            <w:vAlign w:val="bottom"/>
          </w:tcPr>
          <w:p>
            <w:pPr>
              <w:spacing w:after="0"/>
              <w:rPr>
                <w:sz w:val="20"/>
                <w:szCs w:val="20"/>
                <w:color w:val="auto"/>
              </w:rPr>
            </w:pPr>
            <w:r>
              <w:rPr>
                <w:rFonts w:ascii="Arial" w:cs="Arial" w:eastAsia="Arial" w:hAnsi="Arial"/>
                <w:sz w:val="17"/>
                <w:szCs w:val="17"/>
                <w:color w:val="auto"/>
              </w:rPr>
              <w:t>Granted</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tcPr>
          <w:p>
            <w:pPr>
              <w:spacing w:after="0"/>
              <w:rPr>
                <w:sz w:val="17"/>
                <w:szCs w:val="17"/>
                <w:color w:val="auto"/>
              </w:rPr>
            </w:pPr>
          </w:p>
        </w:tc>
      </w:tr>
      <w:tr>
        <w:trPr>
          <w:trHeight w:val="204"/>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spacing w:after="0"/>
              <w:rPr>
                <w:sz w:val="17"/>
                <w:szCs w:val="17"/>
                <w:color w:val="auto"/>
              </w:rPr>
            </w:pPr>
          </w:p>
        </w:tc>
      </w:tr>
      <w:tr>
        <w:trPr>
          <w:trHeight w:val="204"/>
        </w:trPr>
        <w:tc>
          <w:tcPr>
            <w:tcW w:w="4720" w:type="dxa"/>
            <w:vAlign w:val="bottom"/>
          </w:tcPr>
          <w:p>
            <w:pPr>
              <w:spacing w:after="0"/>
              <w:rPr>
                <w:sz w:val="20"/>
                <w:szCs w:val="20"/>
                <w:color w:val="auto"/>
              </w:rPr>
            </w:pPr>
            <w:r>
              <w:rPr>
                <w:rFonts w:ascii="Arial" w:cs="Arial" w:eastAsia="Arial" w:hAnsi="Arial"/>
                <w:sz w:val="17"/>
                <w:szCs w:val="17"/>
                <w:color w:val="auto"/>
              </w:rPr>
              <w:t>Expired</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tcPr>
          <w:p>
            <w:pPr>
              <w:spacing w:after="0"/>
              <w:rPr>
                <w:sz w:val="17"/>
                <w:szCs w:val="17"/>
                <w:color w:val="auto"/>
              </w:rPr>
            </w:pPr>
          </w:p>
        </w:tc>
      </w:tr>
      <w:tr>
        <w:trPr>
          <w:trHeight w:val="204"/>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Forfeited/cancelled</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(46,154)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0.24</w:t>
            </w:r>
          </w:p>
        </w:tc>
        <w:tc>
          <w:tcPr>
            <w:tcW w:w="1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w:t>
            </w:r>
          </w:p>
        </w:tc>
        <w:tc>
          <w:tcPr>
            <w:tcW w:w="1520" w:type="dxa"/>
            <w:vAlign w:val="bottom"/>
            <w:shd w:val="clear" w:color="auto" w:fill="CCEEFF"/>
          </w:tcPr>
          <w:p>
            <w:pPr>
              <w:spacing w:after="0"/>
              <w:rPr>
                <w:sz w:val="17"/>
                <w:szCs w:val="17"/>
                <w:color w:val="auto"/>
              </w:rPr>
            </w:pPr>
          </w:p>
        </w:tc>
      </w:tr>
      <w:tr>
        <w:trPr>
          <w:trHeight w:val="204"/>
        </w:trPr>
        <w:tc>
          <w:tcPr>
            <w:tcW w:w="4720" w:type="dxa"/>
            <w:vAlign w:val="bottom"/>
          </w:tcPr>
          <w:p>
            <w:pPr>
              <w:spacing w:after="0"/>
              <w:rPr>
                <w:sz w:val="20"/>
                <w:szCs w:val="20"/>
                <w:color w:val="auto"/>
              </w:rPr>
            </w:pPr>
            <w:r>
              <w:rPr>
                <w:rFonts w:ascii="Arial" w:cs="Arial" w:eastAsia="Arial" w:hAnsi="Arial"/>
                <w:sz w:val="17"/>
                <w:szCs w:val="17"/>
                <w:b w:val="1"/>
                <w:bCs w:val="1"/>
                <w:color w:val="auto"/>
              </w:rPr>
              <w:t>Outstanding at June 30, 2021</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5,377,500</w:t>
            </w:r>
          </w:p>
        </w:tc>
        <w:tc>
          <w:tcPr>
            <w:tcW w:w="2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0.24</w:t>
            </w:r>
          </w:p>
        </w:tc>
        <w:tc>
          <w:tcPr>
            <w:tcW w:w="1220" w:type="dxa"/>
            <w:vAlign w:val="bottom"/>
          </w:tcPr>
          <w:p>
            <w:pPr>
              <w:jc w:val="right"/>
              <w:ind w:right="1035"/>
              <w:spacing w:after="0"/>
              <w:rPr>
                <w:sz w:val="20"/>
                <w:szCs w:val="20"/>
                <w:color w:val="auto"/>
              </w:rPr>
            </w:pPr>
            <w:r>
              <w:rPr>
                <w:rFonts w:ascii="Arial" w:cs="Arial" w:eastAsia="Arial" w:hAnsi="Arial"/>
                <w:sz w:val="17"/>
                <w:szCs w:val="17"/>
                <w:b w:val="1"/>
                <w:bCs w:val="1"/>
                <w:color w:val="auto"/>
                <w:w w:val="84"/>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2.01</w:t>
            </w:r>
          </w:p>
        </w:tc>
        <w:tc>
          <w:tcPr>
            <w:tcW w:w="1520" w:type="dxa"/>
            <w:vAlign w:val="bottom"/>
          </w:tcPr>
          <w:p>
            <w:pPr>
              <w:ind w:left="800"/>
              <w:spacing w:after="0"/>
              <w:rPr>
                <w:sz w:val="20"/>
                <w:szCs w:val="20"/>
                <w:color w:val="auto"/>
              </w:rPr>
            </w:pPr>
            <w:r>
              <w:rPr>
                <w:rFonts w:ascii="Arial" w:cs="Arial" w:eastAsia="Arial" w:hAnsi="Arial"/>
                <w:sz w:val="17"/>
                <w:szCs w:val="17"/>
                <w:b w:val="1"/>
                <w:bCs w:val="1"/>
                <w:color w:val="auto"/>
                <w:w w:val="85"/>
              </w:rPr>
              <w:t>3.01 years</w:t>
            </w:r>
          </w:p>
        </w:tc>
      </w:tr>
      <w:tr>
        <w:trPr>
          <w:trHeight w:val="204"/>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June 30, 2021</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bl>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June 30, 2021 and December 31, 2020, $693 and $822, respectively, of total unrecognized non-employee stock-based compensation expense, net of estimated forfeitures, related to ACM Shanghai stock-based awards were expected to be recognized over a weighted-average period of 2.01 years and 2.5 years, respectively. Total recognized compensation cost may be adjusted for future changes in estimated forfeitures.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 INCOME TAXES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9"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ACM Shanghai has shown a three-year historical cumulative profit and has projections of future income. As a result, the Company does not maintain a valuation allowance.</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effective tax rate differs from statutory rates of 21% for U.S. federal income tax purposes and 12.5% to 25% for Chinese income tax purposes due to the effects of the valuation allowance and certain permanent differences from book-tax differences. As a result, the Company recorded income tax benefit (expense) of $2,755 and $(2,163) during the six months ended June 30, 2021 and 2020, respectively.</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June 30, 2021, the Company’s total unrecognized tax benefits were $570 of which $422 would affect the effective tax rate if recognized. The Company will recognize interest and penalties, when they occur, related to uncertain tax provisions as a component of tax expense. No interest or penalties were recognized for the six months ended June 30, 2021.</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files income tax returns in the United States and state and foreign jurisdictions. The federal, state and foreign income tax returns are under the statute of limitations subject to tax examinations for the tax years ended December 31, 2002 through December 31, 2020.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Company’s effective tax rate differs from statutory rates of 21% for U.S. federal income tax purposes and 12.5% to 25% for Chinese income tax purposes due to the effects of the valuation allowance and certain permanent differences as it pertains to book-tax differences in the treatment of stock-based compensation and non-US research expenses. The Company’s three PRC subsidiaries, ACM Shanghai, ACM Wuxi and ACM Shengwei, are liable for PRC corporate income taxes at the rates of 12.5%, 25% and 25%, respectively. Pursuant to the Corporate Income Tax Law of the PRC, ACM’s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 In 2021, ACM Shanghai was certified as an eligible integrated circuit production enterprise and is entitled to a preferential income tax rate of 12.5% from January 1, 2020 to December 31, 2022.</w:t>
      </w:r>
    </w:p>
    <w:p>
      <w:pPr>
        <w:spacing w:after="0" w:line="172"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ACM files income tax returns in the United States and state and foreign jurisdictions. Those federal, state and foreign income tax returns are under the statute of limitations subject to tax examinations for 2009 through 2020. To the extent ACM has tax attribute carryforwards, the tax years in which the attribute was generated may still be adjusted upon examination by the U.S. Internal Revenue Service or state or foreign tax authorities to the extent utilized in a future period.</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The guidance is effective for public companies for fiscal years, and interim periods within those fiscal years, beginning after December 15, 2020. The impact of the adoption by the Company on its condensed consolidated financial statements and disclosures is immaterial.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gridSpan w:val="2"/>
          </w:tcPr>
          <w:p>
            <w:pPr>
              <w:spacing w:after="0"/>
              <w:rPr>
                <w:rFonts w:ascii="Arial" w:cs="Arial" w:eastAsia="Arial" w:hAnsi="Arial"/>
                <w:sz w:val="14"/>
                <w:szCs w:val="14"/>
                <w:i w:val="1"/>
                <w:iCs w:val="1"/>
                <w:color w:val="0000EE"/>
                <w:w w:val="85"/>
              </w:rPr>
            </w:pPr>
            <w:hyperlink w:anchor="page2">
              <w:r>
                <w:rPr>
                  <w:rFonts w:ascii="Arial" w:cs="Arial" w:eastAsia="Arial" w:hAnsi="Arial"/>
                  <w:sz w:val="14"/>
                  <w:szCs w:val="14"/>
                  <w:i w:val="1"/>
                  <w:iCs w:val="1"/>
                  <w:color w:val="0000EE"/>
                  <w:w w:val="85"/>
                </w:rPr>
                <w:t>Table of Contents</w:t>
              </w:r>
            </w:hyperlink>
          </w:p>
        </w:tc>
        <w:tc>
          <w:tcPr>
            <w:tcW w:w="5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1"/>
        </w:trPr>
        <w:tc>
          <w:tcPr>
            <w:tcW w:w="5980" w:type="dxa"/>
            <w:vAlign w:val="bottom"/>
            <w:gridSpan w:val="3"/>
          </w:tcPr>
          <w:p>
            <w:pPr>
              <w:spacing w:after="0"/>
              <w:rPr>
                <w:sz w:val="20"/>
                <w:szCs w:val="20"/>
                <w:color w:val="auto"/>
              </w:rPr>
            </w:pPr>
            <w:r>
              <w:rPr>
                <w:rFonts w:ascii="Arial" w:cs="Arial" w:eastAsia="Arial" w:hAnsi="Arial"/>
                <w:sz w:val="17"/>
                <w:szCs w:val="17"/>
                <w:color w:val="auto"/>
              </w:rPr>
              <w:t>Income tax benefit (expense) was as follows:</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720" w:type="dxa"/>
            <w:vAlign w:val="bottom"/>
            <w:gridSpan w:val="6"/>
          </w:tcPr>
          <w:p>
            <w:pPr>
              <w:jc w:val="center"/>
              <w:ind w:right="220"/>
              <w:spacing w:after="0"/>
              <w:rPr>
                <w:sz w:val="20"/>
                <w:szCs w:val="20"/>
                <w:color w:val="auto"/>
              </w:rPr>
            </w:pPr>
            <w:r>
              <w:rPr>
                <w:rFonts w:ascii="Arial" w:cs="Arial" w:eastAsia="Arial" w:hAnsi="Arial"/>
                <w:sz w:val="17"/>
                <w:szCs w:val="17"/>
                <w:b w:val="1"/>
                <w:bCs w:val="1"/>
                <w:color w:val="auto"/>
                <w:w w:val="91"/>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480"/>
              <w:spacing w:after="0"/>
              <w:rPr>
                <w:sz w:val="20"/>
                <w:szCs w:val="20"/>
                <w:color w:val="auto"/>
              </w:rPr>
            </w:pPr>
            <w:r>
              <w:rPr>
                <w:rFonts w:ascii="Arial" w:cs="Arial" w:eastAsia="Arial" w:hAnsi="Arial"/>
                <w:sz w:val="17"/>
                <w:szCs w:val="17"/>
                <w:b w:val="1"/>
                <w:bCs w:val="1"/>
                <w:color w:val="auto"/>
                <w:w w:val="90"/>
              </w:rPr>
              <w:t>Six Months Ended</w:t>
            </w:r>
          </w:p>
        </w:tc>
      </w:tr>
      <w:tr>
        <w:trPr>
          <w:trHeight w:val="226"/>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375"/>
              <w:spacing w:after="0"/>
              <w:rPr>
                <w:sz w:val="20"/>
                <w:szCs w:val="20"/>
                <w:color w:val="auto"/>
              </w:rPr>
            </w:pPr>
            <w:r>
              <w:rPr>
                <w:rFonts w:ascii="Arial" w:cs="Arial" w:eastAsia="Arial" w:hAnsi="Arial"/>
                <w:sz w:val="17"/>
                <w:szCs w:val="17"/>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Total income tax benefit (expense)</w:t>
            </w:r>
          </w:p>
        </w:tc>
        <w:tc>
          <w:tcPr>
            <w:tcW w:w="8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(15)</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(2,163)</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22 – COMMITMENTS AND CONTINGENCIES</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leases offices under non-cancelable operating lease agreements. See note 8 for future minimum lease payments under non-cancelable operating lease agreements with initial terms of one year or more.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the Company had $2,942 of open capital commitments.</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Covenants in ACM Shengwei’s Grant Contract for State-owned Construction Land Use Right in Shanghai City with the China (Shanghai) Pilot Free Trade Zone Lingang Special Area Administration require, among other things, that ACM Shengwei pay liquidated damages in the event that (a) it does not make a total investment (including the costs of construction, fixtures, equipment and grant fees) of at least RMB 450.0 million ($63,400) or (b) within six years after the land use right is obtained, the Company does not (i) generate a minimum specified amount of annual sales of products manufactured on the granted land or (ii) pay to the PRC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 As of June 30, 2021, the Company had paid in total $10,328 for its Lingang-related investments.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unascertainable damages.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Company’s management has evaluated all such proceedings and claims that existed as of June 30, 2021 and December 31, 2020. In the opinion of management, no provision for liability nor disclosure was required as of June 30, 2021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As of June 30, 2021, the Company had one outstanding legal proceeding. On December 21, 2020, a putative class action lawsuit against ACM and three of its officers was filed in the U.S. District Court for the Northern District of California under the caption </w:t>
      </w:r>
      <w:r>
        <w:rPr>
          <w:rFonts w:ascii="Arial" w:cs="Arial" w:eastAsia="Arial" w:hAnsi="Arial"/>
          <w:sz w:val="16"/>
          <w:szCs w:val="16"/>
          <w:i w:val="1"/>
          <w:iCs w:val="1"/>
          <w:color w:val="auto"/>
        </w:rPr>
        <w:t>Kain v. ACM Research, Inc., et al.</w:t>
      </w:r>
      <w:r>
        <w:rPr>
          <w:rFonts w:ascii="Arial" w:cs="Arial" w:eastAsia="Arial" w:hAnsi="Arial"/>
          <w:sz w:val="16"/>
          <w:szCs w:val="16"/>
          <w:color w:val="auto"/>
        </w:rPr>
        <w:t>, No. 3:20-cv-09241. The complaint alleges claims under Sections 10(b) and 20(a) of the Securities Exchange Act of 1934 and Rule 10b-5 promulgated thereunder, and seeks monetary damages in an unspecified amount as well as costs and expenses incurred in the litigation. On April 15, 2021, the court appointed Mr. Kain as lead plaintiff, finding that no better-suited candidates emerged during the statutory sixty-day period following public notice of the lawsuit. On May 27, 2021, defendants filed a motion to dismiss Mr. Kain’s complaint. Defendants’ motion to dismiss is fully briefed and currently scheduled to be heard by the court on September 9, 2021. ACM’s management believes the claims are without merit and intends to vigorously defend this litigation. The Company is currently unable to predict the outcome of this lawsuit and therefore cannot determine the likelihood of loss or estimate a range of possible loss.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23 – SUBSEQUENT EVENT</w:t>
      </w:r>
    </w:p>
    <w:p>
      <w:pPr>
        <w:spacing w:after="0" w:line="24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On July 13, 2021, the Company filed a certificate of amendment to our restated certificate of incorporation with the Secretary of State of the State of Delaware. The amendment i) increased the authorized number of shares of Class A common stock from 50,000,000 to 150,000,000 with 60,000,000 of the 100,000,000 additional authorized shares of Class A common stock reserved for issuance only as dividends on outstanding shares of Class A common stock; ii) increased the authorized number of shares of Class B common stock from 2,409,738 to 5,307,816, with all of the authorized but unissued shares of Class B common stock being available for issuance only as dividends on outstanding shares of Class B common stock; and iii) removed a now-obsolete provision related to the automatic conversion of Class B common stock into Class A common stock.</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5"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41" w:lineRule="exact"/>
        <w:rPr>
          <w:sz w:val="20"/>
          <w:szCs w:val="20"/>
          <w:color w:val="auto"/>
        </w:rPr>
      </w:pPr>
    </w:p>
    <w:p>
      <w:pPr>
        <w:jc w:val="both"/>
        <w:spacing w:after="0" w:line="206" w:lineRule="exact"/>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2020, or our Annual Report. The following discussion contains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Factors that could cause or contribute to these differences include those discussed in Part I, Item 1A. “Risk Factors” in our Annual Report, as well as those discussed below and elsewhere in this report, particularly in the section titled “Item 1A. Risk Factors” in Part II below.</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Revenue from wet cleaning and other front-end processing tools totaled $46.0 million, or 85.4% of total revenue, for the three months ended June 30, 2021, as compared to $37.8 million, or 96.9% of total revenue, for the same period in 2020. Revenue from wet cleaning and other front-end processing tools totaled $77.9 million, or 79.8% of total revenue, for the six months ended June 30, 2021, as compared to $60.6 million, or 95.6% of total revenue, for the same period in 2020. Selling prices for our wet-cleaning and other front-end processing tools range from $1 million to more than $5 million. Our customers for wet-cleaning and other front-end processing tools have included Semiconductor Manufacturing International Corporation, Shanghai Huali Microelectronics Corporation, The Huahong Group, SK Hynix Inc., Yangtze Memory Technologies Co., Ltd, and ChangXin Memory Technologies.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Revenue from advanced packaging, other processing tools, services and spares totaled $7.9 million, or 14.6% of total revenue for the three months ended June 30, 2021, as compared to $1.2 million, or 3.1% of total revenue for the same period in 2020. Revenue from advanced packaging, other processing tools, services and spares totaled $19.7 million, or 20.2% of total revenue for the six months ended June 30, 2021, as compared to $2.8 million, or 4.4% of total revenue for the same period in 2020. Selling prices for these tools range from $0.5 million to more than $4 million. Our customers for advanced packaging, and other processing tools have included Jiangyin Changdian Advanced Packaging Co. Ltd., a leading PRC-based wafer bumping packaging house that is a subsidiary of JCET Group Co., Ltd.; Nantong Tongfu Microelectronics Co., Ltd., a PRC-based chip assembly and testing company that is a subsidiary of Nantong Fujitsu Microelectronics Co., Ltd.; Nepes Co., Ltd., a semiconductor packaging company based in South Korea which acquired the operations of Deca Technologies’ Philippines manufacturing facility in 2020; and Wafer Works Corporation, a leading PRC-based wafer supplier.</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estimate, based on third-party reports and on customer and other information, that our current product portfolio addresses more than $5 billion of the global wafer equipment market. By product line, we estimate an approximately $2.5 billion market opportunity is addressed by our wafer cleaning equipment, $1.7 billion by our furnace equipment, $500 million by our electro-chemical plating, or ECP equipment, and more than $300 million by our stress-free polishing, or SFP, advanced packaging, wafer processing, and other back-end processing equipment. By major equipment segment, Gartner estimates a 2020 global market size of $3.5 billion for wafer cleaning equipment (auto wet stations, single-wafer processors, batch spray processors, and other clean process equipment), $2.4 billion for furnace equipment (tube CVD, oxidation/diffusion furnace, and batch atomic layer deposition), and $546 million for ECD (electro-chemical deposition). Based on Gartner’s estimates, the total available global market for these equipment segments increased by 15% from $5.6 billion in 2019 to $6.4 billion in 2020, and is expected to increase by 6% to $6.8 billion in 2021.</w:t>
      </w:r>
    </w:p>
    <w:p>
      <w:pPr>
        <w:spacing w:after="0" w:line="21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We have focused our selling efforts on establishing a referenceable base of leading foundry, logic and memory chip makers, whose use of our products can influence decisions by other manufacturers. We believe this customer base has helped us penetrate the mature chip manufacturing markets and build credibility with additional industry leaders. We have used a “demo-to-sales” process to place evaluation equipment, or “first tools,” with a number of selected customers.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Since 2009 we have delivered more than 170 wet cleaning and other front-end processing tools, more than 145 of which have been accepted by customers and thereby generated revenue to us. The balance of the delivered tools are awaiting customer acceptance should contractual conditions be met. To date, a substantial majority of our sales of equipment have been to customers located in Asia, and we anticipate that a substantial majority of our revenue will continue to come from customers located in this region for the foreseeable future. We have begun to add to our efforts to further address customers in North America, Western Europe and Southeast Asia by expanding our direct sales and services teams and increasing our global marketing activities.</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focused on building a strategic portfolio of intellectual property to support and protect our key innovations. Our tools have been developed using our key proprietary technologies:</w:t>
      </w:r>
    </w:p>
    <w:p>
      <w:pPr>
        <w:spacing w:after="0" w:line="190" w:lineRule="exact"/>
        <w:rPr>
          <w:sz w:val="20"/>
          <w:szCs w:val="20"/>
          <w:color w:val="auto"/>
        </w:rPr>
      </w:pPr>
    </w:p>
    <w:p>
      <w:pPr>
        <w:jc w:val="both"/>
        <w:ind w:left="460" w:hanging="458"/>
        <w:spacing w:after="0" w:line="253"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Space Alternated Phase Shift, or SAPS, technology for flat and patterned (deep via or deep trench with stronger structure) wafer surfaces. </w:t>
      </w:r>
      <w:r>
        <w:rPr>
          <w:rFonts w:ascii="Arial" w:cs="Arial" w:eastAsia="Arial" w:hAnsi="Arial"/>
          <w:sz w:val="17"/>
          <w:szCs w:val="17"/>
          <w:color w:val="auto"/>
        </w:rPr>
        <w:t>SAPS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employs alternating phases of megasonic waves to deliver megasonic energy in a highly uniform manner on a microscopic level. We have shown SAPS technology to be more effective than conventional megasonic and jet spray technologies in removing random defects across an entire wafer, with increasing relative effectiveness at more advanced production nodes.</w:t>
      </w:r>
    </w:p>
    <w:p>
      <w:pPr>
        <w:spacing w:after="0" w:line="2" w:lineRule="exact"/>
        <w:rPr>
          <w:rFonts w:ascii="Arial" w:cs="Arial" w:eastAsia="Arial" w:hAnsi="Arial"/>
          <w:sz w:val="17"/>
          <w:szCs w:val="17"/>
          <w:color w:val="auto"/>
        </w:rPr>
      </w:pPr>
    </w:p>
    <w:p>
      <w:pPr>
        <w:jc w:val="both"/>
        <w:ind w:left="460" w:hanging="458"/>
        <w:spacing w:after="0" w:line="204" w:lineRule="exact"/>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Timely Energized Bubble Oscillation, or TEBO, technology for patterned wafer surfaces at advanced process nodes</w:t>
      </w:r>
      <w:r>
        <w:rPr>
          <w:rFonts w:ascii="Arial" w:cs="Arial" w:eastAsia="Arial" w:hAnsi="Arial"/>
          <w:sz w:val="16"/>
          <w:szCs w:val="16"/>
          <w:color w:val="auto"/>
        </w:rPr>
        <w:t>. TEBO technology has been developed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effective, damage-free cleaning for 2D and 3D patterned wafers with fine feature sizes. We have demonstrated the damage-free cleaning capabilities of TEBO technology on patterned wafers for feature nodes as small as 1xnm (16 to 19 nanometers, or nm), and we have shown TEBO technology can be applied in manufacturing processes for patterned chips with 3D architectures having aspect ratios as high as 60</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1.</w:t>
      </w:r>
    </w:p>
    <w:p>
      <w:pPr>
        <w:spacing w:after="0" w:line="2" w:lineRule="exact"/>
        <w:rPr>
          <w:rFonts w:ascii="Arial" w:cs="Arial" w:eastAsia="Arial" w:hAnsi="Arial"/>
          <w:sz w:val="16"/>
          <w:szCs w:val="16"/>
          <w:color w:val="auto"/>
        </w:rPr>
      </w:pPr>
    </w:p>
    <w:p>
      <w:pPr>
        <w:ind w:left="460" w:hanging="458"/>
        <w:spacing w:after="0" w:line="250"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Tahoe technology for cost and environmental savings. </w:t>
      </w:r>
      <w:r>
        <w:rPr>
          <w:rFonts w:ascii="Arial" w:cs="Arial" w:eastAsia="Arial" w:hAnsi="Arial"/>
          <w:sz w:val="17"/>
          <w:szCs w:val="17"/>
          <w:color w:val="auto"/>
        </w:rPr>
        <w:t>Tahoe technology delivers high cleaning performance using significantly less sulfuric acid and</w:t>
      </w:r>
      <w:r>
        <w:rPr>
          <w:rFonts w:ascii="Arial" w:cs="Arial" w:eastAsia="Arial" w:hAnsi="Arial"/>
          <w:sz w:val="17"/>
          <w:szCs w:val="17"/>
          <w:i w:val="1"/>
          <w:iCs w:val="1"/>
          <w:color w:val="auto"/>
        </w:rPr>
        <w:t xml:space="preserve"> </w:t>
      </w:r>
      <w:r>
        <w:rPr>
          <w:rFonts w:ascii="Arial" w:cs="Arial" w:eastAsia="Arial" w:hAnsi="Arial"/>
          <w:sz w:val="17"/>
          <w:szCs w:val="17"/>
          <w:color w:val="auto"/>
        </w:rPr>
        <w:t>hydrogen peroxide than is typically consumed by conventional high-temperature single-wafer cleaning tools.</w:t>
      </w:r>
    </w:p>
    <w:p>
      <w:pPr>
        <w:jc w:val="both"/>
        <w:ind w:left="460" w:hanging="458"/>
        <w:spacing w:after="0" w:line="274"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ECP technology for advanced metal plating. </w:t>
      </w:r>
      <w:r>
        <w:rPr>
          <w:rFonts w:ascii="Arial" w:cs="Arial" w:eastAsia="Arial" w:hAnsi="Arial"/>
          <w:sz w:val="16"/>
          <w:szCs w:val="16"/>
          <w:color w:val="auto"/>
        </w:rPr>
        <w:t>Our Ultra ECP ap, or Advanced Packaging, technology was developed for back-end assembly processes to</w:t>
      </w:r>
      <w:r>
        <w:rPr>
          <w:rFonts w:ascii="Arial" w:cs="Arial" w:eastAsia="Arial" w:hAnsi="Arial"/>
          <w:sz w:val="16"/>
          <w:szCs w:val="16"/>
          <w:i w:val="1"/>
          <w:iCs w:val="1"/>
          <w:color w:val="auto"/>
        </w:rPr>
        <w:t xml:space="preserve"> </w:t>
      </w:r>
      <w:r>
        <w:rPr>
          <w:rFonts w:ascii="Arial" w:cs="Arial" w:eastAsia="Arial" w:hAnsi="Arial"/>
          <w:sz w:val="16"/>
          <w:szCs w:val="16"/>
          <w:color w:val="auto"/>
        </w:rPr>
        <w:t>deliver a more uniform metal layer at the notch area of wafers prior to packaging. Our Ultra ECP map, or Multi-Anode Partial Plating, technology was developed for front-end wafer fabrication processes to deliver advanced electrochemical copper plating for copper interconnect applications. Ultra ECP map offers improved gap-filling performance for ultra-thin seed layer applications, which is critical for advanced nodes at 14nm and beyond.</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2020 we introduced and delivered a range of new tools intended to broaden our revenue opportunity with global semiconductor manufacturers. Product extensions include the Ultra SFP ap tool for advanced packaging solutions, the Ultra C VI 18-chamber single wafer cleaning tool for advanced memory devices, and the Ultra ECP 3d platform for through-silicon-via, or tsv, application. New product lines include the Ultra fn Furnace, our first dry processing tool, and a suite of semi-critical cleaning systems which include single wafer back side cleaning, scrubber, and auto bench cleaning tools.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have been issued more than 350 patents in the United States, the People’s Republic of China or PRC, Japan, Singapore, South Korea and Taiwan.</w:t>
      </w:r>
    </w:p>
    <w:p>
      <w:pPr>
        <w:spacing w:after="0" w:line="249"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We conduct a substantial majority of our product development, manufacturing, support and services in the PRC, with additional product development and subsystem production in South Korea. Substantially all of our integrated tools are built to order at our manufacturing facilities in the Pudong region of Shanghai, which facilities now encompass a total of 236,000 square feet of floor space for production capacity, with an additional 100,000 square feet having been added in 2021 with the lease of a second building at our second facility in the Pudong region of Shanghai. In May 2020 ACM Shanghai, through its wholly owned subsidiary Shengwei Research (Shanghai), Inc., entered into an agreement for a land use right in the Lingang region of Shanghai. In July 2020 Shengwei Research (Shanghai), Inc. began a multi-year construction project for a new 1,000,000 square foot development and production center that will incorporate state-of-the-art manufacturing systems and automation technologies, and will provide floor space to support significantly increase production capacity and related research and development activities. Our experience has shown that chip manufacturers in the PRC and throughout Asia demand equipment meeting their specific technical requirements and prefer building relationships with local suppliers. We will continue to seek to leverage our local presence in the PRC to address the growing market for semiconductor manufacturing equipment in the region by working closely with regional chip manufacturers to understand their specific requirements, encourage them to adopt our technologies, and enable us to design innovative products and solutions to address their needs.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Background</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ACM Research was incorporated in California in 1998 and redomesticated in Delaware in 2016. We perform strategic planning, marketing, and financial activities at our global corporate headquarters in Fremont, California.</w:t>
      </w:r>
    </w:p>
    <w:p>
      <w:pPr>
        <w:spacing w:after="0" w:line="190" w:lineRule="exact"/>
        <w:rPr>
          <w:sz w:val="20"/>
          <w:szCs w:val="20"/>
          <w:color w:val="auto"/>
        </w:rPr>
      </w:pPr>
    </w:p>
    <w:p>
      <w:pPr>
        <w:jc w:val="both"/>
        <w:spacing w:after="0" w:line="207" w:lineRule="exact"/>
        <w:rPr>
          <w:sz w:val="20"/>
          <w:szCs w:val="20"/>
          <w:color w:val="auto"/>
        </w:rPr>
      </w:pPr>
      <w:r>
        <w:rPr>
          <w:rFonts w:ascii="Arial" w:cs="Arial" w:eastAsia="Arial" w:hAnsi="Arial"/>
          <w:sz w:val="16"/>
          <w:szCs w:val="16"/>
          <w:color w:val="auto"/>
        </w:rPr>
        <w:t>Initially we focused on developing tools for chip manufacturing process steps involving the integration of ultra</w:t>
      </w:r>
      <w:r>
        <w:rPr>
          <w:rFonts w:ascii="MS PGothic" w:cs="MS PGothic" w:eastAsia="MS PGothic" w:hAnsi="MS PGothic"/>
          <w:sz w:val="16"/>
          <w:szCs w:val="16"/>
          <w:color w:val="auto"/>
        </w:rPr>
        <w:t>‑</w:t>
      </w:r>
      <w:r>
        <w:rPr>
          <w:rFonts w:ascii="Arial" w:cs="Arial" w:eastAsia="Arial" w:hAnsi="Arial"/>
          <w:sz w:val="16"/>
          <w:szCs w:val="16"/>
          <w:color w:val="auto"/>
        </w:rPr>
        <w:t>low</w:t>
      </w:r>
      <w:r>
        <w:rPr>
          <w:rFonts w:ascii="MS PGothic" w:cs="MS PGothic" w:eastAsia="MS PGothic" w:hAnsi="MS PGothic"/>
          <w:sz w:val="16"/>
          <w:szCs w:val="16"/>
          <w:color w:val="auto"/>
        </w:rPr>
        <w:t>‑</w:t>
      </w:r>
      <w:r>
        <w:rPr>
          <w:rFonts w:ascii="Arial" w:cs="Arial" w:eastAsia="Arial" w:hAnsi="Arial"/>
          <w:sz w:val="16"/>
          <w:szCs w:val="16"/>
          <w:color w:val="auto"/>
        </w:rPr>
        <w:t>K materials and copper. In the early 2000s we sold tools based on stress-free copper polishing technology. In 2007 we began to focus our development efforts on single-wafer wet-cleaning solutions for the front-end chip fabrication process. Since that time, we have strategically built our technology base and expanded our product offerings:</w:t>
      </w:r>
    </w:p>
    <w:p>
      <w:pPr>
        <w:spacing w:after="0" w:line="220" w:lineRule="exact"/>
        <w:rPr>
          <w:sz w:val="20"/>
          <w:szCs w:val="20"/>
          <w:color w:val="auto"/>
        </w:rPr>
      </w:pPr>
    </w:p>
    <w:p>
      <w:pPr>
        <w:ind w:left="460" w:hanging="458"/>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 2009 we introduced </w:t>
      </w:r>
      <w:r>
        <w:rPr>
          <w:rFonts w:ascii="Arial" w:cs="Arial" w:eastAsia="Arial" w:hAnsi="Arial"/>
          <w:sz w:val="16"/>
          <w:szCs w:val="16"/>
          <w:i w:val="1"/>
          <w:iCs w:val="1"/>
          <w:color w:val="auto"/>
        </w:rPr>
        <w:t>SAPS</w:t>
      </w:r>
      <w:r>
        <w:rPr>
          <w:rFonts w:ascii="Arial" w:cs="Arial" w:eastAsia="Arial" w:hAnsi="Arial"/>
          <w:sz w:val="16"/>
          <w:szCs w:val="16"/>
          <w:color w:val="auto"/>
        </w:rPr>
        <w:t xml:space="preserve"> megasonic technology, which can be applied in wet wafer cleaning at numerous steps during the chip fabrication process.</w:t>
      </w:r>
    </w:p>
    <w:p>
      <w:pPr>
        <w:spacing w:after="0" w:line="31" w:lineRule="exact"/>
        <w:rPr>
          <w:rFonts w:ascii="Arial" w:cs="Arial" w:eastAsia="Arial" w:hAnsi="Arial"/>
          <w:sz w:val="16"/>
          <w:szCs w:val="16"/>
          <w:color w:val="auto"/>
        </w:rPr>
      </w:pPr>
    </w:p>
    <w:p>
      <w:pPr>
        <w:ind w:left="460" w:hanging="458"/>
        <w:spacing w:after="0" w:line="250"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In 2016 we introduced </w:t>
      </w:r>
      <w:r>
        <w:rPr>
          <w:rFonts w:ascii="Arial" w:cs="Arial" w:eastAsia="Arial" w:hAnsi="Arial"/>
          <w:sz w:val="17"/>
          <w:szCs w:val="17"/>
          <w:i w:val="1"/>
          <w:iCs w:val="1"/>
          <w:color w:val="auto"/>
        </w:rPr>
        <w:t>TEBO</w:t>
      </w:r>
      <w:r>
        <w:rPr>
          <w:rFonts w:ascii="Arial" w:cs="Arial" w:eastAsia="Arial" w:hAnsi="Arial"/>
          <w:sz w:val="17"/>
          <w:szCs w:val="17"/>
          <w:color w:val="auto"/>
        </w:rPr>
        <w:t xml:space="preserve"> technology, which can be applied at numerous steps during the fabrication of small node conventional two-dimensional and three-dimensional patterned wafers.</w:t>
      </w:r>
    </w:p>
    <w:p>
      <w:pPr>
        <w:ind w:left="460" w:hanging="458"/>
        <w:spacing w:after="0" w:line="250"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In August 2018 we introduced the </w:t>
      </w:r>
      <w:r>
        <w:rPr>
          <w:rFonts w:ascii="Arial" w:cs="Arial" w:eastAsia="Arial" w:hAnsi="Arial"/>
          <w:sz w:val="17"/>
          <w:szCs w:val="17"/>
          <w:i w:val="1"/>
          <w:iCs w:val="1"/>
          <w:color w:val="auto"/>
        </w:rPr>
        <w:t>Ultra C Tahoe</w:t>
      </w:r>
      <w:r>
        <w:rPr>
          <w:rFonts w:ascii="Arial" w:cs="Arial" w:eastAsia="Arial" w:hAnsi="Arial"/>
          <w:sz w:val="17"/>
          <w:szCs w:val="17"/>
          <w:color w:val="auto"/>
        </w:rPr>
        <w:t xml:space="preserve"> wafer cleaning tool, which delivers high cleaning performance with significantly less sulfuric acid than typically consumed by conventional high temperature single-wafer cleaning tools.</w:t>
      </w:r>
    </w:p>
    <w:p>
      <w:pPr>
        <w:jc w:val="both"/>
        <w:ind w:left="460" w:hanging="458"/>
        <w:spacing w:after="0" w:line="250"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In March 2019 we introduced (a) the </w:t>
      </w:r>
      <w:r>
        <w:rPr>
          <w:rFonts w:ascii="Arial" w:cs="Arial" w:eastAsia="Arial" w:hAnsi="Arial"/>
          <w:sz w:val="17"/>
          <w:szCs w:val="17"/>
          <w:i w:val="1"/>
          <w:iCs w:val="1"/>
          <w:color w:val="auto"/>
        </w:rPr>
        <w:t>Ultra ECP AP</w:t>
      </w:r>
      <w:r>
        <w:rPr>
          <w:rFonts w:ascii="Arial" w:cs="Arial" w:eastAsia="Arial" w:hAnsi="Arial"/>
          <w:sz w:val="17"/>
          <w:szCs w:val="17"/>
          <w:color w:val="auto"/>
        </w:rPr>
        <w:t xml:space="preserve"> or Advanced Wafer Level Packaging tool, a back-end assembly tool used for bumping, or applying copper, tin and nickel to wafers at the die-level prior to packaging, and (b) the </w:t>
      </w:r>
      <w:r>
        <w:rPr>
          <w:rFonts w:ascii="Arial" w:cs="Arial" w:eastAsia="Arial" w:hAnsi="Arial"/>
          <w:sz w:val="17"/>
          <w:szCs w:val="17"/>
          <w:i w:val="1"/>
          <w:iCs w:val="1"/>
          <w:color w:val="auto"/>
        </w:rPr>
        <w:t>Ultra ECP MAP</w:t>
      </w:r>
      <w:r>
        <w:rPr>
          <w:rFonts w:ascii="Arial" w:cs="Arial" w:eastAsia="Arial" w:hAnsi="Arial"/>
          <w:sz w:val="17"/>
          <w:szCs w:val="17"/>
          <w:color w:val="auto"/>
        </w:rPr>
        <w:t xml:space="preserve"> or Multi Anode Plating tool, a front-end process tool that utilizes our proprietary technology to deliver world-class electrochemical copper planting for copper interconnect applications.</w:t>
      </w:r>
    </w:p>
    <w:p>
      <w:pPr>
        <w:ind w:left="460" w:hanging="458"/>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In April 2020 we introduced the </w:t>
      </w:r>
      <w:r>
        <w:rPr>
          <w:rFonts w:ascii="Arial" w:cs="Arial" w:eastAsia="Arial" w:hAnsi="Arial"/>
          <w:sz w:val="17"/>
          <w:szCs w:val="17"/>
          <w:i w:val="1"/>
          <w:iCs w:val="1"/>
          <w:color w:val="auto"/>
        </w:rPr>
        <w:t>Ultra Furnace</w:t>
      </w:r>
      <w:r>
        <w:rPr>
          <w:rFonts w:ascii="Arial" w:cs="Arial" w:eastAsia="Arial" w:hAnsi="Arial"/>
          <w:sz w:val="17"/>
          <w:szCs w:val="17"/>
          <w:color w:val="auto"/>
        </w:rPr>
        <w:t>, our first system developed for multiple dry processing applications.</w:t>
      </w:r>
    </w:p>
    <w:p>
      <w:pPr>
        <w:spacing w:after="0" w:line="8" w:lineRule="exact"/>
        <w:rPr>
          <w:rFonts w:ascii="Arial" w:cs="Arial" w:eastAsia="Arial" w:hAnsi="Arial"/>
          <w:sz w:val="17"/>
          <w:szCs w:val="17"/>
          <w:color w:val="auto"/>
        </w:rPr>
      </w:pPr>
    </w:p>
    <w:p>
      <w:pPr>
        <w:ind w:left="460" w:hanging="458"/>
        <w:spacing w:after="0" w:line="260"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In May 2020 we introduced the </w:t>
      </w:r>
      <w:r>
        <w:rPr>
          <w:rFonts w:ascii="Arial" w:cs="Arial" w:eastAsia="Arial" w:hAnsi="Arial"/>
          <w:sz w:val="17"/>
          <w:szCs w:val="17"/>
          <w:i w:val="1"/>
          <w:iCs w:val="1"/>
          <w:color w:val="auto"/>
        </w:rPr>
        <w:t>Ultra C Family</w:t>
      </w:r>
      <w:r>
        <w:rPr>
          <w:rFonts w:ascii="Arial" w:cs="Arial" w:eastAsia="Arial" w:hAnsi="Arial"/>
          <w:sz w:val="17"/>
          <w:szCs w:val="17"/>
          <w:color w:val="auto"/>
        </w:rPr>
        <w:t xml:space="preserve"> of semi-critical cleaning systems, including the </w:t>
      </w:r>
      <w:r>
        <w:rPr>
          <w:rFonts w:ascii="Arial" w:cs="Arial" w:eastAsia="Arial" w:hAnsi="Arial"/>
          <w:sz w:val="17"/>
          <w:szCs w:val="17"/>
          <w:i w:val="1"/>
          <w:iCs w:val="1"/>
          <w:color w:val="auto"/>
        </w:rPr>
        <w:t>Ultra C b</w:t>
      </w:r>
      <w:r>
        <w:rPr>
          <w:rFonts w:ascii="Arial" w:cs="Arial" w:eastAsia="Arial" w:hAnsi="Arial"/>
          <w:sz w:val="17"/>
          <w:szCs w:val="17"/>
          <w:color w:val="auto"/>
        </w:rPr>
        <w:t xml:space="preserve"> for backside clean, the </w:t>
      </w:r>
      <w:r>
        <w:rPr>
          <w:rFonts w:ascii="Arial" w:cs="Arial" w:eastAsia="Arial" w:hAnsi="Arial"/>
          <w:sz w:val="17"/>
          <w:szCs w:val="17"/>
          <w:i w:val="1"/>
          <w:iCs w:val="1"/>
          <w:color w:val="auto"/>
        </w:rPr>
        <w:t>Ultra C wb</w:t>
      </w:r>
      <w:r>
        <w:rPr>
          <w:rFonts w:ascii="Arial" w:cs="Arial" w:eastAsia="Arial" w:hAnsi="Arial"/>
          <w:sz w:val="17"/>
          <w:szCs w:val="17"/>
          <w:color w:val="auto"/>
        </w:rPr>
        <w:t xml:space="preserve"> automated wet bench, and the </w:t>
      </w:r>
      <w:r>
        <w:rPr>
          <w:rFonts w:ascii="Arial" w:cs="Arial" w:eastAsia="Arial" w:hAnsi="Arial"/>
          <w:sz w:val="17"/>
          <w:szCs w:val="17"/>
          <w:i w:val="1"/>
          <w:iCs w:val="1"/>
          <w:color w:val="auto"/>
        </w:rPr>
        <w:t>Ultra C s</w:t>
      </w:r>
      <w:r>
        <w:rPr>
          <w:rFonts w:ascii="Arial" w:cs="Arial" w:eastAsia="Arial" w:hAnsi="Arial"/>
          <w:sz w:val="17"/>
          <w:szCs w:val="17"/>
          <w:color w:val="auto"/>
        </w:rPr>
        <w:t xml:space="preserve"> scrubber.</w:t>
      </w:r>
    </w:p>
    <w:p>
      <w:pPr>
        <w:spacing w:after="0" w:line="201" w:lineRule="exact"/>
        <w:rPr>
          <w:rFonts w:ascii="Arial" w:cs="Arial" w:eastAsia="Arial" w:hAnsi="Arial"/>
          <w:sz w:val="17"/>
          <w:szCs w:val="17"/>
          <w:color w:val="auto"/>
        </w:rPr>
      </w:pPr>
    </w:p>
    <w:p>
      <w:pPr>
        <w:ind w:left="460"/>
        <w:spacing w:after="0" w:line="274" w:lineRule="auto"/>
        <w:rPr>
          <w:rFonts w:ascii="Arial" w:cs="Arial" w:eastAsia="Arial" w:hAnsi="Arial"/>
          <w:sz w:val="17"/>
          <w:szCs w:val="17"/>
          <w:color w:val="auto"/>
        </w:rPr>
      </w:pPr>
      <w:r>
        <w:rPr>
          <w:rFonts w:ascii="Arial" w:cs="Arial" w:eastAsia="Arial" w:hAnsi="Arial"/>
          <w:sz w:val="17"/>
          <w:szCs w:val="17"/>
          <w:color w:val="auto"/>
        </w:rPr>
        <w:t>To help us establish and build relationships with chip manufacturers in the PRC, in 2006 we moved our operational center to Shanghai and began to conduct our business through our subsidiary ACM Shanghai. Since that time, we have expanded our geographic presence:</w:t>
      </w:r>
    </w:p>
    <w:p>
      <w:pPr>
        <w:spacing w:after="0" w:line="190" w:lineRule="exact"/>
        <w:rPr>
          <w:rFonts w:ascii="Arial" w:cs="Arial" w:eastAsia="Arial" w:hAnsi="Arial"/>
          <w:sz w:val="17"/>
          <w:szCs w:val="17"/>
          <w:color w:val="auto"/>
        </w:rPr>
      </w:pPr>
    </w:p>
    <w:p>
      <w:pPr>
        <w:ind w:left="460" w:hanging="458"/>
        <w:spacing w:after="0" w:line="257"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In 2011 we formed a wholly owned subsidiary in the PRC, </w:t>
      </w:r>
      <w:r>
        <w:rPr>
          <w:rFonts w:ascii="Arial" w:cs="Arial" w:eastAsia="Arial" w:hAnsi="Arial"/>
          <w:sz w:val="17"/>
          <w:szCs w:val="17"/>
          <w:i w:val="1"/>
          <w:iCs w:val="1"/>
          <w:color w:val="auto"/>
        </w:rPr>
        <w:t>ACM Research (Wuxi), Inc.</w:t>
      </w:r>
      <w:r>
        <w:rPr>
          <w:rFonts w:ascii="Arial" w:cs="Arial" w:eastAsia="Arial" w:hAnsi="Arial"/>
          <w:sz w:val="17"/>
          <w:szCs w:val="17"/>
          <w:color w:val="auto"/>
        </w:rPr>
        <w:t>, which now is a wholly owned subsidiary of ACM Shanghai, to manage sales and service operations.</w:t>
      </w:r>
    </w:p>
    <w:p>
      <w:pPr>
        <w:jc w:val="both"/>
        <w:ind w:left="460" w:hanging="458"/>
        <w:spacing w:after="0" w:line="250"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In June 2017 we formed a subsidiary in Hong Kong, </w:t>
      </w:r>
      <w:r>
        <w:rPr>
          <w:rFonts w:ascii="Arial" w:cs="Arial" w:eastAsia="Arial" w:hAnsi="Arial"/>
          <w:sz w:val="17"/>
          <w:szCs w:val="17"/>
          <w:i w:val="1"/>
          <w:iCs w:val="1"/>
          <w:color w:val="auto"/>
        </w:rPr>
        <w:t>CleanChip Technologies Limited</w:t>
      </w:r>
      <w:r>
        <w:rPr>
          <w:rFonts w:ascii="Arial" w:cs="Arial" w:eastAsia="Arial" w:hAnsi="Arial"/>
          <w:sz w:val="17"/>
          <w:szCs w:val="17"/>
          <w:color w:val="auto"/>
        </w:rPr>
        <w:t>, which now is a wholly owned subsidiary of ACM Shanghai, to act on our behalf in Asian markets outside the PRC by, for example, serving as a trading partner between ACM Shanghai and its customers, procuring raw materials and components, performing sales and marketing activities, and making strategic investments.</w:t>
      </w:r>
    </w:p>
    <w:p>
      <w:pPr>
        <w:ind w:left="460" w:hanging="458"/>
        <w:spacing w:after="0" w:line="26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 December 2017 we formed a subsidiary in the Republic of Korea, </w:t>
      </w:r>
      <w:r>
        <w:rPr>
          <w:rFonts w:ascii="Arial" w:cs="Arial" w:eastAsia="Arial" w:hAnsi="Arial"/>
          <w:sz w:val="16"/>
          <w:szCs w:val="16"/>
          <w:i w:val="1"/>
          <w:iCs w:val="1"/>
          <w:color w:val="auto"/>
        </w:rPr>
        <w:t>ACM Research Korea CO., LTD.</w:t>
      </w:r>
      <w:r>
        <w:rPr>
          <w:rFonts w:ascii="Arial" w:cs="Arial" w:eastAsia="Arial" w:hAnsi="Arial"/>
          <w:sz w:val="16"/>
          <w:szCs w:val="16"/>
          <w:color w:val="auto"/>
        </w:rPr>
        <w:t>, which now is a wholly owned subsidiary of ACM Shanghai, to serve our customers based in the Republic of Korea and perform sales, marketing, and research and development activities.</w:t>
      </w:r>
    </w:p>
    <w:p>
      <w:pPr>
        <w:spacing w:after="0" w:line="1" w:lineRule="exact"/>
        <w:rPr>
          <w:rFonts w:ascii="Arial" w:cs="Arial" w:eastAsia="Arial" w:hAnsi="Arial"/>
          <w:sz w:val="16"/>
          <w:szCs w:val="16"/>
          <w:color w:val="auto"/>
        </w:rPr>
      </w:pPr>
    </w:p>
    <w:p>
      <w:pPr>
        <w:ind w:left="460" w:hanging="458"/>
        <w:spacing w:after="0" w:line="260"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In March 2019 ACM Shanghai formed a wholly owned subsidiary in the PRC, </w:t>
      </w:r>
      <w:r>
        <w:rPr>
          <w:rFonts w:ascii="Arial" w:cs="Arial" w:eastAsia="Arial" w:hAnsi="Arial"/>
          <w:sz w:val="17"/>
          <w:szCs w:val="17"/>
          <w:i w:val="1"/>
          <w:iCs w:val="1"/>
          <w:color w:val="auto"/>
        </w:rPr>
        <w:t>Shengwei Research (Shanghai), Inc</w:t>
      </w:r>
      <w:r>
        <w:rPr>
          <w:rFonts w:ascii="Arial" w:cs="Arial" w:eastAsia="Arial" w:hAnsi="Arial"/>
          <w:sz w:val="17"/>
          <w:szCs w:val="17"/>
          <w:color w:val="auto"/>
        </w:rPr>
        <w:t>., to manage activities related to addition of future long-term production capacity.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currently conduct the majority of our product development, support and services, and substantially all of our manufacturing, at ACM Shanghai. Our Shanghai operations position us to be near many of our current and potential new customers in the PRC (including Taiwan), Korea and throughout Asia, providing convenient access and reduced shipping and manufacturing costs.</w:t>
      </w:r>
    </w:p>
    <w:p>
      <w:pPr>
        <w:spacing w:after="0" w:line="200" w:lineRule="exact"/>
        <w:rPr>
          <w:sz w:val="20"/>
          <w:szCs w:val="20"/>
          <w:color w:val="auto"/>
        </w:rPr>
      </w:pPr>
    </w:p>
    <w:p>
      <w:pPr>
        <w:ind w:left="460" w:hanging="458"/>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initial factory is located in the Pudong Region of Shanghai and has a total of 36,000 square feet of available floor space.</w:t>
      </w:r>
    </w:p>
    <w:p>
      <w:pPr>
        <w:spacing w:after="0" w:line="19" w:lineRule="exact"/>
        <w:rPr>
          <w:rFonts w:ascii="Arial" w:cs="Arial" w:eastAsia="Arial" w:hAnsi="Arial"/>
          <w:sz w:val="17"/>
          <w:szCs w:val="17"/>
          <w:color w:val="auto"/>
        </w:rPr>
      </w:pPr>
    </w:p>
    <w:p>
      <w:pPr>
        <w:jc w:val="both"/>
        <w:ind w:left="460" w:hanging="458"/>
        <w:spacing w:after="0" w:line="250"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second production facility is located in the Chuansha district of Pudong, approximately 11 miles from our initial factory. In September 2018 we announced the opening of the first building of our second production facility. The first building initially had a total of 50,000 square feet of available floor space for production capacity, which was increased by 50,000 square feet in the second quarter of 2020. In February 2021, we leased a second building immediately adjacent to our second factory, which increased our available floor space for production by another 100,000 square feet, bringing to total available floor space for production capacity of second production facility to 200,000 square feet.</w:t>
      </w:r>
    </w:p>
    <w:p>
      <w:pPr>
        <w:ind w:left="460" w:hanging="458"/>
        <w:spacing w:after="0" w:line="260"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July 2020 ACM Shanghai began a multi-year construction project to build a development and production center in the Lingang region of Shanghai. The new facility is expected to have a total of 1,000,000 square feet of available floor space for production. capacity.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4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STAR Market Listing and IPO</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In June 2019 we announced our intention to complete, within the following three years:</w:t>
      </w:r>
    </w:p>
    <w:p>
      <w:pPr>
        <w:spacing w:after="0" w:line="237" w:lineRule="exact"/>
        <w:rPr>
          <w:sz w:val="20"/>
          <w:szCs w:val="20"/>
          <w:color w:val="auto"/>
        </w:rPr>
      </w:pPr>
    </w:p>
    <w:p>
      <w:pPr>
        <w:ind w:left="460" w:hanging="458"/>
        <w:spacing w:after="0" w:line="257"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listing, which we refer to as the STAR Listing, of shares of ACM Shanghai on the Shanghai Stock Exchange’s Sci-Tech innovAtion boaRd, known as the STAR Market; and</w:t>
      </w:r>
    </w:p>
    <w:p>
      <w:pPr>
        <w:ind w:left="460" w:hanging="458"/>
        <w:spacing w:after="0" w:line="260"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concurrent initial public offering, which we refer to as the STAR IPO, of ACM Shanghai shares in the PRC, at a pre-offering valuation of not less than RMB 5.15 billion ($747.1 million).</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believe the STAR Listing will help us scale our business in mainland PRC, as we continue to seek to broaden our markets in Europe, Japan, South Korea, Taiwan and the United States. Our global headquarters will continue to be located in Fremont, California, and we are committed to maintaining the listing of Class A common stock on the Nasdaq Global Market.</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To qualify for the STAR Listing, ACM Shanghai was required to have multiple independent stockholders in the PRC. In June and November 2019, ACM Shanghai entered into private placement agreements with fifteen investors pursuant to which the investors purchased ACM Shanghai shares for a total of RMB 416.1 million ($59.7 million as of the investment dates). As of June 30, 2020, 91.7% of the outstanding shares of ACM Shanghai were owned by ACM Research and 8.3% were owned by the private placement investors.</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Upon the submission of application documents by ACM Shanghai for the STAR Listing and STAR IPO to the Shanghai Stock Exchange during the second quarter of 2020, the shares of ACM Shanghai issued to the private placement investors were reclassified from redeemable non-controlling interests to non-controlling interests. Upon the termination of such redemption feature, we released the aggregate proceeds of the private placement funding from reserved cash, which we previously had voluntarily imposed in light of a potential redemption.</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September 30, 2020, the application was approved by the Listing Committee of the STAR Market. The Listing Committee subsequently determined to reassess the approval application in light of allegations regarding our business and operations that were contained in a report issued by J Capital Research USA Ltd. on October 8, 2020 and an ensuing putative class action lawsuit against our company and three of our executive officers filed on December 21, 2020 (See “Item 1. Legal Proceedings” of Part II of this report).</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Following the completion of the Listing Committee’s reassessment, on June 10, 2021, the application for registration for the STAR Market IPO was submitted by the Shanghai Stock Exchange Commission (the “SSEC”) to the China Securities Regulatory Commission. The STAR Listing remains subject to review and approval by the China Securities Regulatory Commission.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ACM Shanghai currently proposes to offer up to ten percent of its shares in the STAR IPO. The net proceeds of the STAR IPO are expected to be used to fund:</w:t>
      </w:r>
    </w:p>
    <w:p>
      <w:pPr>
        <w:spacing w:after="0" w:line="260" w:lineRule="exact"/>
        <w:rPr>
          <w:sz w:val="20"/>
          <w:szCs w:val="20"/>
          <w:color w:val="auto"/>
        </w:rPr>
      </w:pPr>
    </w:p>
    <w:p>
      <w:pPr>
        <w:ind w:left="460" w:hanging="458"/>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land lease for, and construction of, ACM Shanghai’s proposed development and production center in the Lingang region of Shanghai;</w:t>
      </w:r>
    </w:p>
    <w:p>
      <w:pPr>
        <w:spacing w:after="0" w:line="19" w:lineRule="exact"/>
        <w:rPr>
          <w:rFonts w:ascii="Arial" w:cs="Arial" w:eastAsia="Arial" w:hAnsi="Arial"/>
          <w:sz w:val="17"/>
          <w:szCs w:val="17"/>
          <w:color w:val="auto"/>
        </w:rPr>
      </w:pPr>
    </w:p>
    <w:p>
      <w:pPr>
        <w:jc w:val="both"/>
        <w:ind w:left="460" w:hanging="458"/>
        <w:spacing w:after="0" w:line="250"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product development to upgrade and expand our process equipment targeted at more advanced process nodes, including technical improvement and development of TEBO megasonic cleaning equipment, Tahoe single wafer wet bench combined cleaning equipment, front-end brush scrubbing equipment, auto bench cleaning equipment, front end process electroplating equipment, Stress Free Polish equipment and vertical furnace equipment, additional new products to expand our product portfolio; and</w:t>
      </w:r>
    </w:p>
    <w:p>
      <w:pPr>
        <w:ind w:left="460" w:hanging="458"/>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working capital.</w:t>
      </w:r>
    </w:p>
    <w:p>
      <w:pPr>
        <w:spacing w:after="0" w:line="225"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COVID–19 Outbreak</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Following its initial outbreak in December 2019, COVID–19, or the coronavirus, spread across the PRC, the United States and globally. The COVID–19 outbreak has affected our business and operating results since the first quarter of 2020. Since that time, our personnel have been largely unable to travel between our offices in the United States and our facilities in the PRC, which may impact our ability to effectively operate our company and to oversee our operations. The COVID–19 situation continues to evolve, including as the result of variants, and it is impossible for us to predict the effect and ultimate impact of the COVID–19 outbreak on our business operations and results. We continue to monitor the impact of the COVID-19 pandemic on all aspects of our business, including our operations, customers, suppliers and projects. While the quarantine, social distancing and other regulatory measures instituted or recommended in response to COVID–19 are expected to be temporary, the duration of the business disruptions, and related financial impact, of the outbreak cannot be estimated at this time. For an explanation of some of the risks we potentially face, please read carefully the information provided under “Item 1A. Risk Factors—Risks Related to the COVID–19 Outbreak,” of Part I of our Annual Report.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summary reflects our expectations and estimates based on information known to us as of the date of this filing:</w:t>
      </w:r>
    </w:p>
    <w:p>
      <w:pPr>
        <w:spacing w:after="0" w:line="237" w:lineRule="exact"/>
        <w:rPr>
          <w:sz w:val="20"/>
          <w:szCs w:val="20"/>
          <w:color w:val="auto"/>
        </w:rPr>
      </w:pPr>
    </w:p>
    <w:p>
      <w:pPr>
        <w:jc w:val="both"/>
        <w:ind w:left="460" w:hanging="458"/>
        <w:spacing w:after="0" w:line="267"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Operations</w:t>
      </w:r>
      <w:r>
        <w:rPr>
          <w:rFonts w:ascii="Arial" w:cs="Arial" w:eastAsia="Arial" w:hAnsi="Arial"/>
          <w:sz w:val="16"/>
          <w:szCs w:val="16"/>
          <w:color w:val="auto"/>
        </w:rPr>
        <w:t>: We conduct substantially all of our product development, manufacturing, support and services in the PRC, and those activities have been 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impacted by the COVID–19 outbreak and related restrictions on transportation and public appearances. In February 2020 our ACM Shanghai headquarters were closed for an additional six days beyond the normal Lunar New Year Holiday in accordance with Shanghai government restrictions related to the outbreak. We took steps before and after the Lunar New Year to ensure no employees took unreasonable risks to rush back to work. Currently substantially all of our staff have returned to work at both of our Shanghai facilities. To date we have not experienced absenteeism of management or other key employees, other than certain of our executive officers being delayed in traveling back to the PRC after working from our California office in February 2021. Our corporate headquarters are located in Alameda County in the San Francisco Bay Area of California and are the subject of a number of state and county public health directives and orders. These actions have not negatively impacted our business to date, however, because of the limited number of employees at our headquarters and the nature of the work they generally perform.</w:t>
      </w:r>
    </w:p>
    <w:p>
      <w:pPr>
        <w:spacing w:after="0" w:line="3" w:lineRule="exact"/>
        <w:rPr>
          <w:rFonts w:ascii="Arial" w:cs="Arial" w:eastAsia="Arial" w:hAnsi="Arial"/>
          <w:sz w:val="16"/>
          <w:szCs w:val="16"/>
          <w:color w:val="auto"/>
        </w:rPr>
      </w:pPr>
    </w:p>
    <w:p>
      <w:pPr>
        <w:jc w:val="both"/>
        <w:ind w:left="460" w:hanging="458"/>
        <w:spacing w:after="0" w:line="283"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Customers: </w:t>
      </w:r>
      <w:r>
        <w:rPr>
          <w:rFonts w:ascii="Arial" w:cs="Arial" w:eastAsia="Arial" w:hAnsi="Arial"/>
          <w:sz w:val="15"/>
          <w:szCs w:val="15"/>
          <w:color w:val="auto"/>
        </w:rPr>
        <w:t>Our customers’ business operations have been, and are continuing to be, subject to business interruptions arising from the COVID–19 outbreak.</w:t>
      </w:r>
      <w:r>
        <w:rPr>
          <w:rFonts w:ascii="Arial" w:cs="Arial" w:eastAsia="Arial" w:hAnsi="Arial"/>
          <w:sz w:val="15"/>
          <w:szCs w:val="15"/>
          <w:i w:val="1"/>
          <w:iCs w:val="1"/>
          <w:color w:val="auto"/>
        </w:rPr>
        <w:t xml:space="preserve"> </w:t>
      </w:r>
      <w:r>
        <w:rPr>
          <w:rFonts w:ascii="Arial" w:cs="Arial" w:eastAsia="Arial" w:hAnsi="Arial"/>
          <w:sz w:val="15"/>
          <w:szCs w:val="15"/>
          <w:color w:val="auto"/>
        </w:rPr>
        <w:t>Historically a majority of our revenue from sales of single-wafer wet cleaning equipment for front-end manufacturing has been derived from customers located in the PRC and surrounding areas that have been impacted by COVID–19. Three customers that accounted for 75.8% of our revenue in 2020, 73.8% in 2019 and 87.6% of our revenue in 2018 are based in the PRC and South Korea. One of those customers, Yangtze Memory Technologies Co., Ltd. — which accounted for 26.8% of our 2020 revenue, 27.5% of our 2019 revenue and 39.6% of our 2018 revenue — is based in Wuhan. While Yangtze Memory Technologies Co., Ltd. and other key customers continued to operate their fabrication facilities without interruption during and after the first quarter of 2020, they were forced to restrict access of service personnel and deliveries to and from their facilities. A portion of the shipments we previously had expected to deliver in the first quarter of 2020 were postponed due to these factors, and were subsequently delivered in the second quarter of 2020.</w:t>
      </w:r>
    </w:p>
    <w:p>
      <w:pPr>
        <w:spacing w:after="0" w:line="2" w:lineRule="exact"/>
        <w:rPr>
          <w:rFonts w:ascii="Arial" w:cs="Arial" w:eastAsia="Arial" w:hAnsi="Arial"/>
          <w:sz w:val="15"/>
          <w:szCs w:val="15"/>
          <w:color w:val="auto"/>
        </w:rPr>
      </w:pPr>
    </w:p>
    <w:p>
      <w:pPr>
        <w:jc w:val="both"/>
        <w:ind w:left="460" w:hanging="458"/>
        <w:spacing w:after="0" w:line="250"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Suppliers</w:t>
      </w:r>
      <w:r>
        <w:rPr>
          <w:rFonts w:ascii="Arial" w:cs="Arial" w:eastAsia="Arial" w:hAnsi="Arial"/>
          <w:sz w:val="17"/>
          <w:szCs w:val="17"/>
          <w:color w:val="auto"/>
        </w:rPr>
        <w:t>: Our global supply chain includes components sourced from the PRC, Japan, Taiwan, the United States and Europe. While the COVID–19 outbreak</w:t>
      </w:r>
      <w:r>
        <w:rPr>
          <w:rFonts w:ascii="Arial" w:cs="Arial" w:eastAsia="Arial" w:hAnsi="Arial"/>
          <w:sz w:val="17"/>
          <w:szCs w:val="17"/>
          <w:i w:val="1"/>
          <w:iCs w:val="1"/>
          <w:color w:val="auto"/>
        </w:rPr>
        <w:t xml:space="preserve"> </w:t>
      </w:r>
      <w:r>
        <w:rPr>
          <w:rFonts w:ascii="Arial" w:cs="Arial" w:eastAsia="Arial" w:hAnsi="Arial"/>
          <w:sz w:val="17"/>
          <w:szCs w:val="17"/>
          <w:color w:val="auto"/>
        </w:rPr>
        <w:t>has resulted in significant governmental measures being implemented to control the spread of COVID–19 around the world, to date we have not experienced material issues with our supply chain. As with our customers, we continue to be in close contact with our key suppliers to help ensure we are able to identify any potential supply issues that may arise.</w:t>
      </w:r>
    </w:p>
    <w:p>
      <w:pPr>
        <w:jc w:val="both"/>
        <w:ind w:left="460" w:hanging="458"/>
        <w:spacing w:after="0" w:line="252"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Projects</w:t>
      </w:r>
      <w:r>
        <w:rPr>
          <w:rFonts w:ascii="Arial" w:cs="Arial" w:eastAsia="Arial" w:hAnsi="Arial"/>
          <w:sz w:val="17"/>
          <w:szCs w:val="17"/>
          <w:color w:val="auto"/>
        </w:rPr>
        <w:t>: Our strategy includes a number of plans to support the growth of our core business, including the STAR Listing and STAR IPO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ACM Shanghai described above as well as ACM Shanghai’s recent acquisition of a land use right in the Lingang area of Shanghai where we began construction of a new research and development center and factory in July 2020. The extent to which COVID–19 impacts these projects will depend on future developments that are highly uncertain, but to date, the timing of these ongoing projects has not been delayed or disrupted by COVID–19 or related government measures.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PRC Government Research and Development Funding</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ACM Shanghai has received six special government grants from the PRC’s Ministry of Science and Technology, the Shanghai Municipal Commission of Economy and Information, and the Shanghai Science and Technology Committee.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The sixth grant was made in 2020, and relates to the development of backside cleaning technologies. These governmental authorities provide the majority of the funding, although ACM Shanghai is also required to invest certain amounts in the projects.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200" w:lineRule="exact"/>
        <w:rPr>
          <w:sz w:val="20"/>
          <w:szCs w:val="20"/>
          <w:color w:val="auto"/>
        </w:rPr>
      </w:pPr>
    </w:p>
    <w:p>
      <w:pPr>
        <w:jc w:val="both"/>
        <w:ind w:left="460" w:hanging="458"/>
        <w:spacing w:after="0" w:line="254"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Government subsidies relating to current expenses are recorded as reductions of those expenses in the periods in which the current expenses are recorded. For the six months ended June 30, 2021 and 2020, related government subsidies recognized as reductions of relevant expenses in the consolidated statements of operations and comprehensive income were $4.2 million and $0.3 million, respectively.</w:t>
      </w:r>
    </w:p>
    <w:p>
      <w:pPr>
        <w:spacing w:after="0" w:line="2" w:lineRule="exact"/>
        <w:rPr>
          <w:rFonts w:ascii="Arial" w:cs="Arial" w:eastAsia="Arial" w:hAnsi="Arial"/>
          <w:sz w:val="17"/>
          <w:szCs w:val="17"/>
          <w:color w:val="auto"/>
        </w:rPr>
      </w:pPr>
    </w:p>
    <w:p>
      <w:pPr>
        <w:jc w:val="both"/>
        <w:ind w:left="460" w:hanging="458"/>
        <w:spacing w:after="0" w:line="255"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Government subsidies related to depreciable assets are credited to income over the useful lives of the related assets for which the grant was received. For the six months ended June 30, 2021 and 2020, related government subsidies recognized as other income in the consolidated statements of operations and comprehensive income were $80,000 and $73,000, respectively.</w:t>
      </w:r>
    </w:p>
    <w:p>
      <w:pPr>
        <w:spacing w:after="0" w:line="20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Unearned government subsidies received are deferred for recognition and recorded as other long-term liabilities (see note 13 in the notes to condensed consolidated financial statements included herein under “Item 1. Financial Statements”) in the balance sheet until the criteria for such recognition are satisfied.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Attributable to Non-Controlling Interests and Redeemable Non-Controlling Interests</w:t>
      </w: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described above under “—Recent Developments—STAR Market Listing and IPO”, in 2019, ACM Shanghai sold a total number of shares representing 8.3% of its outstanding ACM Shanghai shares. ACM Research continues to hold the remaining 91.7% of ACM Shanghai’s outstanding shares. During the second quarter of 2020, the redemption feature of the private placement funding terminated and the aggregate proceeds of the funding were reclassified from redeemable non-controlling interests to non-controlling interests. As a result, we reflect, as net income attributable to non-controlling interests and redeemable non-controlling interests, the portion of our net income allocable to the minority holders of ACM Shanghai shares.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Evaluate Our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We present information below with respect to four measures of financial performance:</w:t>
      </w:r>
    </w:p>
    <w:p>
      <w:pPr>
        <w:spacing w:after="0" w:line="237" w:lineRule="exact"/>
        <w:rPr>
          <w:sz w:val="20"/>
          <w:szCs w:val="20"/>
          <w:color w:val="auto"/>
        </w:rPr>
      </w:pPr>
    </w:p>
    <w:p>
      <w:pPr>
        <w:jc w:val="both"/>
        <w:ind w:left="460" w:hanging="458"/>
        <w:spacing w:after="0" w:line="254"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define “shipments” of tools to include (a) a “repeat” delivery to a customer of a type of tool that the customer has previously accepted, for which we recognize revenue upon delivery, and (b) a “first-time” delivery of a “first tool” to a customer on an approval basis, for which we may recognize revenue in the future if contractual conditions are met and customer acceptance is received.</w:t>
      </w:r>
    </w:p>
    <w:p>
      <w:pPr>
        <w:spacing w:after="0" w:line="2" w:lineRule="exact"/>
        <w:rPr>
          <w:rFonts w:ascii="Arial" w:cs="Arial" w:eastAsia="Arial" w:hAnsi="Arial"/>
          <w:sz w:val="17"/>
          <w:szCs w:val="17"/>
          <w:color w:val="auto"/>
        </w:rPr>
      </w:pPr>
    </w:p>
    <w:p>
      <w:pPr>
        <w:ind w:left="460" w:hanging="458"/>
        <w:spacing w:after="0" w:line="26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1" w:lineRule="exact"/>
        <w:rPr>
          <w:rFonts w:ascii="Arial" w:cs="Arial" w:eastAsia="Arial" w:hAnsi="Arial"/>
          <w:sz w:val="16"/>
          <w:szCs w:val="16"/>
          <w:color w:val="auto"/>
        </w:rPr>
      </w:pPr>
    </w:p>
    <w:p>
      <w:pPr>
        <w:ind w:left="460" w:hanging="458"/>
        <w:spacing w:after="0" w:line="250"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purchases of property and equipment (net of proceeds from disposals) and of intangible assets.</w:t>
      </w:r>
    </w:p>
    <w:p>
      <w:pPr>
        <w:ind w:left="460" w:hanging="458"/>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define “adjusted operating income (loss)” as our income (loss) from operations excluding stock-based compensation.</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Shipments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Shipments consist of two components:</w:t>
      </w:r>
    </w:p>
    <w:p>
      <w:pPr>
        <w:spacing w:after="0" w:line="237" w:lineRule="exact"/>
        <w:rPr>
          <w:sz w:val="20"/>
          <w:szCs w:val="20"/>
          <w:color w:val="auto"/>
        </w:rPr>
      </w:pPr>
    </w:p>
    <w:p>
      <w:pPr>
        <w:ind w:left="460" w:hanging="458"/>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has previously accepted, for which we recognize revenue when the tool is delivered; and</w:t>
      </w:r>
    </w:p>
    <w:p>
      <w:pPr>
        <w:spacing w:after="0" w:line="31" w:lineRule="exact"/>
        <w:rPr>
          <w:rFonts w:ascii="Arial" w:cs="Arial" w:eastAsia="Arial" w:hAnsi="Arial"/>
          <w:sz w:val="16"/>
          <w:szCs w:val="16"/>
          <w:color w:val="auto"/>
        </w:rPr>
      </w:pPr>
    </w:p>
    <w:p>
      <w:pPr>
        <w:ind w:left="460" w:hanging="458"/>
        <w:spacing w:after="0" w:line="29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w:t>
      </w:r>
    </w:p>
    <w:p>
      <w:pPr>
        <w:spacing w:after="0" w:line="17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“First tool” shipments can be made to either an existing customer that not previously accepted that specific type of tool in the past ─ for example, a delivery of a SAPS V tool to a customer that previously had received only SAPS II tools ─ or to a new customer that has never purchased any tool from us.</w:t>
      </w:r>
    </w:p>
    <w:p>
      <w:pPr>
        <w:spacing w:after="0" w:line="16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Shipments in the three months ended June 30, 2021 totaled $82 million, as compared to $45 million in the three months ended June 30, 2020, and $74 million in the three months ended March 31, 2021.</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dollar amount attributed to a “first tool” shipment is equal to the consideration we expect to receive if any and all contractual requirements are satisfied and the customer accepts the tool. There are a number of limitations related to the use of shipments in evaluating our business, including that customers have significant discretion in determining whether to accept our tools and their decision not to accept delivered tools is likely to result in our inability to recognize revenue from the delivered tools.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Adjusted EBITDA</w:t>
      </w: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There are a number of limitations related to the use of adjusted EBITDA rather than net income (loss), which is the nearest GAAP equivalent. Some of these limitations are:</w:t>
      </w:r>
    </w:p>
    <w:p>
      <w:pPr>
        <w:spacing w:after="0" w:line="190" w:lineRule="exact"/>
        <w:rPr>
          <w:sz w:val="20"/>
          <w:szCs w:val="20"/>
          <w:color w:val="auto"/>
        </w:rPr>
      </w:pPr>
    </w:p>
    <w:p>
      <w:pPr>
        <w:ind w:left="460" w:hanging="458"/>
        <w:spacing w:after="0" w:line="257"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adjusted EBITDA excludes depreciation and amortization and, although these are non-cash expenses, the assets being depreciated or amortized may have to be replaced in the future;</w:t>
      </w:r>
    </w:p>
    <w:p>
      <w:pPr>
        <w:jc w:val="both"/>
        <w:ind w:left="460" w:hanging="458"/>
        <w:spacing w:after="0" w:line="250"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ind w:left="460" w:hanging="458"/>
        <w:spacing w:after="0" w:line="250"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460" w:hanging="458"/>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adjusted EBITDA does not reflect changes in, or cash requirements for, working capital needs;</w:t>
      </w:r>
    </w:p>
    <w:p>
      <w:pPr>
        <w:spacing w:after="0" w:line="8" w:lineRule="exact"/>
        <w:rPr>
          <w:rFonts w:ascii="Arial" w:cs="Arial" w:eastAsia="Arial" w:hAnsi="Arial"/>
          <w:sz w:val="17"/>
          <w:szCs w:val="17"/>
          <w:color w:val="auto"/>
        </w:rPr>
      </w:pPr>
    </w:p>
    <w:p>
      <w:pPr>
        <w:ind w:left="460" w:hanging="458"/>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adjusted EBITDA does not reflect interest expense, or the requirements necessary to service interest or principal payments on debt;</w:t>
      </w:r>
    </w:p>
    <w:p>
      <w:pPr>
        <w:spacing w:after="0" w:line="8" w:lineRule="exact"/>
        <w:rPr>
          <w:rFonts w:ascii="Arial" w:cs="Arial" w:eastAsia="Arial" w:hAnsi="Arial"/>
          <w:sz w:val="17"/>
          <w:szCs w:val="17"/>
          <w:color w:val="auto"/>
        </w:rPr>
      </w:pPr>
    </w:p>
    <w:p>
      <w:pPr>
        <w:ind w:left="460" w:hanging="458"/>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adjusted EBITDA does not reflect income tax expense (benefit) or the cash requirements to pay taxes;</w:t>
      </w:r>
    </w:p>
    <w:p>
      <w:pPr>
        <w:spacing w:after="0" w:line="8" w:lineRule="exact"/>
        <w:rPr>
          <w:rFonts w:ascii="Arial" w:cs="Arial" w:eastAsia="Arial" w:hAnsi="Arial"/>
          <w:sz w:val="17"/>
          <w:szCs w:val="17"/>
          <w:color w:val="auto"/>
        </w:rPr>
      </w:pPr>
    </w:p>
    <w:p>
      <w:pPr>
        <w:ind w:left="460" w:hanging="458"/>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adjusted EBITDA does not reflect historical cash expenditures or future requirements for capital expenditures or contractual commitments;</w:t>
      </w:r>
    </w:p>
    <w:p>
      <w:pPr>
        <w:spacing w:after="0" w:line="8" w:lineRule="exact"/>
        <w:rPr>
          <w:rFonts w:ascii="Arial" w:cs="Arial" w:eastAsia="Arial" w:hAnsi="Arial"/>
          <w:sz w:val="17"/>
          <w:szCs w:val="17"/>
          <w:color w:val="auto"/>
        </w:rPr>
      </w:pPr>
    </w:p>
    <w:p>
      <w:pPr>
        <w:ind w:left="460" w:hanging="458"/>
        <w:spacing w:after="0" w:line="250"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jc w:val="both"/>
        <w:ind w:left="460" w:hanging="458"/>
        <w:spacing w:after="0" w:line="255"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adjusted EBITDA includes expense reductions and non-operating other income attributable to PRC governmental grants, which may mask the effect of underlying developments in net income, including trends in current expenses and interest expense, and free cash flow includes the PRC governmental grants, the amount and timing of which can be difficult to predict and are outside our control.</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net income, the most directly comparable GAAP financial measure, to adjusted EBITDA: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1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5340" w:type="dxa"/>
            <w:vAlign w:val="bottom"/>
            <w:gridSpan w:val="7"/>
          </w:tcPr>
          <w:p>
            <w:pPr>
              <w:ind w:left="3280"/>
              <w:spacing w:after="0"/>
              <w:rPr>
                <w:sz w:val="20"/>
                <w:szCs w:val="20"/>
                <w:color w:val="auto"/>
              </w:rPr>
            </w:pPr>
            <w:r>
              <w:rPr>
                <w:rFonts w:ascii="Arial" w:cs="Arial" w:eastAsia="Arial" w:hAnsi="Arial"/>
                <w:sz w:val="17"/>
                <w:szCs w:val="17"/>
                <w:b w:val="1"/>
                <w:bCs w:val="1"/>
                <w:color w:val="auto"/>
                <w:w w:val="92"/>
              </w:rPr>
              <w:t>Six Months Ended June 30,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gridSpan w:val="2"/>
            <w:vMerge w:val="restart"/>
          </w:tcPr>
          <w:p>
            <w:pPr>
              <w:ind w:left="1120"/>
              <w:spacing w:after="0"/>
              <w:rPr>
                <w:sz w:val="20"/>
                <w:szCs w:val="20"/>
                <w:color w:val="auto"/>
              </w:rPr>
            </w:pPr>
            <w:r>
              <w:rPr>
                <w:rFonts w:ascii="Arial" w:cs="Arial" w:eastAsia="Arial" w:hAnsi="Arial"/>
                <w:sz w:val="17"/>
                <w:szCs w:val="17"/>
                <w:b w:val="1"/>
                <w:bCs w:val="1"/>
                <w:color w:val="auto"/>
              </w:rPr>
              <w:t>Adjusted EBITDA Data:</w:t>
            </w: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15"/>
              <w:spacing w:after="0"/>
              <w:rPr>
                <w:sz w:val="20"/>
                <w:szCs w:val="20"/>
                <w:color w:val="auto"/>
              </w:rPr>
            </w:pPr>
            <w:r>
              <w:rPr>
                <w:rFonts w:ascii="Arial" w:cs="Arial" w:eastAsia="Arial" w:hAnsi="Arial"/>
                <w:sz w:val="17"/>
                <w:szCs w:val="17"/>
                <w:i w:val="1"/>
                <w:iCs w:val="1"/>
                <w:color w:val="auto"/>
              </w:rPr>
              <w:t>(in</w:t>
            </w:r>
          </w:p>
        </w:tc>
        <w:tc>
          <w:tcPr>
            <w:tcW w:w="1080" w:type="dxa"/>
            <w:vAlign w:val="bottom"/>
            <w:gridSpan w:val="3"/>
          </w:tcPr>
          <w:p>
            <w:pPr>
              <w:jc w:val="right"/>
              <w:ind w:right="415"/>
              <w:spacing w:after="0"/>
              <w:rPr>
                <w:sz w:val="20"/>
                <w:szCs w:val="20"/>
                <w:color w:val="auto"/>
              </w:rPr>
            </w:pPr>
            <w:r>
              <w:rPr>
                <w:rFonts w:ascii="Arial" w:cs="Arial" w:eastAsia="Arial" w:hAnsi="Arial"/>
                <w:sz w:val="16"/>
                <w:szCs w:val="16"/>
                <w:i w:val="1"/>
                <w:iCs w:val="1"/>
                <w:color w:val="auto"/>
                <w:w w:val="70"/>
              </w:rPr>
              <w:t>thousands)</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80" w:type="dxa"/>
            <w:vAlign w:val="bottom"/>
            <w:gridSpan w:val="2"/>
            <w:vMerge w:val="continue"/>
          </w:tcPr>
          <w:p>
            <w:pPr>
              <w:spacing w:after="0"/>
              <w:rPr>
                <w:sz w:val="16"/>
                <w:szCs w:val="16"/>
                <w:color w:val="auto"/>
              </w:rPr>
            </w:pPr>
          </w:p>
        </w:tc>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460" w:type="dxa"/>
            <w:vAlign w:val="bottom"/>
            <w:gridSpan w:val="2"/>
            <w:shd w:val="clear" w:color="auto" w:fill="CCEEFF"/>
          </w:tcPr>
          <w:p>
            <w:pPr>
              <w:ind w:left="32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13,156</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3640" w:type="dxa"/>
            <w:vAlign w:val="bottom"/>
          </w:tcPr>
          <w:p>
            <w:pPr>
              <w:ind w:left="120"/>
              <w:spacing w:after="0"/>
              <w:rPr>
                <w:sz w:val="20"/>
                <w:szCs w:val="20"/>
                <w:color w:val="auto"/>
              </w:rPr>
            </w:pPr>
            <w:r>
              <w:rPr>
                <w:rFonts w:ascii="Arial" w:cs="Arial" w:eastAsia="Arial" w:hAnsi="Arial"/>
                <w:sz w:val="17"/>
                <w:szCs w:val="17"/>
                <w:color w:val="auto"/>
              </w:rPr>
              <w:t>Interest expense (income), net</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303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(316)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3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Income tax expense (benefit)</w:t>
            </w:r>
          </w:p>
        </w:tc>
        <w:tc>
          <w:tcPr>
            <w:tcW w:w="3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(2,755)</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2,163</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364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1,031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441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3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Stock based compensation</w:t>
            </w:r>
          </w:p>
        </w:tc>
        <w:tc>
          <w:tcPr>
            <w:tcW w:w="3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2,545</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3640" w:type="dxa"/>
            <w:vAlign w:val="bottom"/>
          </w:tcPr>
          <w:p>
            <w:pPr>
              <w:ind w:left="120"/>
              <w:spacing w:after="0"/>
              <w:rPr>
                <w:sz w:val="20"/>
                <w:szCs w:val="20"/>
                <w:color w:val="auto"/>
              </w:rPr>
            </w:pPr>
            <w:r>
              <w:rPr>
                <w:rFonts w:ascii="Arial" w:cs="Arial" w:eastAsia="Arial" w:hAnsi="Arial"/>
                <w:sz w:val="17"/>
                <w:szCs w:val="17"/>
                <w:color w:val="auto"/>
              </w:rPr>
              <w:t>Change in fair value of financial liability</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5,431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3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Unrealized gain on trading securities</w:t>
            </w:r>
          </w:p>
        </w:tc>
        <w:tc>
          <w:tcPr>
            <w:tcW w:w="3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(2,736)</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140" w:type="dxa"/>
            <w:vAlign w:val="bottom"/>
            <w:vMerge w:val="restart"/>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140" w:type="dxa"/>
            <w:vAlign w:val="bottom"/>
            <w:vMerge w:val="continue"/>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Adjusted EBITDA</w:t>
            </w:r>
          </w:p>
        </w:tc>
        <w:tc>
          <w:tcPr>
            <w:tcW w:w="3460" w:type="dxa"/>
            <w:vAlign w:val="bottom"/>
            <w:gridSpan w:val="2"/>
          </w:tcPr>
          <w:p>
            <w:pPr>
              <w:ind w:left="32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11,544</w:t>
            </w:r>
          </w:p>
        </w:tc>
        <w:tc>
          <w:tcPr>
            <w:tcW w:w="18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11,722</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300" w:type="dxa"/>
            <w:vAlign w:val="bottom"/>
            <w:vMerge w:val="restart"/>
          </w:tcPr>
          <w:p>
            <w:pPr>
              <w:jc w:val="right"/>
              <w:ind w:right="2299"/>
              <w:spacing w:after="0"/>
              <w:rPr>
                <w:sz w:val="20"/>
                <w:szCs w:val="20"/>
                <w:color w:val="auto"/>
              </w:rPr>
            </w:pPr>
            <w:r>
              <w:rPr>
                <w:rFonts w:ascii="Arial" w:cs="Arial" w:eastAsia="Arial" w:hAnsi="Arial"/>
                <w:sz w:val="14"/>
                <w:szCs w:val="14"/>
                <w:color w:val="auto"/>
              </w:rPr>
              <w:t>36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14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$0.2 million decrease in adjusted EBITDA for the six-months ended June 30, 2021 as compared to the same period in 2020 reflected an increase of $10.7 million in net income, a $0.6 million increase due to net interest expense versus net income, a decrease of $4.9 million due to an income tax benefit versus an income tax expense, an increase of $0.6 million in depreciation and amortization, an increase of $1.0 million in stock-based compensation, a decrease of $5.4 million due to no contribution from change in fair value of financial liability, and a decrease of $2.7 million due to unrealized gain on trading securities.</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Free Cash Flow</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cash provided by (used in) operating activities, the most directly comparable GAAP financial measure, to free cash flow:</w:t>
      </w:r>
    </w:p>
    <w:p>
      <w:pPr>
        <w:spacing w:after="0" w:line="245" w:lineRule="exact"/>
        <w:rPr>
          <w:sz w:val="20"/>
          <w:szCs w:val="20"/>
          <w:color w:val="auto"/>
        </w:rPr>
      </w:pPr>
    </w:p>
    <w:tbl>
      <w:tblPr>
        <w:tblLayout w:type="fixed"/>
        <w:tblInd w:w="112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2040" w:type="dxa"/>
            <w:vAlign w:val="bottom"/>
            <w:gridSpan w:val="6"/>
          </w:tcPr>
          <w:p>
            <w:pPr>
              <w:spacing w:after="0"/>
              <w:rPr>
                <w:sz w:val="20"/>
                <w:szCs w:val="20"/>
                <w:color w:val="auto"/>
              </w:rPr>
            </w:pPr>
            <w:r>
              <w:rPr>
                <w:rFonts w:ascii="Arial" w:cs="Arial" w:eastAsia="Arial" w:hAnsi="Arial"/>
                <w:sz w:val="17"/>
                <w:szCs w:val="17"/>
                <w:b w:val="1"/>
                <w:bCs w:val="1"/>
                <w:color w:val="auto"/>
                <w:w w:val="91"/>
              </w:rPr>
              <w:t>Six Months Ended 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Free Cash Flow Data:</w:t>
            </w:r>
          </w:p>
        </w:tc>
        <w:tc>
          <w:tcPr>
            <w:tcW w:w="160" w:type="dxa"/>
            <w:vAlign w:val="bottom"/>
          </w:tcPr>
          <w:p>
            <w:pPr>
              <w:spacing w:after="0"/>
              <w:rPr>
                <w:sz w:val="18"/>
                <w:szCs w:val="18"/>
                <w:color w:val="auto"/>
              </w:rPr>
            </w:pPr>
          </w:p>
        </w:tc>
        <w:tc>
          <w:tcPr>
            <w:tcW w:w="720" w:type="dxa"/>
            <w:vAlign w:val="bottom"/>
          </w:tcPr>
          <w:p>
            <w:pPr>
              <w:jc w:val="right"/>
              <w:ind w:right="115"/>
              <w:spacing w:after="0"/>
              <w:rPr>
                <w:sz w:val="20"/>
                <w:szCs w:val="20"/>
                <w:color w:val="auto"/>
              </w:rPr>
            </w:pPr>
            <w:r>
              <w:rPr>
                <w:rFonts w:ascii="Arial" w:cs="Arial" w:eastAsia="Arial" w:hAnsi="Arial"/>
                <w:sz w:val="17"/>
                <w:szCs w:val="17"/>
                <w:i w:val="1"/>
                <w:iCs w:val="1"/>
                <w:color w:val="auto"/>
              </w:rPr>
              <w:t>(in</w:t>
            </w:r>
          </w:p>
        </w:tc>
        <w:tc>
          <w:tcPr>
            <w:tcW w:w="1080" w:type="dxa"/>
            <w:vAlign w:val="bottom"/>
            <w:gridSpan w:val="3"/>
          </w:tcPr>
          <w:p>
            <w:pPr>
              <w:jc w:val="right"/>
              <w:ind w:right="415"/>
              <w:spacing w:after="0"/>
              <w:rPr>
                <w:sz w:val="20"/>
                <w:szCs w:val="20"/>
                <w:color w:val="auto"/>
              </w:rPr>
            </w:pPr>
            <w:r>
              <w:rPr>
                <w:rFonts w:ascii="Arial" w:cs="Arial" w:eastAsia="Arial" w:hAnsi="Arial"/>
                <w:sz w:val="16"/>
                <w:szCs w:val="16"/>
                <w:i w:val="1"/>
                <w:iCs w:val="1"/>
                <w:color w:val="auto"/>
                <w:w w:val="70"/>
              </w:rPr>
              <w:t>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provided by (used in) operating activities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(10,651)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Arial" w:cs="Arial" w:eastAsia="Arial" w:hAnsi="Arial"/>
                <w:sz w:val="17"/>
                <w:szCs w:val="17"/>
                <w:color w:val="auto"/>
              </w:rPr>
              <w:t>Purchase property and equipment</w:t>
            </w:r>
          </w:p>
        </w:tc>
        <w:tc>
          <w:tcPr>
            <w:tcW w:w="1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(2,353)</w:t>
            </w:r>
          </w:p>
        </w:tc>
        <w:tc>
          <w:tcPr>
            <w:tcW w:w="1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(1,529)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Purchase of intangible assets</w:t>
            </w: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(431)</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Arial" w:cs="Arial" w:eastAsia="Arial" w:hAnsi="Arial"/>
                <w:sz w:val="17"/>
                <w:szCs w:val="17"/>
                <w:color w:val="auto"/>
              </w:rPr>
              <w:t>Prepayment for land-use-right and property</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(15,438)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Purchase of long-term investments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(14,130)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9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40" w:type="dxa"/>
            <w:vAlign w:val="bottom"/>
          </w:tcPr>
          <w:p>
            <w:pPr>
              <w:spacing w:after="0"/>
              <w:rPr>
                <w:sz w:val="20"/>
                <w:szCs w:val="20"/>
                <w:color w:val="auto"/>
              </w:rPr>
            </w:pPr>
            <w:r>
              <w:rPr>
                <w:rFonts w:ascii="Arial" w:cs="Arial" w:eastAsia="Arial" w:hAnsi="Arial"/>
                <w:sz w:val="17"/>
                <w:szCs w:val="17"/>
                <w:color w:val="auto"/>
              </w:rPr>
              <w:t>Free cash flow</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(2,543)</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(41,803)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$39.3 million increase in free cash flow for the six months ended June 30, 2021 as compared to the same period in 2020 reflected a $10.9 million increase due to net cash provided by operating activities versus net used by operating activities, a $15.4 million increase due to no prepayments in 2021 for land-use right and property, and a $14.1 million increase due to no purchase of investment securities in 2021, and a $0.8 million increase in purchase of property and equipment, and a $0.4 million increase in purchase of intangible assets. Consistent with our methodology for calculating adjusted EBITDA, we do not adjust free cash flow for the effects of PRC government subsidies, because we take those subsidies into account in incurring expenses and capital expenditures.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Operating Income</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7"/>
                <w:szCs w:val="17"/>
                <w:b w:val="1"/>
                <w:bCs w:val="1"/>
                <w:color w:val="auto"/>
                <w:w w:val="95"/>
              </w:rPr>
              <w:t>Six Months Ended June 30,</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560"/>
              <w:spacing w:after="0" w:line="187" w:lineRule="exact"/>
              <w:rPr>
                <w:sz w:val="20"/>
                <w:szCs w:val="20"/>
                <w:color w:val="auto"/>
              </w:rPr>
            </w:pPr>
            <w:r>
              <w:rPr>
                <w:rFonts w:ascii="Arial" w:cs="Arial" w:eastAsia="Arial" w:hAnsi="Arial"/>
                <w:sz w:val="17"/>
                <w:szCs w:val="17"/>
                <w:b w:val="1"/>
                <w:bCs w:val="1"/>
                <w:color w:val="auto"/>
              </w:rPr>
              <w:t>Actual</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55"/>
              <w:spacing w:after="0" w:line="187" w:lineRule="exact"/>
              <w:rPr>
                <w:sz w:val="20"/>
                <w:szCs w:val="20"/>
                <w:color w:val="auto"/>
              </w:rPr>
            </w:pPr>
            <w:r>
              <w:rPr>
                <w:rFonts w:ascii="Arial" w:cs="Arial" w:eastAsia="Arial" w:hAnsi="Arial"/>
                <w:sz w:val="17"/>
                <w:szCs w:val="17"/>
                <w:b w:val="1"/>
                <w:bCs w:val="1"/>
                <w:color w:val="auto"/>
              </w:rPr>
              <w:t>Adjusted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560"/>
              <w:spacing w:after="0" w:line="187" w:lineRule="exact"/>
              <w:rPr>
                <w:sz w:val="20"/>
                <w:szCs w:val="20"/>
                <w:color w:val="auto"/>
              </w:rPr>
            </w:pPr>
            <w:r>
              <w:rPr>
                <w:rFonts w:ascii="Arial" w:cs="Arial" w:eastAsia="Arial" w:hAnsi="Arial"/>
                <w:sz w:val="17"/>
                <w:szCs w:val="17"/>
                <w:b w:val="1"/>
                <w:bCs w:val="1"/>
                <w:color w:val="auto"/>
              </w:rPr>
              <w:t>Actual</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35"/>
              <w:spacing w:after="0" w:line="187" w:lineRule="exact"/>
              <w:rPr>
                <w:sz w:val="20"/>
                <w:szCs w:val="20"/>
                <w:color w:val="auto"/>
              </w:rPr>
            </w:pPr>
            <w:r>
              <w:rPr>
                <w:rFonts w:ascii="Arial" w:cs="Arial" w:eastAsia="Arial" w:hAnsi="Arial"/>
                <w:sz w:val="17"/>
                <w:szCs w:val="17"/>
                <w:b w:val="1"/>
                <w:bCs w:val="1"/>
                <w:color w:val="auto"/>
                <w:w w:val="96"/>
              </w:rPr>
              <w:t>Adjusted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(GAAP)</w:t>
            </w:r>
          </w:p>
        </w:tc>
        <w:tc>
          <w:tcPr>
            <w:tcW w:w="24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SBC</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4"/>
              </w:rPr>
              <w:t>(Non-GAAP)</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(GAAP)</w:t>
            </w:r>
          </w:p>
        </w:tc>
        <w:tc>
          <w:tcPr>
            <w:tcW w:w="22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SBC</w:t>
            </w:r>
          </w:p>
        </w:tc>
        <w:tc>
          <w:tcPr>
            <w:tcW w:w="120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(Non-GAAP)</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7"/>
                <w:szCs w:val="17"/>
                <w:i w:val="1"/>
                <w:iCs w:val="1"/>
                <w:color w:val="auto"/>
              </w:rPr>
              <w:t>(in thousands)</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97,596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97,596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63,397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63,397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Cost of revenue</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(57,871)</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(57,690)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(33,813)</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(88)</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(33,725)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Gross profit</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39,725</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39,906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29,584</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Sales and marketing</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(11,097)</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(7,600)</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(258)</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(7,342)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ind w:left="100"/>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(13,437)</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(12,929)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(8,898)</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(375)</w:t>
            </w:r>
          </w:p>
        </w:tc>
        <w:tc>
          <w:tcPr>
            <w:tcW w:w="1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(8,523)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General and administrative</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(7,410)</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(6,537)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(4,532)</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(823)</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(3,709)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7,781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(2,545)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10,326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8,554</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(1,544)</w:t>
            </w:r>
          </w:p>
        </w:tc>
        <w:tc>
          <w:tcPr>
            <w:tcW w:w="1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10,098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Adjusted operating income for the six months ended on June 30, 2021 increased by $0.2 million, as compared with the same period in 2020, due to a $0.8 million decrease in income from operations, offset by a $1 million increase in stock-based compensation expense.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1"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 xml:space="preserve">There were no significant changes in our critical accounting policies or significant judgments or estimates during the six months ended June 30, 2021 to augment the critical accounting estimates disclosed under the heading “Management’s Discussion and Analysis of Financial Condition and Results of Operations” in our Annual Report, other than those described in the notes to the condensed consolidated financial statements included in this report, including the adoption of the Financial Accounting Standards Board’s Accounting Standards Update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xml:space="preserve"> and 2020-04, </w:t>
      </w:r>
      <w:r>
        <w:rPr>
          <w:rFonts w:ascii="Arial" w:cs="Arial" w:eastAsia="Arial" w:hAnsi="Arial"/>
          <w:sz w:val="15"/>
          <w:szCs w:val="15"/>
          <w:i w:val="1"/>
          <w:iCs w:val="1"/>
          <w:color w:val="auto"/>
        </w:rPr>
        <w:t xml:space="preserve">Reference Rate Reform (Topic 848): Facilitation of the Effects of Reference Rate Reform on Financial Reporting </w:t>
      </w:r>
      <w:r>
        <w:rPr>
          <w:rFonts w:ascii="Arial" w:cs="Arial" w:eastAsia="Arial" w:hAnsi="Arial"/>
          <w:sz w:val="15"/>
          <w:szCs w:val="15"/>
          <w:color w:val="auto"/>
        </w:rPr>
        <w:t>effective January 1, 2021. For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regarding the impact of recently adopted accounting standards, refer to note 2 to the condensed consolidated financial statements included in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 discussion of recent accounting pronouncements is included in our Annual Report and is updated in note 2 to the condensed consolidated financial statements included in this report.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for the periods presented, as percentages of revenue.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7"/>
          </w:tcPr>
          <w:p>
            <w:pPr>
              <w:jc w:val="right"/>
              <w:ind w:right="340"/>
              <w:spacing w:after="0"/>
              <w:rPr>
                <w:sz w:val="20"/>
                <w:szCs w:val="20"/>
                <w:color w:val="auto"/>
              </w:rPr>
            </w:pPr>
            <w:r>
              <w:rPr>
                <w:rFonts w:ascii="Arial" w:cs="Arial" w:eastAsia="Arial" w:hAnsi="Arial"/>
                <w:sz w:val="17"/>
                <w:szCs w:val="17"/>
                <w:b w:val="1"/>
                <w:bCs w:val="1"/>
                <w:color w:val="auto"/>
                <w:w w:val="96"/>
              </w:rPr>
              <w:t>Three Months Ended June 30,</w:t>
            </w:r>
          </w:p>
        </w:tc>
        <w:tc>
          <w:tcPr>
            <w:tcW w:w="100" w:type="dxa"/>
            <w:vAlign w:val="bottom"/>
          </w:tcPr>
          <w:p>
            <w:pPr>
              <w:spacing w:after="0"/>
              <w:rPr>
                <w:sz w:val="19"/>
                <w:szCs w:val="19"/>
                <w:color w:val="auto"/>
              </w:rPr>
            </w:pPr>
          </w:p>
        </w:tc>
        <w:tc>
          <w:tcPr>
            <w:tcW w:w="2620" w:type="dxa"/>
            <w:vAlign w:val="bottom"/>
            <w:gridSpan w:val="5"/>
          </w:tcPr>
          <w:p>
            <w:pPr>
              <w:jc w:val="right"/>
              <w:ind w:right="380"/>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400"/>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6"/>
              </w:rPr>
              <w:t>100.0%</w:t>
            </w: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Cost of revenue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6"/>
              </w:rPr>
              <w:t>59.8</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50.4</w:t>
            </w:r>
          </w:p>
        </w:tc>
        <w:tc>
          <w:tcPr>
            <w:tcW w:w="1460" w:type="dxa"/>
            <w:vAlign w:val="bottom"/>
            <w:gridSpan w:val="4"/>
          </w:tcPr>
          <w:p>
            <w:pPr>
              <w:jc w:val="right"/>
              <w:ind w:right="240"/>
              <w:spacing w:after="0"/>
              <w:rPr>
                <w:sz w:val="20"/>
                <w:szCs w:val="20"/>
                <w:color w:val="auto"/>
              </w:rPr>
            </w:pPr>
            <w:r>
              <w:rPr>
                <w:rFonts w:ascii="Arial" w:cs="Arial" w:eastAsia="Arial" w:hAnsi="Arial"/>
                <w:sz w:val="17"/>
                <w:szCs w:val="17"/>
                <w:color w:val="auto"/>
              </w:rPr>
              <w:t>59.3</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53.3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Gross margin</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40.2</w:t>
            </w:r>
          </w:p>
        </w:tc>
        <w:tc>
          <w:tcPr>
            <w:tcW w:w="2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Sales and marketing</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10.7</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11.8</w:t>
            </w:r>
          </w:p>
        </w:tc>
        <w:tc>
          <w:tcPr>
            <w:tcW w:w="146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11.4</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tcPr>
          <w:p>
            <w:pPr>
              <w:ind w:left="100"/>
              <w:spacing w:after="0"/>
              <w:rPr>
                <w:sz w:val="20"/>
                <w:szCs w:val="20"/>
                <w:color w:val="auto"/>
              </w:rPr>
            </w:pPr>
            <w:r>
              <w:rPr>
                <w:rFonts w:ascii="Arial" w:cs="Arial" w:eastAsia="Arial" w:hAnsi="Arial"/>
                <w:sz w:val="17"/>
                <w:szCs w:val="17"/>
                <w:color w:val="auto"/>
              </w:rPr>
              <w:t>Research and development</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6"/>
              </w:rPr>
              <w:t>14.7</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13.4</w:t>
            </w:r>
          </w:p>
        </w:tc>
        <w:tc>
          <w:tcPr>
            <w:tcW w:w="1460" w:type="dxa"/>
            <w:vAlign w:val="bottom"/>
            <w:gridSpan w:val="4"/>
          </w:tcPr>
          <w:p>
            <w:pPr>
              <w:jc w:val="right"/>
              <w:ind w:right="240"/>
              <w:spacing w:after="0"/>
              <w:rPr>
                <w:sz w:val="20"/>
                <w:szCs w:val="20"/>
                <w:color w:val="auto"/>
              </w:rPr>
            </w:pPr>
            <w:r>
              <w:rPr>
                <w:rFonts w:ascii="Arial" w:cs="Arial" w:eastAsia="Arial" w:hAnsi="Arial"/>
                <w:sz w:val="17"/>
                <w:szCs w:val="17"/>
                <w:color w:val="auto"/>
              </w:rPr>
              <w:t>13.8</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General and administrative</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Pr>
          <w:p>
            <w:pPr>
              <w:ind w:left="280"/>
              <w:spacing w:after="0"/>
              <w:rPr>
                <w:sz w:val="20"/>
                <w:szCs w:val="20"/>
                <w:color w:val="auto"/>
              </w:rPr>
            </w:pPr>
            <w:r>
              <w:rPr>
                <w:rFonts w:ascii="Arial" w:cs="Arial" w:eastAsia="Arial" w:hAnsi="Arial"/>
                <w:sz w:val="17"/>
                <w:szCs w:val="17"/>
                <w:color w:val="auto"/>
              </w:rPr>
              <w:t>Total operating expenses, net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6"/>
              </w:rPr>
              <w:t>32.1</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30.8</w:t>
            </w:r>
          </w:p>
        </w:tc>
        <w:tc>
          <w:tcPr>
            <w:tcW w:w="1460" w:type="dxa"/>
            <w:vAlign w:val="bottom"/>
            <w:gridSpan w:val="4"/>
          </w:tcPr>
          <w:p>
            <w:pPr>
              <w:jc w:val="right"/>
              <w:ind w:right="240"/>
              <w:spacing w:after="0"/>
              <w:rPr>
                <w:sz w:val="20"/>
                <w:szCs w:val="20"/>
                <w:color w:val="auto"/>
              </w:rPr>
            </w:pPr>
            <w:r>
              <w:rPr>
                <w:rFonts w:ascii="Arial" w:cs="Arial" w:eastAsia="Arial" w:hAnsi="Arial"/>
                <w:sz w:val="17"/>
                <w:szCs w:val="17"/>
                <w:color w:val="auto"/>
              </w:rPr>
              <w:t>32.7</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Income from operations</w:t>
            </w:r>
          </w:p>
        </w:tc>
        <w:tc>
          <w:tcPr>
            <w:tcW w:w="2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4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4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Interest income (expense), net</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(0.3)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0.2</w:t>
            </w:r>
          </w:p>
        </w:tc>
        <w:tc>
          <w:tcPr>
            <w:tcW w:w="1460" w:type="dxa"/>
            <w:vAlign w:val="bottom"/>
            <w:gridSpan w:val="4"/>
          </w:tcPr>
          <w:p>
            <w:pPr>
              <w:jc w:val="right"/>
              <w:ind w:right="200"/>
              <w:spacing w:after="0"/>
              <w:rPr>
                <w:sz w:val="20"/>
                <w:szCs w:val="20"/>
                <w:color w:val="auto"/>
              </w:rPr>
            </w:pPr>
            <w:r>
              <w:rPr>
                <w:rFonts w:ascii="Arial" w:cs="Arial" w:eastAsia="Arial" w:hAnsi="Arial"/>
                <w:sz w:val="17"/>
                <w:szCs w:val="17"/>
                <w:color w:val="auto"/>
              </w:rPr>
              <w:t>(0.3)</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financial liability</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(13.9)</w:t>
            </w:r>
          </w:p>
        </w:tc>
        <w:tc>
          <w:tcPr>
            <w:tcW w:w="146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Unrealized gain on trading securities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7.0</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7"/>
                <w:szCs w:val="17"/>
                <w:color w:val="auto"/>
              </w:rPr>
              <w:t>2.8</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0.4</w:t>
            </w:r>
          </w:p>
        </w:tc>
        <w:tc>
          <w:tcPr>
            <w:tcW w:w="146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(0.4)</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Equity income in net income of affiliates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0.5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0.5</w:t>
            </w:r>
          </w:p>
        </w:tc>
        <w:tc>
          <w:tcPr>
            <w:tcW w:w="1460" w:type="dxa"/>
            <w:vAlign w:val="bottom"/>
            <w:gridSpan w:val="4"/>
          </w:tcPr>
          <w:p>
            <w:pPr>
              <w:jc w:val="right"/>
              <w:ind w:right="240"/>
              <w:spacing w:after="0"/>
              <w:rPr>
                <w:sz w:val="20"/>
                <w:szCs w:val="20"/>
                <w:color w:val="auto"/>
              </w:rPr>
            </w:pPr>
            <w:r>
              <w:rPr>
                <w:rFonts w:ascii="Arial" w:cs="Arial" w:eastAsia="Arial" w:hAnsi="Arial"/>
                <w:sz w:val="17"/>
                <w:szCs w:val="17"/>
                <w:color w:val="auto"/>
              </w:rPr>
              <w:t>0.6</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Income before income taxes</w:t>
            </w:r>
          </w:p>
        </w:tc>
        <w:tc>
          <w:tcPr>
            <w:tcW w:w="2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13.6</w:t>
            </w:r>
          </w:p>
        </w:tc>
        <w:tc>
          <w:tcPr>
            <w:tcW w:w="24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24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0.0</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(4.8)</w:t>
            </w:r>
          </w:p>
        </w:tc>
        <w:tc>
          <w:tcPr>
            <w:tcW w:w="1460" w:type="dxa"/>
            <w:vAlign w:val="bottom"/>
            <w:gridSpan w:val="4"/>
          </w:tcPr>
          <w:p>
            <w:pPr>
              <w:jc w:val="right"/>
              <w:ind w:right="240"/>
              <w:spacing w:after="0"/>
              <w:rPr>
                <w:sz w:val="20"/>
                <w:szCs w:val="20"/>
                <w:color w:val="auto"/>
              </w:rPr>
            </w:pPr>
            <w:r>
              <w:rPr>
                <w:rFonts w:ascii="Arial" w:cs="Arial" w:eastAsia="Arial" w:hAnsi="Arial"/>
                <w:sz w:val="17"/>
                <w:szCs w:val="17"/>
                <w:color w:val="auto"/>
              </w:rPr>
              <w:t>2.8</w:t>
            </w: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13.6</w:t>
            </w:r>
          </w:p>
        </w:tc>
        <w:tc>
          <w:tcPr>
            <w:tcW w:w="24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4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80" w:type="dxa"/>
            <w:vAlign w:val="bottom"/>
          </w:tcPr>
          <w:p>
            <w:pPr>
              <w:spacing w:after="0" w:line="191" w:lineRule="exact"/>
              <w:rPr>
                <w:sz w:val="20"/>
                <w:szCs w:val="20"/>
                <w:color w:val="auto"/>
              </w:rPr>
            </w:pPr>
            <w:r>
              <w:rPr>
                <w:rFonts w:ascii="Arial" w:cs="Arial" w:eastAsia="Arial" w:hAnsi="Arial"/>
                <w:sz w:val="17"/>
                <w:szCs w:val="17"/>
                <w:color w:val="auto"/>
                <w:w w:val="94"/>
              </w:rPr>
              <w:t>Less: Net income attributable to non-controlling interests and redeemable non-</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100"/>
              <w:spacing w:after="0"/>
              <w:rPr>
                <w:sz w:val="20"/>
                <w:szCs w:val="20"/>
                <w:color w:val="auto"/>
              </w:rPr>
            </w:pPr>
            <w:r>
              <w:rPr>
                <w:rFonts w:ascii="Arial" w:cs="Arial" w:eastAsia="Arial" w:hAnsi="Arial"/>
                <w:sz w:val="17"/>
                <w:szCs w:val="17"/>
                <w:color w:val="auto"/>
              </w:rPr>
              <w:t>controlling interests</w:t>
            </w:r>
          </w:p>
        </w:tc>
        <w:tc>
          <w:tcPr>
            <w:tcW w:w="2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attributable to ACM Research, Inc.</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5"/>
              </w:rPr>
              <w:t>12.2%</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6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Comparison of Three Months Ended June 30, 2021 and 2020</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600" w:type="dxa"/>
            <w:vAlign w:val="bottom"/>
            <w:gridSpan w:val="2"/>
          </w:tcPr>
          <w:p>
            <w:pPr>
              <w:spacing w:after="0"/>
              <w:rPr>
                <w:sz w:val="20"/>
                <w:szCs w:val="20"/>
                <w:color w:val="auto"/>
              </w:rPr>
            </w:pPr>
            <w:r>
              <w:rPr>
                <w:rFonts w:ascii="Arial" w:cs="Arial" w:eastAsia="Arial" w:hAnsi="Arial"/>
                <w:sz w:val="17"/>
                <w:szCs w:val="17"/>
                <w:i w:val="1"/>
                <w:iCs w:val="1"/>
                <w:color w:val="auto"/>
              </w:rPr>
              <w:t>Revenue</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340" w:type="dxa"/>
            <w:vAlign w:val="bottom"/>
            <w:gridSpan w:val="6"/>
          </w:tcPr>
          <w:p>
            <w:pPr>
              <w:spacing w:after="0"/>
              <w:rPr>
                <w:sz w:val="20"/>
                <w:szCs w:val="20"/>
                <w:color w:val="auto"/>
              </w:rPr>
            </w:pPr>
            <w:r>
              <w:rPr>
                <w:rFonts w:ascii="Arial" w:cs="Arial" w:eastAsia="Arial" w:hAnsi="Arial"/>
                <w:sz w:val="17"/>
                <w:szCs w:val="17"/>
                <w:b w:val="1"/>
                <w:bCs w:val="1"/>
                <w:color w:val="auto"/>
                <w:w w:val="96"/>
              </w:rPr>
              <w:t>Three Months Ended June 30,</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6"/>
          </w:tcPr>
          <w:p>
            <w:pPr>
              <w:jc w:val="right"/>
              <w:ind w:right="1220"/>
              <w:spacing w:after="0" w:line="187" w:lineRule="exact"/>
              <w:rPr>
                <w:sz w:val="20"/>
                <w:szCs w:val="20"/>
                <w:color w:val="auto"/>
              </w:rPr>
            </w:pPr>
            <w:r>
              <w:rPr>
                <w:rFonts w:ascii="Arial" w:cs="Arial" w:eastAsia="Arial" w:hAnsi="Arial"/>
                <w:sz w:val="17"/>
                <w:szCs w:val="17"/>
                <w:b w:val="1"/>
                <w:bCs w:val="1"/>
                <w:color w:val="auto"/>
                <w:w w:val="97"/>
              </w:rPr>
              <w:t>% Change</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75"/>
              <w:spacing w:after="0"/>
              <w:rPr>
                <w:sz w:val="20"/>
                <w:szCs w:val="20"/>
                <w:color w:val="auto"/>
              </w:rPr>
            </w:pPr>
            <w:r>
              <w:rPr>
                <w:rFonts w:ascii="Arial" w:cs="Arial" w:eastAsia="Arial" w:hAnsi="Arial"/>
                <w:sz w:val="17"/>
                <w:szCs w:val="17"/>
                <w:b w:val="1"/>
                <w:bCs w:val="1"/>
                <w:color w:val="auto"/>
              </w:rPr>
              <w:t>2021</w:t>
            </w:r>
          </w:p>
        </w:tc>
        <w:tc>
          <w:tcPr>
            <w:tcW w:w="1220" w:type="dxa"/>
            <w:vAlign w:val="bottom"/>
            <w:gridSpan w:val="3"/>
          </w:tcPr>
          <w:p>
            <w:pPr>
              <w:jc w:val="right"/>
              <w:ind w:right="33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2040" w:type="dxa"/>
            <w:vAlign w:val="bottom"/>
            <w:gridSpan w:val="6"/>
          </w:tcPr>
          <w:p>
            <w:pPr>
              <w:jc w:val="right"/>
              <w:ind w:right="1180"/>
              <w:spacing w:after="0"/>
              <w:rPr>
                <w:sz w:val="20"/>
                <w:szCs w:val="20"/>
                <w:color w:val="auto"/>
              </w:rPr>
            </w:pPr>
            <w:r>
              <w:rPr>
                <w:rFonts w:ascii="Arial" w:cs="Arial" w:eastAsia="Arial" w:hAnsi="Arial"/>
                <w:sz w:val="17"/>
                <w:szCs w:val="17"/>
                <w:b w:val="1"/>
                <w:bCs w:val="1"/>
                <w:color w:val="auto"/>
                <w:w w:val="88"/>
              </w:rPr>
              <w:t>2021 v 2020</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7"/>
                <w:szCs w:val="17"/>
                <w:i w:val="1"/>
                <w:iCs w:val="1"/>
                <w:color w:val="auto"/>
              </w:rPr>
              <w:t>(in thousands)</w:t>
            </w: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Single Wafer Cleaning, Tahoe and Semi-Critical Cleaning Equipment</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45,461</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9"/>
              </w:rPr>
              <w:t>33,340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7"/>
              </w:rPr>
              <w:t>36.4%</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ECP (front-end and packaging), Furnace and Other Technologies</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4,490</w:t>
            </w:r>
          </w:p>
        </w:tc>
        <w:tc>
          <w:tcPr>
            <w:tcW w:w="10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-100.0%</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Advanced Packaging (excluding ECP), Services &amp; Spares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8,403</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1,219</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589.6%</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7"/>
                <w:szCs w:val="17"/>
                <w:b w:val="1"/>
                <w:bCs w:val="1"/>
                <w:color w:val="auto"/>
              </w:rPr>
              <w:t>Total Revenue by Product Category</w:t>
            </w: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53,864</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99"/>
              </w:rPr>
              <w:t>39,049</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1"/>
              </w:rPr>
              <w:t>37.9%</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Wet cleaning and other front-end processing tools</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45,974</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w w:val="99"/>
              </w:rPr>
              <w:t>37,830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7"/>
              </w:rPr>
              <w:t>21.5%</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Advanced packaging, other processing tools, services and spares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7,890</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1,219</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547.3%</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7"/>
                <w:szCs w:val="17"/>
                <w:b w:val="1"/>
                <w:bCs w:val="1"/>
                <w:color w:val="auto"/>
              </w:rPr>
              <w:t>Total Revenue Front and Back-End</w:t>
            </w: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53,864</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99"/>
              </w:rPr>
              <w:t>39,049</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1"/>
              </w:rPr>
              <w:t>37.9%</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Revenue increased by $14.8 million in the three months ended June 30, 2021 as compared to the same period in 2020. The increase was due to a $7.6 million increase in revenue from wet cleaning and other front-end processing tools revenue, and a $7.2 million increase from advanced packaging and other processing tools, services and spares.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20"/>
                <w:szCs w:val="20"/>
                <w:color w:val="auto"/>
              </w:rPr>
            </w:pPr>
            <w:r>
              <w:rPr>
                <w:rFonts w:ascii="Arial" w:cs="Arial" w:eastAsia="Arial" w:hAnsi="Arial"/>
                <w:sz w:val="17"/>
                <w:szCs w:val="17"/>
                <w:i w:val="1"/>
                <w:iCs w:val="1"/>
                <w:color w:val="auto"/>
              </w:rPr>
              <w:t>Cost of Revenue and Gross Margin</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39"/>
        </w:trPr>
        <w:tc>
          <w:tcPr>
            <w:tcW w:w="3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6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97"/>
              </w:rPr>
              <w:t>Three Months Ended June 30,</w:t>
            </w:r>
          </w:p>
        </w:tc>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87"/>
        </w:trPr>
        <w:tc>
          <w:tcPr>
            <w:tcW w:w="3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jc w:val="right"/>
              <w:ind w:right="135"/>
              <w:spacing w:after="0" w:line="187" w:lineRule="exact"/>
              <w:rPr>
                <w:sz w:val="20"/>
                <w:szCs w:val="20"/>
                <w:color w:val="auto"/>
              </w:rPr>
            </w:pPr>
            <w:r>
              <w:rPr>
                <w:rFonts w:ascii="Arial" w:cs="Arial" w:eastAsia="Arial" w:hAnsi="Arial"/>
                <w:sz w:val="17"/>
                <w:szCs w:val="17"/>
                <w:b w:val="1"/>
                <w:bCs w:val="1"/>
                <w:color w:val="auto"/>
              </w:rPr>
              <w:t>% Change</w:t>
            </w:r>
          </w:p>
        </w:tc>
        <w:tc>
          <w:tcPr>
            <w:tcW w:w="2240" w:type="dxa"/>
            <w:vAlign w:val="bottom"/>
          </w:tcPr>
          <w:p>
            <w:pPr>
              <w:spacing w:after="0"/>
              <w:rPr>
                <w:sz w:val="16"/>
                <w:szCs w:val="16"/>
                <w:color w:val="auto"/>
              </w:rPr>
            </w:pPr>
          </w:p>
        </w:tc>
      </w:tr>
      <w:tr>
        <w:trPr>
          <w:trHeight w:val="226"/>
        </w:trPr>
        <w:tc>
          <w:tcPr>
            <w:tcW w:w="3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9"/>
              </w:rPr>
              <w:t>2021 v 2020</w:t>
            </w:r>
          </w:p>
        </w:tc>
        <w:tc>
          <w:tcPr>
            <w:tcW w:w="2240" w:type="dxa"/>
            <w:vAlign w:val="bottom"/>
          </w:tcPr>
          <w:p>
            <w:pPr>
              <w:spacing w:after="0"/>
              <w:rPr>
                <w:sz w:val="19"/>
                <w:szCs w:val="19"/>
                <w:color w:val="auto"/>
              </w:rPr>
            </w:pPr>
          </w:p>
        </w:tc>
      </w:tr>
      <w:tr>
        <w:trPr>
          <w:trHeight w:val="204"/>
        </w:trPr>
        <w:tc>
          <w:tcPr>
            <w:tcW w:w="3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675"/>
              <w:spacing w:after="0"/>
              <w:rPr>
                <w:sz w:val="20"/>
                <w:szCs w:val="20"/>
                <w:color w:val="auto"/>
              </w:rPr>
            </w:pPr>
            <w:r>
              <w:rPr>
                <w:rFonts w:ascii="Arial" w:cs="Arial" w:eastAsia="Arial" w:hAnsi="Arial"/>
                <w:sz w:val="17"/>
                <w:szCs w:val="17"/>
                <w:i w:val="1"/>
                <w:iCs w:val="1"/>
                <w:color w:val="auto"/>
              </w:rPr>
              <w:t>(in thousands)</w:t>
            </w:r>
          </w:p>
        </w:tc>
        <w:tc>
          <w:tcPr>
            <w:tcW w:w="114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4"/>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820" w:type="dxa"/>
            <w:vAlign w:val="bottom"/>
            <w:gridSpan w:val="2"/>
            <w:shd w:val="clear" w:color="auto" w:fill="CCEEFF"/>
          </w:tcPr>
          <w:p>
            <w:pPr>
              <w:ind w:left="15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32,184</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19,693</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w:t>
            </w:r>
          </w:p>
        </w:tc>
        <w:tc>
          <w:tcPr>
            <w:tcW w:w="2240" w:type="dxa"/>
            <w:vAlign w:val="bottom"/>
          </w:tcPr>
          <w:p>
            <w:pPr>
              <w:spacing w:after="0"/>
              <w:rPr>
                <w:sz w:val="17"/>
                <w:szCs w:val="17"/>
                <w:color w:val="auto"/>
              </w:rPr>
            </w:pPr>
          </w:p>
        </w:tc>
      </w:tr>
      <w:tr>
        <w:trPr>
          <w:trHeight w:val="204"/>
        </w:trPr>
        <w:tc>
          <w:tcPr>
            <w:tcW w:w="3940" w:type="dxa"/>
            <w:vAlign w:val="bottom"/>
          </w:tcPr>
          <w:p>
            <w:pPr>
              <w:spacing w:after="0"/>
              <w:rPr>
                <w:sz w:val="20"/>
                <w:szCs w:val="20"/>
                <w:color w:val="auto"/>
              </w:rPr>
            </w:pPr>
            <w:r>
              <w:rPr>
                <w:rFonts w:ascii="Arial" w:cs="Arial" w:eastAsia="Arial" w:hAnsi="Arial"/>
                <w:sz w:val="17"/>
                <w:szCs w:val="17"/>
                <w:color w:val="auto"/>
              </w:rPr>
              <w:t>Gross profit</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Arial" w:cs="Arial" w:eastAsia="Arial" w:hAnsi="Arial"/>
                <w:sz w:val="17"/>
                <w:szCs w:val="17"/>
                <w:color w:val="auto"/>
              </w:rPr>
              <w:t>21,680</w:t>
            </w:r>
          </w:p>
        </w:tc>
        <w:tc>
          <w:tcPr>
            <w:tcW w:w="240" w:type="dxa"/>
            <w:vAlign w:val="bottom"/>
          </w:tcPr>
          <w:p>
            <w:pPr>
              <w:spacing w:after="0"/>
              <w:rPr>
                <w:sz w:val="17"/>
                <w:szCs w:val="17"/>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19,356</w:t>
            </w:r>
          </w:p>
        </w:tc>
        <w:tc>
          <w:tcPr>
            <w:tcW w:w="1140" w:type="dxa"/>
            <w:vAlign w:val="bottom"/>
          </w:tcPr>
          <w:p>
            <w:pPr>
              <w:jc w:val="right"/>
              <w:spacing w:after="0"/>
              <w:rPr>
                <w:sz w:val="20"/>
                <w:szCs w:val="20"/>
                <w:color w:val="auto"/>
              </w:rPr>
            </w:pPr>
            <w:r>
              <w:rPr>
                <w:rFonts w:ascii="Arial" w:cs="Arial" w:eastAsia="Arial" w:hAnsi="Arial"/>
                <w:sz w:val="17"/>
                <w:szCs w:val="17"/>
                <w:color w:val="auto"/>
              </w:rPr>
              <w:t>12.0%</w:t>
            </w:r>
          </w:p>
        </w:tc>
        <w:tc>
          <w:tcPr>
            <w:tcW w:w="2240" w:type="dxa"/>
            <w:vAlign w:val="bottom"/>
          </w:tcPr>
          <w:p>
            <w:pPr>
              <w:spacing w:after="0"/>
              <w:rPr>
                <w:sz w:val="17"/>
                <w:szCs w:val="17"/>
                <w:color w:val="auto"/>
              </w:rPr>
            </w:pPr>
          </w:p>
        </w:tc>
      </w:tr>
      <w:tr>
        <w:trPr>
          <w:trHeight w:val="204"/>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2240" w:type="dxa"/>
            <w:vAlign w:val="bottom"/>
          </w:tcPr>
          <w:p>
            <w:pPr>
              <w:spacing w:after="0"/>
              <w:rPr>
                <w:sz w:val="17"/>
                <w:szCs w:val="17"/>
                <w:color w:val="auto"/>
              </w:rPr>
            </w:pPr>
          </w:p>
        </w:tc>
      </w:tr>
      <w:tr>
        <w:trPr>
          <w:trHeight w:val="562"/>
        </w:trPr>
        <w:tc>
          <w:tcPr>
            <w:tcW w:w="394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39</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2"/>
        </w:trPr>
        <w:tc>
          <w:tcPr>
            <w:tcW w:w="39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Cost of revenue increased $12.5 million and gross profit increased $2.3 million in the three months ended June 30, 2021 as compared to the corresponding period in 2020 due to the increased sales volume, partly offset by a 9.4% point decrease in gross margin, that reflected differences in product mix.</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gridSpan w:val="2"/>
          </w:tcPr>
          <w:p>
            <w:pPr>
              <w:spacing w:after="0"/>
              <w:rPr>
                <w:sz w:val="20"/>
                <w:szCs w:val="20"/>
                <w:color w:val="auto"/>
              </w:rPr>
            </w:pPr>
            <w:r>
              <w:rPr>
                <w:rFonts w:ascii="Arial" w:cs="Arial" w:eastAsia="Arial" w:hAnsi="Arial"/>
                <w:sz w:val="17"/>
                <w:szCs w:val="17"/>
                <w:i w:val="1"/>
                <w:iCs w:val="1"/>
                <w:color w:val="auto"/>
              </w:rPr>
              <w:t>Operating Expenses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39"/>
        </w:trPr>
        <w:tc>
          <w:tcPr>
            <w:tcW w:w="5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300" w:type="dxa"/>
            <w:vAlign w:val="bottom"/>
            <w:tcBorders>
              <w:bottom w:val="single" w:sz="8" w:color="auto"/>
            </w:tcBorders>
            <w:gridSpan w:val="6"/>
          </w:tcPr>
          <w:p>
            <w:pPr>
              <w:spacing w:after="0"/>
              <w:rPr>
                <w:sz w:val="20"/>
                <w:szCs w:val="20"/>
                <w:color w:val="auto"/>
              </w:rPr>
            </w:pPr>
            <w:r>
              <w:rPr>
                <w:rFonts w:ascii="Arial" w:cs="Arial" w:eastAsia="Arial" w:hAnsi="Arial"/>
                <w:sz w:val="17"/>
                <w:szCs w:val="17"/>
                <w:b w:val="1"/>
                <w:bCs w:val="1"/>
                <w:color w:val="auto"/>
                <w:w w:val="94"/>
              </w:rPr>
              <w:t>Three Months Ended June 30,</w:t>
            </w:r>
          </w:p>
        </w:tc>
        <w:tc>
          <w:tcPr>
            <w:tcW w:w="1220" w:type="dxa"/>
            <w:vAlign w:val="bottom"/>
          </w:tcPr>
          <w:p>
            <w:pPr>
              <w:spacing w:after="0"/>
              <w:rPr>
                <w:sz w:val="24"/>
                <w:szCs w:val="24"/>
                <w:color w:val="auto"/>
              </w:rPr>
            </w:pPr>
          </w:p>
        </w:tc>
      </w:tr>
      <w:tr>
        <w:trPr>
          <w:trHeight w:val="187"/>
        </w:trPr>
        <w:tc>
          <w:tcPr>
            <w:tcW w:w="58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75"/>
              <w:spacing w:after="0" w:line="187" w:lineRule="exact"/>
              <w:rPr>
                <w:sz w:val="20"/>
                <w:szCs w:val="20"/>
                <w:color w:val="auto"/>
              </w:rPr>
            </w:pPr>
            <w:r>
              <w:rPr>
                <w:rFonts w:ascii="Arial" w:cs="Arial" w:eastAsia="Arial" w:hAnsi="Arial"/>
                <w:sz w:val="17"/>
                <w:szCs w:val="17"/>
                <w:b w:val="1"/>
                <w:bCs w:val="1"/>
                <w:color w:val="auto"/>
              </w:rPr>
              <w:t>% Change</w:t>
            </w:r>
          </w:p>
        </w:tc>
      </w:tr>
      <w:tr>
        <w:trPr>
          <w:trHeight w:val="226"/>
        </w:trPr>
        <w:tc>
          <w:tcPr>
            <w:tcW w:w="58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2021 v 2020</w:t>
            </w:r>
          </w:p>
        </w:tc>
      </w:tr>
      <w:tr>
        <w:trPr>
          <w:trHeight w:val="204"/>
        </w:trPr>
        <w:tc>
          <w:tcPr>
            <w:tcW w:w="58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ind w:left="400"/>
              <w:spacing w:after="0"/>
              <w:rPr>
                <w:sz w:val="20"/>
                <w:szCs w:val="20"/>
                <w:color w:val="auto"/>
              </w:rPr>
            </w:pPr>
            <w:r>
              <w:rPr>
                <w:rFonts w:ascii="Arial" w:cs="Arial" w:eastAsia="Arial" w:hAnsi="Arial"/>
                <w:sz w:val="17"/>
                <w:szCs w:val="17"/>
                <w:i w:val="1"/>
                <w:iCs w:val="1"/>
                <w:color w:val="auto"/>
              </w:rPr>
              <w:t>(in thousands)</w:t>
            </w:r>
          </w:p>
        </w:tc>
        <w:tc>
          <w:tcPr>
            <w:tcW w:w="122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5,789</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4,595</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r>
      <w:tr>
        <w:trPr>
          <w:trHeight w:val="204"/>
        </w:trPr>
        <w:tc>
          <w:tcPr>
            <w:tcW w:w="58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7,933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5,221</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51.9%</w:t>
            </w:r>
          </w:p>
        </w:tc>
      </w:tr>
      <w:tr>
        <w:trPr>
          <w:trHeight w:val="209"/>
        </w:trPr>
        <w:tc>
          <w:tcPr>
            <w:tcW w:w="580" w:type="dxa"/>
            <w:vAlign w:val="bottom"/>
          </w:tcPr>
          <w:p>
            <w:pPr>
              <w:spacing w:after="0"/>
              <w:rPr>
                <w:sz w:val="18"/>
                <w:szCs w:val="18"/>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2,204</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64.6%</w:t>
            </w:r>
          </w:p>
        </w:tc>
      </w:tr>
      <w:tr>
        <w:trPr>
          <w:trHeight w:val="204"/>
        </w:trPr>
        <w:tc>
          <w:tcPr>
            <w:tcW w:w="58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17,349</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12,020</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44.3%</w:t>
            </w:r>
          </w:p>
        </w:tc>
      </w:tr>
      <w:tr>
        <w:trPr>
          <w:trHeight w:val="20"/>
        </w:trPr>
        <w:tc>
          <w:tcPr>
            <w:tcW w:w="5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Sales and marketing expense </w:t>
      </w:r>
      <w:r>
        <w:rPr>
          <w:rFonts w:ascii="Arial" w:cs="Arial" w:eastAsia="Arial" w:hAnsi="Arial"/>
          <w:sz w:val="17"/>
          <w:szCs w:val="17"/>
          <w:color w:val="auto"/>
        </w:rPr>
        <w:t>increased by $1.2 million in the three months ended June 30, 2021 as compared to the corresponding period in 2020. The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due in part to the addition of resources to support sales and marketing efforts in North America and Europe, and other factors. Sales and marketing expense consists primarily of:</w:t>
      </w:r>
    </w:p>
    <w:p>
      <w:pPr>
        <w:spacing w:after="0" w:line="200" w:lineRule="exact"/>
        <w:rPr>
          <w:sz w:val="20"/>
          <w:szCs w:val="20"/>
          <w:color w:val="auto"/>
        </w:rPr>
      </w:pPr>
    </w:p>
    <w:p>
      <w:pPr>
        <w:ind w:left="800" w:hanging="454"/>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compensation of personnel associated with pre- and after-sale support and other sales and marketing activities, including stock-based compensation;</w:t>
      </w:r>
    </w:p>
    <w:p>
      <w:pPr>
        <w:spacing w:after="0" w:line="42" w:lineRule="exact"/>
        <w:rPr>
          <w:rFonts w:ascii="Arial" w:cs="Arial" w:eastAsia="Arial" w:hAnsi="Arial"/>
          <w:sz w:val="15"/>
          <w:szCs w:val="15"/>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sales commissions paid to independent sales representatives;</w:t>
      </w:r>
    </w:p>
    <w:p>
      <w:pPr>
        <w:spacing w:after="0" w:line="8"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fees paid to sales consultants;</w:t>
      </w:r>
    </w:p>
    <w:p>
      <w:pPr>
        <w:spacing w:after="0" w:line="8"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shipping and handling costs for transportation of products to customers;</w:t>
      </w:r>
    </w:p>
    <w:p>
      <w:pPr>
        <w:spacing w:after="0" w:line="8"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cost of trade shows;</w:t>
      </w:r>
    </w:p>
    <w:p>
      <w:pPr>
        <w:spacing w:after="0" w:line="8"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travel and entertainment; and</w:t>
      </w:r>
    </w:p>
    <w:p>
      <w:pPr>
        <w:spacing w:after="0" w:line="8"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6" w:lineRule="exact"/>
        <w:rPr>
          <w:sz w:val="20"/>
          <w:szCs w:val="20"/>
          <w:color w:val="auto"/>
        </w:rPr>
      </w:pPr>
    </w:p>
    <w:p>
      <w:pPr>
        <w:jc w:val="both"/>
        <w:spacing w:after="0" w:line="295" w:lineRule="auto"/>
        <w:rPr>
          <w:sz w:val="20"/>
          <w:szCs w:val="20"/>
          <w:color w:val="auto"/>
        </w:rPr>
      </w:pPr>
      <w:r>
        <w:rPr>
          <w:rFonts w:ascii="Arial" w:cs="Arial" w:eastAsia="Arial" w:hAnsi="Arial"/>
          <w:sz w:val="15"/>
          <w:szCs w:val="15"/>
          <w:i w:val="1"/>
          <w:iCs w:val="1"/>
          <w:color w:val="auto"/>
        </w:rPr>
        <w:t xml:space="preserve">Research and development expense </w:t>
      </w:r>
      <w:r>
        <w:rPr>
          <w:rFonts w:ascii="Arial" w:cs="Arial" w:eastAsia="Arial" w:hAnsi="Arial"/>
          <w:sz w:val="15"/>
          <w:szCs w:val="15"/>
          <w:color w:val="auto"/>
        </w:rPr>
        <w:t>increased by $2.7 million in the three months ended June 30, 2021 as compared to the corresponding period in 2020, principally</w:t>
      </w:r>
      <w:r>
        <w:rPr>
          <w:rFonts w:ascii="Arial" w:cs="Arial" w:eastAsia="Arial" w:hAnsi="Arial"/>
          <w:sz w:val="15"/>
          <w:szCs w:val="15"/>
          <w:i w:val="1"/>
          <w:iCs w:val="1"/>
          <w:color w:val="auto"/>
        </w:rPr>
        <w:t xml:space="preserve"> </w:t>
      </w:r>
      <w:r>
        <w:rPr>
          <w:rFonts w:ascii="Arial" w:cs="Arial" w:eastAsia="Arial" w:hAnsi="Arial"/>
          <w:sz w:val="15"/>
          <w:szCs w:val="15"/>
          <w:color w:val="auto"/>
        </w:rPr>
        <w:t>as a result of increases in new product development, testing fees and personnel costs. Research and development expense represented 14.7% and 13.4% of our revenue in the three months ended June 30, 2021 and 2020, respectively. Without reduction by grant amounts received from PRC governmental authorities (see “— Government Research and Development Funding”), gross research and development expense totaled $10.2 million, or 18.8% of total revenue, in the three months ended June 30, 2021 and $5.3 million, or 13.7% of revenue, in the corresponding period in 2020. Research and development expense relates to the development of new products and processes and encompasses our research, development and customer support activities. Research and development expense consists primarily of:</w:t>
      </w:r>
    </w:p>
    <w:p>
      <w:pPr>
        <w:spacing w:after="0" w:line="180" w:lineRule="exact"/>
        <w:rPr>
          <w:sz w:val="20"/>
          <w:szCs w:val="20"/>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compensation of personnel associated with our research and development activities, including stock based compensation;</w:t>
      </w:r>
    </w:p>
    <w:p>
      <w:pPr>
        <w:spacing w:after="0" w:line="19" w:lineRule="exact"/>
        <w:rPr>
          <w:rFonts w:ascii="Arial" w:cs="Arial" w:eastAsia="Arial" w:hAnsi="Arial"/>
          <w:sz w:val="17"/>
          <w:szCs w:val="17"/>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costs of components and other research and development supplies;</w:t>
      </w:r>
    </w:p>
    <w:p>
      <w:pPr>
        <w:spacing w:after="0" w:line="8" w:lineRule="exact"/>
        <w:rPr>
          <w:rFonts w:ascii="Arial" w:cs="Arial" w:eastAsia="Arial" w:hAnsi="Arial"/>
          <w:sz w:val="17"/>
          <w:szCs w:val="17"/>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travel expense associated with customer support;</w:t>
      </w:r>
    </w:p>
    <w:p>
      <w:pPr>
        <w:spacing w:after="0" w:line="8" w:lineRule="exact"/>
        <w:rPr>
          <w:rFonts w:ascii="Arial" w:cs="Arial" w:eastAsia="Arial" w:hAnsi="Arial"/>
          <w:sz w:val="17"/>
          <w:szCs w:val="17"/>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amortization of costs of software used for research and development purposes; and</w:t>
      </w:r>
    </w:p>
    <w:p>
      <w:pPr>
        <w:spacing w:after="0" w:line="8" w:lineRule="exact"/>
        <w:rPr>
          <w:rFonts w:ascii="Arial" w:cs="Arial" w:eastAsia="Arial" w:hAnsi="Arial"/>
          <w:sz w:val="17"/>
          <w:szCs w:val="17"/>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increased $1.4 million in the three months ended June 30, 2021 as compared to the corresponding period in 2020.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expense consists primarily of:</w:t>
      </w:r>
    </w:p>
    <w:p>
      <w:pPr>
        <w:spacing w:after="0" w:line="200" w:lineRule="exact"/>
        <w:rPr>
          <w:sz w:val="20"/>
          <w:szCs w:val="20"/>
          <w:color w:val="auto"/>
        </w:rPr>
      </w:pPr>
    </w:p>
    <w:p>
      <w:pPr>
        <w:spacing w:after="0" w:line="220" w:lineRule="exact"/>
        <w:rPr>
          <w:sz w:val="20"/>
          <w:szCs w:val="20"/>
          <w:color w:val="auto"/>
        </w:rPr>
      </w:pPr>
    </w:p>
    <w:p>
      <w:pPr>
        <w:ind w:left="760" w:right="80" w:hanging="453"/>
        <w:spacing w:after="0" w:line="257"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compensation of executive, accounting and finance, human resources, information technology, and other administrative personnel, including stock-based compensation;</w:t>
      </w:r>
    </w:p>
    <w:p>
      <w:pPr>
        <w:ind w:left="760" w:hanging="453"/>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professional fees, including accounting and corporate legal and defense fees;</w:t>
      </w:r>
    </w:p>
    <w:p>
      <w:pPr>
        <w:spacing w:after="0" w:line="8" w:lineRule="exact"/>
        <w:rPr>
          <w:rFonts w:ascii="Arial" w:cs="Arial" w:eastAsia="Arial" w:hAnsi="Arial"/>
          <w:sz w:val="17"/>
          <w:szCs w:val="17"/>
          <w:color w:val="auto"/>
        </w:rPr>
      </w:pPr>
    </w:p>
    <w:p>
      <w:pPr>
        <w:ind w:left="760" w:hanging="453"/>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corporate expenses including insurance; and</w:t>
      </w:r>
    </w:p>
    <w:p>
      <w:pPr>
        <w:spacing w:after="0" w:line="8" w:lineRule="exact"/>
        <w:rPr>
          <w:rFonts w:ascii="Arial" w:cs="Arial" w:eastAsia="Arial" w:hAnsi="Arial"/>
          <w:sz w:val="17"/>
          <w:szCs w:val="17"/>
          <w:color w:val="auto"/>
        </w:rPr>
      </w:pPr>
    </w:p>
    <w:p>
      <w:pPr>
        <w:ind w:left="760" w:hanging="453"/>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expect that, for the foreseeable future, general and administrative expenses will increase in absolute dollars, as we incur additional costs associated with growing our business and operating as a public company in the United States and the PRC.</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Unrealized gain from trading securities</w:t>
      </w:r>
    </w:p>
    <w:p>
      <w:pPr>
        <w:spacing w:after="0" w:line="2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recorded an unrealized gain of $3.8 million for the three months ended June 30, 2021 based on a change in market value of ACM Shanghai’s indirect investment in SMIC shares on the STAR Market as is described in note 16 to the condensed consolidated financial statements included in this report.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8"/>
          </w:tcPr>
          <w:p>
            <w:pPr>
              <w:ind w:left="40"/>
              <w:spacing w:after="0"/>
              <w:rPr>
                <w:sz w:val="20"/>
                <w:szCs w:val="20"/>
                <w:color w:val="auto"/>
              </w:rPr>
            </w:pPr>
            <w:r>
              <w:rPr>
                <w:rFonts w:ascii="Arial" w:cs="Arial" w:eastAsia="Arial" w:hAnsi="Arial"/>
                <w:sz w:val="17"/>
                <w:szCs w:val="17"/>
                <w:b w:val="1"/>
                <w:bCs w:val="1"/>
                <w:color w:val="auto"/>
                <w:w w:val="90"/>
              </w:rPr>
              <w:t>Three Months Ended June 30,</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2021</w:t>
            </w: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right"/>
              <w:ind w:right="146"/>
              <w:spacing w:after="0"/>
              <w:rPr>
                <w:sz w:val="20"/>
                <w:szCs w:val="20"/>
                <w:color w:val="auto"/>
              </w:rPr>
            </w:pPr>
            <w:r>
              <w:rPr>
                <w:rFonts w:ascii="Arial" w:cs="Arial" w:eastAsia="Arial" w:hAnsi="Arial"/>
                <w:sz w:val="17"/>
                <w:szCs w:val="17"/>
                <w:i w:val="1"/>
                <w:iCs w:val="1"/>
                <w:color w:val="auto"/>
              </w:rPr>
              <w:t>(in</w:t>
            </w:r>
          </w:p>
        </w:tc>
        <w:tc>
          <w:tcPr>
            <w:tcW w:w="1140" w:type="dxa"/>
            <w:vAlign w:val="bottom"/>
            <w:gridSpan w:val="4"/>
          </w:tcPr>
          <w:p>
            <w:pPr>
              <w:spacing w:after="0"/>
              <w:rPr>
                <w:sz w:val="20"/>
                <w:szCs w:val="20"/>
                <w:color w:val="auto"/>
              </w:rPr>
            </w:pPr>
            <w:r>
              <w:rPr>
                <w:rFonts w:ascii="Arial" w:cs="Arial" w:eastAsia="Arial" w:hAnsi="Arial"/>
                <w:sz w:val="17"/>
                <w:szCs w:val="17"/>
                <w:i w:val="1"/>
                <w:iCs w:val="1"/>
                <w:color w:val="auto"/>
              </w:rPr>
              <w:t>thousands)</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 on trading securities</w:t>
            </w: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3,783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right w:val="single" w:sz="8" w:color="CCEEFF"/>
            </w:tcBorders>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660" w:type="dxa"/>
            <w:vAlign w:val="bottom"/>
            <w:gridSpan w:val="3"/>
          </w:tcPr>
          <w:p>
            <w:pPr>
              <w:spacing w:after="0"/>
              <w:rPr>
                <w:sz w:val="20"/>
                <w:szCs w:val="20"/>
                <w:color w:val="auto"/>
              </w:rPr>
            </w:pPr>
            <w:r>
              <w:rPr>
                <w:rFonts w:ascii="Arial" w:cs="Arial" w:eastAsia="Arial" w:hAnsi="Arial"/>
                <w:sz w:val="17"/>
                <w:szCs w:val="17"/>
                <w:i w:val="1"/>
                <w:iCs w:val="1"/>
                <w:color w:val="auto"/>
              </w:rPr>
              <w:t>Other Income and Expenses</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0" w:type="dxa"/>
            <w:vAlign w:val="bottom"/>
            <w:gridSpan w:val="9"/>
          </w:tcPr>
          <w:p>
            <w:pPr>
              <w:spacing w:after="0"/>
              <w:rPr>
                <w:sz w:val="20"/>
                <w:szCs w:val="20"/>
                <w:color w:val="auto"/>
              </w:rPr>
            </w:pPr>
            <w:r>
              <w:rPr>
                <w:rFonts w:ascii="Arial" w:cs="Arial" w:eastAsia="Arial" w:hAnsi="Arial"/>
                <w:sz w:val="17"/>
                <w:szCs w:val="17"/>
                <w:b w:val="1"/>
                <w:bCs w:val="1"/>
                <w:color w:val="auto"/>
                <w:w w:val="97"/>
              </w:rPr>
              <w:t>Three Months Ended June 30,</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80"/>
              <w:spacing w:after="0" w:line="187"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55"/>
              <w:spacing w:after="0"/>
              <w:rPr>
                <w:sz w:val="20"/>
                <w:szCs w:val="20"/>
                <w:color w:val="auto"/>
              </w:rPr>
            </w:pPr>
            <w:r>
              <w:rPr>
                <w:rFonts w:ascii="Arial" w:cs="Arial" w:eastAsia="Arial" w:hAnsi="Arial"/>
                <w:sz w:val="17"/>
                <w:szCs w:val="17"/>
                <w:b w:val="1"/>
                <w:bCs w:val="1"/>
                <w:color w:val="auto"/>
              </w:rPr>
              <w:t>2021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2021 v 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right"/>
              <w:ind w:right="135"/>
              <w:spacing w:after="0"/>
              <w:rPr>
                <w:sz w:val="20"/>
                <w:szCs w:val="20"/>
                <w:color w:val="auto"/>
              </w:rPr>
            </w:pPr>
            <w:r>
              <w:rPr>
                <w:rFonts w:ascii="Arial" w:cs="Arial" w:eastAsia="Arial" w:hAnsi="Arial"/>
                <w:sz w:val="17"/>
                <w:szCs w:val="17"/>
                <w:i w:val="1"/>
                <w:iCs w:val="1"/>
                <w:color w:val="auto"/>
              </w:rPr>
              <w:t>(in</w:t>
            </w:r>
          </w:p>
        </w:tc>
        <w:tc>
          <w:tcPr>
            <w:tcW w:w="1180" w:type="dxa"/>
            <w:vAlign w:val="bottom"/>
            <w:gridSpan w:val="4"/>
          </w:tcPr>
          <w:p>
            <w:pPr>
              <w:jc w:val="right"/>
              <w:ind w:right="535"/>
              <w:spacing w:after="0"/>
              <w:rPr>
                <w:sz w:val="20"/>
                <w:szCs w:val="20"/>
                <w:color w:val="auto"/>
              </w:rPr>
            </w:pPr>
            <w:r>
              <w:rPr>
                <w:rFonts w:ascii="Arial" w:cs="Arial" w:eastAsia="Arial" w:hAnsi="Arial"/>
                <w:sz w:val="15"/>
                <w:szCs w:val="15"/>
                <w:i w:val="1"/>
                <w:iCs w:val="1"/>
                <w:color w:val="auto"/>
                <w:w w:val="72"/>
              </w:rPr>
              <w:t>thousands)</w:t>
            </w:r>
          </w:p>
        </w:tc>
        <w:tc>
          <w:tcPr>
            <w:tcW w:w="20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-90.3%</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6"/>
              <w:spacing w:after="0"/>
              <w:rPr>
                <w:sz w:val="20"/>
                <w:szCs w:val="20"/>
                <w:color w:val="auto"/>
              </w:rPr>
            </w:pPr>
            <w:r>
              <w:rPr>
                <w:rFonts w:ascii="Arial" w:cs="Arial" w:eastAsia="Arial" w:hAnsi="Arial"/>
                <w:sz w:val="17"/>
                <w:szCs w:val="17"/>
                <w:color w:val="auto"/>
              </w:rPr>
              <w:t>(194)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(228)</w:t>
            </w: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44"/>
        </w:trPr>
        <w:tc>
          <w:tcPr>
            <w:tcW w:w="580" w:type="dxa"/>
            <w:vAlign w:val="bottom"/>
          </w:tcPr>
          <w:p>
            <w:pPr>
              <w:spacing w:after="0"/>
              <w:rPr>
                <w:sz w:val="21"/>
                <w:szCs w:val="21"/>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Interest Income (expense), net</w:t>
            </w:r>
          </w:p>
        </w:tc>
        <w:tc>
          <w:tcPr>
            <w:tcW w:w="1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-277.2%</w:t>
            </w:r>
          </w:p>
        </w:tc>
        <w:tc>
          <w:tcPr>
            <w:tcW w:w="0" w:type="dxa"/>
            <w:vAlign w:val="bottom"/>
          </w:tcPr>
          <w:p>
            <w:pPr>
              <w:spacing w:after="0"/>
              <w:rPr>
                <w:sz w:val="1"/>
                <w:szCs w:val="1"/>
                <w:color w:val="auto"/>
              </w:rPr>
            </w:pPr>
          </w:p>
        </w:tc>
      </w:tr>
      <w:tr>
        <w:trPr>
          <w:trHeight w:val="195"/>
        </w:trPr>
        <w:tc>
          <w:tcPr>
            <w:tcW w:w="580" w:type="dxa"/>
            <w:vAlign w:val="bottom"/>
            <w:vMerge w:val="restart"/>
          </w:tcPr>
          <w:p>
            <w:pPr>
              <w:spacing w:after="0"/>
              <w:rPr>
                <w:sz w:val="16"/>
                <w:szCs w:val="16"/>
                <w:color w:val="auto"/>
              </w:rPr>
            </w:pPr>
          </w:p>
        </w:tc>
        <w:tc>
          <w:tcPr>
            <w:tcW w:w="5080" w:type="dxa"/>
            <w:vAlign w:val="bottom"/>
            <w:gridSpan w:val="2"/>
          </w:tcPr>
          <w:p>
            <w:pPr>
              <w:spacing w:after="0"/>
              <w:rPr>
                <w:sz w:val="16"/>
                <w:szCs w:val="16"/>
                <w:color w:val="auto"/>
              </w:rPr>
            </w:pPr>
          </w:p>
        </w:tc>
        <w:tc>
          <w:tcPr>
            <w:tcW w:w="1640" w:type="dxa"/>
            <w:vAlign w:val="bottom"/>
            <w:gridSpan w:val="2"/>
          </w:tcPr>
          <w:p>
            <w:pPr>
              <w:spacing w:after="0"/>
              <w:rPr>
                <w:sz w:val="16"/>
                <w:szCs w:val="16"/>
                <w:color w:val="auto"/>
              </w:rPr>
            </w:pPr>
          </w:p>
        </w:tc>
        <w:tc>
          <w:tcPr>
            <w:tcW w:w="1040" w:type="dxa"/>
            <w:vAlign w:val="bottom"/>
            <w:gridSpan w:val="3"/>
          </w:tcPr>
          <w:p>
            <w:pPr>
              <w:spacing w:after="0"/>
              <w:rPr>
                <w:sz w:val="16"/>
                <w:szCs w:val="16"/>
                <w:color w:val="auto"/>
              </w:rPr>
            </w:pPr>
          </w:p>
        </w:tc>
        <w:tc>
          <w:tcPr>
            <w:tcW w:w="160" w:type="dxa"/>
            <w:vAlign w:val="bottom"/>
            <w:gridSpan w:val="2"/>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 w:type="dxa"/>
            <w:vAlign w:val="bottom"/>
            <w:vMerge w:val="continue"/>
          </w:tcPr>
          <w:p>
            <w:pPr>
              <w:spacing w:after="0"/>
              <w:rPr>
                <w:sz w:val="17"/>
                <w:szCs w:val="17"/>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46"/>
              <w:spacing w:after="0"/>
              <w:rPr>
                <w:sz w:val="20"/>
                <w:szCs w:val="20"/>
                <w:color w:val="auto"/>
              </w:rPr>
            </w:pPr>
            <w:r>
              <w:rPr>
                <w:rFonts w:ascii="Arial" w:cs="Arial" w:eastAsia="Arial" w:hAnsi="Arial"/>
                <w:sz w:val="17"/>
                <w:szCs w:val="17"/>
                <w:color w:val="auto"/>
              </w:rPr>
              <w:t>(897)</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-702.0%</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Interest income consists of interest earned on our cash and equivalents and restricted cash accounts, offset by interest expense incurred from outstanding short-term borrowings. We incurred $163,000 of interest expense, net in the three months ended June 30, 2021 as compared to $92,000 of net interest income in the corresponding period in 2020. This was a result of a lower balance of cash and equivalents and lower interest rates on these balances, offset by increased borrowings under short-term bank loans.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Other income, net primarily reflects (a) gains or losses recognized from the impact of exchange rates on our foreign currency-denominated working-capital transactions and (b) depreciation of assets acquired with government subsidies, as described under “—Government Research and Development Funding” above. Other income (expense), declined by $1 million in the three months ended June 30, 2021 as compared to Other income (expense) in the corresponding period in 2020, due primarily to a realized loss of $894,000 resulting from changes in the RMB-to-U.S. dollar exchange rate, compared to a realized loss of $85,000 in the prior year period.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gridSpan w:val="2"/>
          </w:tcPr>
          <w:p>
            <w:pPr>
              <w:spacing w:after="0"/>
              <w:rPr>
                <w:sz w:val="20"/>
                <w:szCs w:val="20"/>
                <w:color w:val="auto"/>
              </w:rPr>
            </w:pPr>
            <w:r>
              <w:rPr>
                <w:rFonts w:ascii="Arial" w:cs="Arial" w:eastAsia="Arial" w:hAnsi="Arial"/>
                <w:sz w:val="17"/>
                <w:szCs w:val="17"/>
                <w:i w:val="1"/>
                <w:iCs w:val="1"/>
                <w:color w:val="auto"/>
              </w:rPr>
              <w:t>Income Tax Benefit (Expense)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3"/>
        </w:trPr>
        <w:tc>
          <w:tcPr>
            <w:tcW w:w="6780" w:type="dxa"/>
            <w:vAlign w:val="bottom"/>
            <w:gridSpan w:val="2"/>
          </w:tcPr>
          <w:p>
            <w:pPr>
              <w:spacing w:after="0"/>
              <w:rPr>
                <w:sz w:val="20"/>
                <w:szCs w:val="20"/>
                <w:color w:val="auto"/>
              </w:rPr>
            </w:pPr>
            <w:r>
              <w:rPr>
                <w:rFonts w:ascii="Arial" w:cs="Arial" w:eastAsia="Arial" w:hAnsi="Arial"/>
                <w:sz w:val="17"/>
                <w:szCs w:val="17"/>
                <w:color w:val="auto"/>
              </w:rPr>
              <w:t>The following presents components of income tax expense for the indicated periods: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22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20" w:type="dxa"/>
            <w:vAlign w:val="bottom"/>
            <w:gridSpan w:val="6"/>
          </w:tcPr>
          <w:p>
            <w:pPr>
              <w:spacing w:after="0"/>
              <w:rPr>
                <w:sz w:val="20"/>
                <w:szCs w:val="20"/>
                <w:color w:val="auto"/>
              </w:rPr>
            </w:pPr>
            <w:r>
              <w:rPr>
                <w:rFonts w:ascii="Arial" w:cs="Arial" w:eastAsia="Arial" w:hAnsi="Arial"/>
                <w:sz w:val="17"/>
                <w:szCs w:val="17"/>
                <w:b w:val="1"/>
                <w:bCs w:val="1"/>
                <w:color w:val="auto"/>
                <w:w w:val="91"/>
              </w:rPr>
              <w:t>Three Months Ended June 30,</w:t>
            </w:r>
          </w:p>
        </w:tc>
      </w:tr>
      <w:tr>
        <w:trPr>
          <w:trHeight w:val="209"/>
        </w:trPr>
        <w:tc>
          <w:tcPr>
            <w:tcW w:w="22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8"/>
                <w:szCs w:val="18"/>
                <w:color w:val="auto"/>
              </w:rPr>
            </w:pPr>
          </w:p>
        </w:tc>
      </w:tr>
      <w:tr>
        <w:trPr>
          <w:trHeight w:val="209"/>
        </w:trPr>
        <w:tc>
          <w:tcPr>
            <w:tcW w:w="22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i w:val="1"/>
                <w:iCs w:val="1"/>
                <w:color w:val="auto"/>
              </w:rPr>
              <w:t>(in</w:t>
            </w:r>
          </w:p>
        </w:tc>
        <w:tc>
          <w:tcPr>
            <w:tcW w:w="116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6"/>
                <w:szCs w:val="16"/>
                <w:i w:val="1"/>
                <w:iCs w:val="1"/>
                <w:color w:val="auto"/>
                <w:w w:val="70"/>
              </w:rPr>
              <w:t>thousands)</w:t>
            </w:r>
          </w:p>
        </w:tc>
        <w:tc>
          <w:tcPr>
            <w:tcW w:w="80" w:type="dxa"/>
            <w:vAlign w:val="bottom"/>
          </w:tcPr>
          <w:p>
            <w:pPr>
              <w:spacing w:after="0"/>
              <w:rPr>
                <w:sz w:val="18"/>
                <w:szCs w:val="18"/>
                <w:color w:val="auto"/>
              </w:rPr>
            </w:pPr>
          </w:p>
        </w:tc>
      </w:tr>
      <w:tr>
        <w:trPr>
          <w:trHeight w:val="224"/>
        </w:trPr>
        <w:tc>
          <w:tcPr>
            <w:tcW w:w="226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expense</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  $</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(1,859)</w:t>
            </w:r>
          </w:p>
        </w:tc>
        <w:tc>
          <w:tcPr>
            <w:tcW w:w="80" w:type="dxa"/>
            <w:vAlign w:val="bottom"/>
            <w:shd w:val="clear" w:color="auto" w:fill="CCEEFF"/>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recognized a tax expense of $15,000 for the three months ended June 30, 2021 as compared to a tax expense of $1.9 million for the prior year period. The decreased tax expense in 2021 primarily resulted from tax deductions related to the exercise of stock options during the period, as compared to smaller deductions for the same item in the prior year period.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3994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Our effective tax rate differs from statutory rates of 21% for U.S. federal income tax purposes and 12.5% to 25% for Chinese income tax purposes due to the treatment of stock-based compensation including the impact from stock option exercises and non-US research expenses.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12.5%. ACM Shanghai was certified as an “advanced and new technology enterprise” in 2012 and again in 2016 and 2018, with an effective period of three years. In 2021, ACM Shanghai was certified as an eligible integrated circuit production enterprise and is entitled to a preferential income tax rate of 12.5% from January 1, 2020 to December 31, 2022.</w:t>
      </w:r>
    </w:p>
    <w:p>
      <w:pPr>
        <w:spacing w:after="0" w:line="200" w:lineRule="exact"/>
        <w:rPr>
          <w:sz w:val="20"/>
          <w:szCs w:val="20"/>
          <w:color w:val="auto"/>
        </w:rPr>
      </w:pP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2020.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Income Attributable to Non-Controlling Interests and Redeemable Non-Controlling Interests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30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w w:val="93"/>
              </w:rPr>
              <w:t>Three Months Ended June 30,</w:t>
            </w:r>
          </w:p>
        </w:tc>
        <w:tc>
          <w:tcPr>
            <w:tcW w:w="1240" w:type="dxa"/>
            <w:vAlign w:val="bottom"/>
          </w:tcPr>
          <w:p>
            <w:pPr>
              <w:spacing w:after="0"/>
              <w:rPr>
                <w:sz w:val="19"/>
                <w:szCs w:val="19"/>
                <w:color w:val="auto"/>
              </w:rPr>
            </w:pPr>
          </w:p>
        </w:tc>
      </w:tr>
      <w:tr>
        <w:trPr>
          <w:trHeight w:val="187"/>
        </w:trPr>
        <w:tc>
          <w:tcPr>
            <w:tcW w:w="5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2"/>
              </w:rPr>
              <w:t>% Change</w:t>
            </w:r>
          </w:p>
        </w:tc>
      </w:tr>
      <w:tr>
        <w:trPr>
          <w:trHeight w:val="226"/>
        </w:trPr>
        <w:tc>
          <w:tcPr>
            <w:tcW w:w="5040" w:type="dxa"/>
            <w:vAlign w:val="bottom"/>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Arial" w:cs="Arial" w:eastAsia="Arial" w:hAnsi="Arial"/>
                <w:sz w:val="17"/>
                <w:szCs w:val="17"/>
                <w:b w:val="1"/>
                <w:bCs w:val="1"/>
                <w:color w:val="auto"/>
              </w:rPr>
              <w:t>2021</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3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8"/>
              </w:rPr>
              <w:t>2021 v 2020</w:t>
            </w:r>
          </w:p>
        </w:tc>
      </w:tr>
      <w:tr>
        <w:trPr>
          <w:trHeight w:val="204"/>
        </w:trPr>
        <w:tc>
          <w:tcPr>
            <w:tcW w:w="50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20" w:type="dxa"/>
            <w:vAlign w:val="bottom"/>
            <w:tcBorders>
              <w:top w:val="single" w:sz="8" w:color="auto"/>
            </w:tcBorders>
            <w:gridSpan w:val="3"/>
          </w:tcPr>
          <w:p>
            <w:pPr>
              <w:jc w:val="right"/>
              <w:ind w:right="235"/>
              <w:spacing w:after="0"/>
              <w:rPr>
                <w:sz w:val="20"/>
                <w:szCs w:val="20"/>
                <w:color w:val="auto"/>
              </w:rPr>
            </w:pPr>
            <w:r>
              <w:rPr>
                <w:rFonts w:ascii="Arial" w:cs="Arial" w:eastAsia="Arial" w:hAnsi="Arial"/>
                <w:sz w:val="17"/>
                <w:szCs w:val="17"/>
                <w:i w:val="1"/>
                <w:iCs w:val="1"/>
                <w:color w:val="auto"/>
              </w:rPr>
              <w:t>(in thousands)</w:t>
            </w: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04"/>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non-controlling interests</w:t>
            </w:r>
          </w:p>
        </w:tc>
        <w:tc>
          <w:tcPr>
            <w:tcW w:w="2260" w:type="dxa"/>
            <w:vAlign w:val="bottom"/>
            <w:gridSpan w:val="2"/>
            <w:shd w:val="clear" w:color="auto" w:fill="CCEEFF"/>
          </w:tcPr>
          <w:p>
            <w:pPr>
              <w:ind w:left="15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8"/>
              </w:rPr>
              <w:t>767</w:t>
            </w:r>
          </w:p>
        </w:tc>
        <w:tc>
          <w:tcPr>
            <w:tcW w:w="80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1"/>
              </w:rPr>
              <w:t>577</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r>
    </w:tbl>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 described above under “—STAR Market Listing and IPO,” in 2019, ACM Shanghai sold a total number of shares representing 8.3% of its outstanding ACM Shanghai shares. ACM Research continues to hold the remaining 91.7% of ACM Shanghai’s outstanding shares. As a result, commencing with the three months ended September 30, 2019, we reflect, as net income attributable to non-controlling interests and redeemable non-controlling interests, the portion of our net income allocable to the minority holders of ACM Shanghai shares. In the three months ended June 30, 2021, this amount totaled $767,000 as compared to $577,000 in the corresponding period in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Comparison of Six Months Ended June 30, 2021 and 2020</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5420" w:type="dxa"/>
            <w:vAlign w:val="bottom"/>
            <w:gridSpan w:val="3"/>
          </w:tcPr>
          <w:p>
            <w:pPr>
              <w:spacing w:after="0"/>
              <w:rPr>
                <w:sz w:val="20"/>
                <w:szCs w:val="20"/>
                <w:color w:val="auto"/>
              </w:rPr>
            </w:pPr>
            <w:r>
              <w:rPr>
                <w:rFonts w:ascii="Arial" w:cs="Arial" w:eastAsia="Arial" w:hAnsi="Arial"/>
                <w:sz w:val="17"/>
                <w:szCs w:val="17"/>
                <w:i w:val="1"/>
                <w:iCs w:val="1"/>
                <w:color w:val="auto"/>
              </w:rPr>
              <w:t>Revenue</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7"/>
                <w:szCs w:val="17"/>
                <w:b w:val="1"/>
                <w:bCs w:val="1"/>
                <w:color w:val="auto"/>
                <w:w w:val="89"/>
              </w:rPr>
              <w:t>Six Months Ended June 30,</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00"/>
              <w:spacing w:after="0" w:line="187" w:lineRule="exact"/>
              <w:rPr>
                <w:sz w:val="20"/>
                <w:szCs w:val="20"/>
                <w:color w:val="auto"/>
              </w:rPr>
            </w:pPr>
            <w:r>
              <w:rPr>
                <w:rFonts w:ascii="Arial" w:cs="Arial" w:eastAsia="Arial" w:hAnsi="Arial"/>
                <w:sz w:val="17"/>
                <w:szCs w:val="17"/>
                <w:b w:val="1"/>
                <w:bCs w:val="1"/>
                <w:color w:val="auto"/>
                <w:w w:val="92"/>
              </w:rPr>
              <w:t>% Change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2021 v 2020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i w:val="1"/>
                <w:iCs w:val="1"/>
                <w:color w:val="auto"/>
              </w:rPr>
              <w:t>(in</w:t>
            </w:r>
          </w:p>
        </w:tc>
        <w:tc>
          <w:tcPr>
            <w:tcW w:w="1180" w:type="dxa"/>
            <w:vAlign w:val="bottom"/>
            <w:gridSpan w:val="3"/>
          </w:tcPr>
          <w:p>
            <w:pPr>
              <w:jc w:val="right"/>
              <w:ind w:right="535"/>
              <w:spacing w:after="0"/>
              <w:rPr>
                <w:sz w:val="20"/>
                <w:szCs w:val="20"/>
                <w:color w:val="auto"/>
              </w:rPr>
            </w:pPr>
            <w:r>
              <w:rPr>
                <w:rFonts w:ascii="Arial" w:cs="Arial" w:eastAsia="Arial" w:hAnsi="Arial"/>
                <w:sz w:val="15"/>
                <w:szCs w:val="15"/>
                <w:i w:val="1"/>
                <w:iCs w:val="1"/>
                <w:color w:val="auto"/>
                <w:w w:val="72"/>
              </w:rPr>
              <w:t>thousands)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w w:val="92"/>
              </w:rPr>
              <w:t>Single Wafer Cleaning, Tahoe and Semi-Critical Cleaning Equipment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77,874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56,124</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38.8%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7"/>
                <w:szCs w:val="17"/>
                <w:color w:val="auto"/>
                <w:w w:val="97"/>
              </w:rPr>
              <w:t>ECP (front-end and packaging), Furnace and Other Technologies</w:t>
            </w: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5,550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4,490</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color w:val="auto"/>
              </w:rPr>
              <w:t>23.6%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Advanced Packaging (excluding ECP), Services &amp; Spares</w:t>
            </w:r>
          </w:p>
        </w:tc>
        <w:tc>
          <w:tcPr>
            <w:tcW w:w="17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14,172</w:t>
            </w:r>
          </w:p>
        </w:tc>
        <w:tc>
          <w:tcPr>
            <w:tcW w:w="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2,783</w:t>
            </w:r>
          </w:p>
        </w:tc>
        <w:tc>
          <w:tcPr>
            <w:tcW w:w="13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409.4%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Revenue By Product Category</w:t>
            </w: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97,596</w:t>
            </w:r>
          </w:p>
        </w:tc>
        <w:tc>
          <w:tcPr>
            <w:tcW w:w="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63,397</w:t>
            </w: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53.9%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484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gridSpan w:val="2"/>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gridSpan w:val="2"/>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gridSpan w:val="3"/>
            <w:shd w:val="clear" w:color="auto" w:fill="CCEEFF"/>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Wet cleaning and other front-end processing tools</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77,874</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60,614</w:t>
            </w:r>
          </w:p>
        </w:tc>
        <w:tc>
          <w:tcPr>
            <w:tcW w:w="1340" w:type="dxa"/>
            <w:vAlign w:val="bottom"/>
            <w:gridSpan w:val="3"/>
          </w:tcPr>
          <w:p>
            <w:pPr>
              <w:jc w:val="right"/>
              <w:ind w:right="40"/>
              <w:spacing w:after="0"/>
              <w:rPr>
                <w:sz w:val="20"/>
                <w:szCs w:val="20"/>
                <w:color w:val="auto"/>
              </w:rPr>
            </w:pPr>
            <w:r>
              <w:rPr>
                <w:rFonts w:ascii="Arial" w:cs="Arial" w:eastAsia="Arial" w:hAnsi="Arial"/>
                <w:sz w:val="17"/>
                <w:szCs w:val="17"/>
                <w:color w:val="auto"/>
              </w:rPr>
              <w:t>28.5%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7"/>
              </w:rPr>
              <w:t>Advanced packaging, other processing tools, services and spares</w:t>
            </w:r>
          </w:p>
        </w:tc>
        <w:tc>
          <w:tcPr>
            <w:tcW w:w="17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19,722</w:t>
            </w:r>
          </w:p>
        </w:tc>
        <w:tc>
          <w:tcPr>
            <w:tcW w:w="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2,783</w:t>
            </w:r>
          </w:p>
        </w:tc>
        <w:tc>
          <w:tcPr>
            <w:tcW w:w="13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608.8%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Revenue Front-end and Back-End</w:t>
            </w: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97,596</w:t>
            </w:r>
          </w:p>
        </w:tc>
        <w:tc>
          <w:tcPr>
            <w:tcW w:w="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63,397</w:t>
            </w: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53.9%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40" w:type="dxa"/>
            <w:vAlign w:val="bottom"/>
          </w:tcPr>
          <w:p>
            <w:pPr>
              <w:jc w:val="right"/>
              <w:ind w:right="1379"/>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Revenue increased by $34.2 million in the six months ended June 30, 2021 as compared to the same period in 2020. The increase was due to a $17.3 million increase in revenue from wet cleaning and other front-end processing tools revenue, and a $16.9 million increase from advanced packaging and other processing tools, services and spares.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20"/>
                <w:szCs w:val="20"/>
                <w:color w:val="auto"/>
              </w:rPr>
            </w:pPr>
            <w:r>
              <w:rPr>
                <w:rFonts w:ascii="Arial" w:cs="Arial" w:eastAsia="Arial" w:hAnsi="Arial"/>
                <w:sz w:val="17"/>
                <w:szCs w:val="17"/>
                <w:i w:val="1"/>
                <w:iCs w:val="1"/>
                <w:color w:val="auto"/>
              </w:rPr>
              <w:t>Cost of Revenue and Gross Margin</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39"/>
        </w:trPr>
        <w:tc>
          <w:tcPr>
            <w:tcW w:w="4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right"/>
              <w:ind w:right="360"/>
              <w:spacing w:after="0"/>
              <w:rPr>
                <w:sz w:val="20"/>
                <w:szCs w:val="20"/>
                <w:color w:val="auto"/>
              </w:rPr>
            </w:pPr>
            <w:r>
              <w:rPr>
                <w:rFonts w:ascii="Arial" w:cs="Arial" w:eastAsia="Arial" w:hAnsi="Arial"/>
                <w:sz w:val="17"/>
                <w:szCs w:val="17"/>
                <w:b w:val="1"/>
                <w:bCs w:val="1"/>
                <w:color w:val="auto"/>
                <w:w w:val="89"/>
              </w:rPr>
              <w:t>Six Months Ended June 30,</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4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160"/>
              <w:spacing w:after="0" w:line="187" w:lineRule="exact"/>
              <w:rPr>
                <w:sz w:val="20"/>
                <w:szCs w:val="20"/>
                <w:color w:val="auto"/>
              </w:rPr>
            </w:pPr>
            <w:r>
              <w:rPr>
                <w:rFonts w:ascii="Arial" w:cs="Arial" w:eastAsia="Arial" w:hAnsi="Arial"/>
                <w:sz w:val="17"/>
                <w:szCs w:val="17"/>
                <w:b w:val="1"/>
                <w:bCs w:val="1"/>
                <w:color w:val="auto"/>
                <w:w w:val="92"/>
              </w:rPr>
              <w:t>% Change</w:t>
            </w:r>
          </w:p>
        </w:tc>
      </w:tr>
      <w:tr>
        <w:trPr>
          <w:trHeight w:val="226"/>
        </w:trPr>
        <w:tc>
          <w:tcPr>
            <w:tcW w:w="4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2020</w:t>
            </w:r>
          </w:p>
        </w:tc>
        <w:tc>
          <w:tcPr>
            <w:tcW w:w="24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2021 v 2020</w:t>
            </w:r>
          </w:p>
        </w:tc>
        <w:tc>
          <w:tcPr>
            <w:tcW w:w="160" w:type="dxa"/>
            <w:vAlign w:val="bottom"/>
          </w:tcPr>
          <w:p>
            <w:pPr>
              <w:spacing w:after="0"/>
              <w:rPr>
                <w:sz w:val="19"/>
                <w:szCs w:val="19"/>
                <w:color w:val="auto"/>
              </w:rPr>
            </w:pPr>
          </w:p>
        </w:tc>
      </w:tr>
      <w:tr>
        <w:trPr>
          <w:trHeight w:val="204"/>
        </w:trPr>
        <w:tc>
          <w:tcPr>
            <w:tcW w:w="44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i w:val="1"/>
                <w:iCs w:val="1"/>
                <w:color w:val="auto"/>
              </w:rPr>
              <w:t>(in</w:t>
            </w:r>
          </w:p>
        </w:tc>
        <w:tc>
          <w:tcPr>
            <w:tcW w:w="1240" w:type="dxa"/>
            <w:vAlign w:val="bottom"/>
            <w:gridSpan w:val="3"/>
          </w:tcPr>
          <w:p>
            <w:pPr>
              <w:jc w:val="center"/>
              <w:ind w:right="535"/>
              <w:spacing w:after="0"/>
              <w:rPr>
                <w:sz w:val="20"/>
                <w:szCs w:val="20"/>
                <w:color w:val="auto"/>
              </w:rPr>
            </w:pPr>
            <w:r>
              <w:rPr>
                <w:rFonts w:ascii="Arial" w:cs="Arial" w:eastAsia="Arial" w:hAnsi="Arial"/>
                <w:sz w:val="17"/>
                <w:szCs w:val="17"/>
                <w:i w:val="1"/>
                <w:iCs w:val="1"/>
                <w:color w:val="auto"/>
                <w:w w:val="73"/>
              </w:rPr>
              <w:t>thousands)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75"/>
              <w:spacing w:after="0"/>
              <w:rPr>
                <w:sz w:val="20"/>
                <w:szCs w:val="20"/>
                <w:color w:val="auto"/>
              </w:rPr>
            </w:pPr>
            <w:r>
              <w:rPr>
                <w:rFonts w:ascii="Arial" w:cs="Arial" w:eastAsia="Arial" w:hAnsi="Arial"/>
                <w:sz w:val="17"/>
                <w:szCs w:val="17"/>
                <w:color w:val="auto"/>
              </w:rPr>
              <w:t>57,871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33,813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71.2%</w:t>
            </w:r>
          </w:p>
        </w:tc>
      </w:tr>
      <w:tr>
        <w:trPr>
          <w:trHeight w:val="204"/>
        </w:trPr>
        <w:tc>
          <w:tcPr>
            <w:tcW w:w="4440" w:type="dxa"/>
            <w:vAlign w:val="bottom"/>
          </w:tcPr>
          <w:p>
            <w:pPr>
              <w:spacing w:after="0"/>
              <w:rPr>
                <w:sz w:val="20"/>
                <w:szCs w:val="20"/>
                <w:color w:val="auto"/>
              </w:rPr>
            </w:pPr>
            <w:r>
              <w:rPr>
                <w:rFonts w:ascii="Arial" w:cs="Arial" w:eastAsia="Arial" w:hAnsi="Arial"/>
                <w:sz w:val="17"/>
                <w:szCs w:val="17"/>
                <w:color w:val="auto"/>
              </w:rPr>
              <w:t>Gross profit</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75"/>
              <w:spacing w:after="0"/>
              <w:rPr>
                <w:sz w:val="20"/>
                <w:szCs w:val="20"/>
                <w:color w:val="auto"/>
              </w:rPr>
            </w:pPr>
            <w:r>
              <w:rPr>
                <w:rFonts w:ascii="Arial" w:cs="Arial" w:eastAsia="Arial" w:hAnsi="Arial"/>
                <w:sz w:val="17"/>
                <w:szCs w:val="17"/>
                <w:color w:val="auto"/>
              </w:rPr>
              <w:t>39,725</w:t>
            </w:r>
          </w:p>
        </w:tc>
        <w:tc>
          <w:tcPr>
            <w:tcW w:w="2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29,584</w:t>
            </w: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34.3%</w:t>
            </w:r>
          </w:p>
        </w:tc>
      </w:tr>
      <w:tr>
        <w:trPr>
          <w:trHeight w:val="204"/>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40.7%</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-6.0%</w:t>
            </w:r>
          </w:p>
        </w:tc>
      </w:tr>
    </w:tbl>
    <w:p>
      <w:pPr>
        <w:spacing w:after="0" w:line="21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Cost of revenue increased $24.1 million and gross profit increased $10.1 million in the six months ended June 30, 2021 as compared to the corresponding period in 2020 due to the increased sales volume, partly offset by a 6.0% point decrease in gross margin, which reflected differences in product mix.</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gridSpan w:val="2"/>
          </w:tcPr>
          <w:p>
            <w:pPr>
              <w:spacing w:after="0"/>
              <w:rPr>
                <w:sz w:val="20"/>
                <w:szCs w:val="20"/>
                <w:color w:val="auto"/>
              </w:rPr>
            </w:pPr>
            <w:r>
              <w:rPr>
                <w:rFonts w:ascii="Arial" w:cs="Arial" w:eastAsia="Arial" w:hAnsi="Arial"/>
                <w:sz w:val="17"/>
                <w:szCs w:val="17"/>
                <w:i w:val="1"/>
                <w:iCs w:val="1"/>
                <w:color w:val="auto"/>
              </w:rPr>
              <w:t>Operating Expenses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9"/>
        </w:trPr>
        <w:tc>
          <w:tcPr>
            <w:tcW w:w="5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7"/>
                <w:szCs w:val="17"/>
                <w:b w:val="1"/>
                <w:bCs w:val="1"/>
                <w:color w:val="auto"/>
                <w:w w:val="89"/>
              </w:rPr>
              <w:t>Six Months Ended June 30,</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7"/>
        </w:trPr>
        <w:tc>
          <w:tcPr>
            <w:tcW w:w="58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160"/>
              <w:spacing w:after="0" w:line="187" w:lineRule="exact"/>
              <w:rPr>
                <w:sz w:val="20"/>
                <w:szCs w:val="20"/>
                <w:color w:val="auto"/>
              </w:rPr>
            </w:pPr>
            <w:r>
              <w:rPr>
                <w:rFonts w:ascii="Arial" w:cs="Arial" w:eastAsia="Arial" w:hAnsi="Arial"/>
                <w:sz w:val="17"/>
                <w:szCs w:val="17"/>
                <w:b w:val="1"/>
                <w:bCs w:val="1"/>
                <w:color w:val="auto"/>
                <w:w w:val="94"/>
              </w:rPr>
              <w:t>% Change</w:t>
            </w:r>
          </w:p>
        </w:tc>
      </w:tr>
      <w:tr>
        <w:trPr>
          <w:trHeight w:val="226"/>
        </w:trPr>
        <w:tc>
          <w:tcPr>
            <w:tcW w:w="58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2021 v 2020</w:t>
            </w:r>
          </w:p>
        </w:tc>
        <w:tc>
          <w:tcPr>
            <w:tcW w:w="140" w:type="dxa"/>
            <w:vAlign w:val="bottom"/>
          </w:tcPr>
          <w:p>
            <w:pPr>
              <w:spacing w:after="0"/>
              <w:rPr>
                <w:sz w:val="19"/>
                <w:szCs w:val="19"/>
                <w:color w:val="auto"/>
              </w:rPr>
            </w:pPr>
          </w:p>
        </w:tc>
      </w:tr>
      <w:tr>
        <w:trPr>
          <w:trHeight w:val="204"/>
        </w:trPr>
        <w:tc>
          <w:tcPr>
            <w:tcW w:w="58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135"/>
              <w:spacing w:after="0"/>
              <w:rPr>
                <w:sz w:val="20"/>
                <w:szCs w:val="20"/>
                <w:color w:val="auto"/>
              </w:rPr>
            </w:pPr>
            <w:r>
              <w:rPr>
                <w:rFonts w:ascii="Arial" w:cs="Arial" w:eastAsia="Arial" w:hAnsi="Arial"/>
                <w:sz w:val="17"/>
                <w:szCs w:val="17"/>
                <w:i w:val="1"/>
                <w:iCs w:val="1"/>
                <w:color w:val="auto"/>
              </w:rPr>
              <w:t>(in</w:t>
            </w:r>
          </w:p>
        </w:tc>
        <w:tc>
          <w:tcPr>
            <w:tcW w:w="1180" w:type="dxa"/>
            <w:vAlign w:val="bottom"/>
            <w:gridSpan w:val="3"/>
          </w:tcPr>
          <w:p>
            <w:pPr>
              <w:jc w:val="right"/>
              <w:ind w:right="535"/>
              <w:spacing w:after="0"/>
              <w:rPr>
                <w:sz w:val="20"/>
                <w:szCs w:val="20"/>
                <w:color w:val="auto"/>
              </w:rPr>
            </w:pPr>
            <w:r>
              <w:rPr>
                <w:rFonts w:ascii="Arial" w:cs="Arial" w:eastAsia="Arial" w:hAnsi="Arial"/>
                <w:sz w:val="15"/>
                <w:szCs w:val="15"/>
                <w:i w:val="1"/>
                <w:iCs w:val="1"/>
                <w:color w:val="auto"/>
                <w:w w:val="72"/>
              </w:rPr>
              <w:t>thousands)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7,600</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46.0%</w:t>
            </w:r>
          </w:p>
        </w:tc>
      </w:tr>
      <w:tr>
        <w:trPr>
          <w:trHeight w:val="204"/>
        </w:trPr>
        <w:tc>
          <w:tcPr>
            <w:tcW w:w="58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13,437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8,898</w:t>
            </w:r>
          </w:p>
        </w:tc>
        <w:tc>
          <w:tcPr>
            <w:tcW w:w="1320" w:type="dxa"/>
            <w:vAlign w:val="bottom"/>
            <w:gridSpan w:val="3"/>
          </w:tcPr>
          <w:p>
            <w:pPr>
              <w:jc w:val="right"/>
              <w:ind w:right="20"/>
              <w:spacing w:after="0"/>
              <w:rPr>
                <w:sz w:val="20"/>
                <w:szCs w:val="20"/>
                <w:color w:val="auto"/>
              </w:rPr>
            </w:pPr>
            <w:r>
              <w:rPr>
                <w:rFonts w:ascii="Arial" w:cs="Arial" w:eastAsia="Arial" w:hAnsi="Arial"/>
                <w:sz w:val="17"/>
                <w:szCs w:val="17"/>
                <w:color w:val="auto"/>
              </w:rPr>
              <w:t>51.0%</w:t>
            </w:r>
          </w:p>
        </w:tc>
      </w:tr>
      <w:tr>
        <w:trPr>
          <w:trHeight w:val="209"/>
        </w:trPr>
        <w:tc>
          <w:tcPr>
            <w:tcW w:w="580" w:type="dxa"/>
            <w:vAlign w:val="bottom"/>
          </w:tcPr>
          <w:p>
            <w:pPr>
              <w:spacing w:after="0"/>
              <w:rPr>
                <w:sz w:val="18"/>
                <w:szCs w:val="18"/>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4,532</w:t>
            </w: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63.5%</w:t>
            </w:r>
          </w:p>
        </w:tc>
      </w:tr>
      <w:tr>
        <w:trPr>
          <w:trHeight w:val="204"/>
        </w:trPr>
        <w:tc>
          <w:tcPr>
            <w:tcW w:w="58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31,944</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21,030</w:t>
            </w:r>
          </w:p>
        </w:tc>
        <w:tc>
          <w:tcPr>
            <w:tcW w:w="1320" w:type="dxa"/>
            <w:vAlign w:val="bottom"/>
            <w:gridSpan w:val="3"/>
          </w:tcPr>
          <w:p>
            <w:pPr>
              <w:jc w:val="right"/>
              <w:ind w:right="20"/>
              <w:spacing w:after="0"/>
              <w:rPr>
                <w:sz w:val="20"/>
                <w:szCs w:val="20"/>
                <w:color w:val="auto"/>
              </w:rPr>
            </w:pPr>
            <w:r>
              <w:rPr>
                <w:rFonts w:ascii="Arial" w:cs="Arial" w:eastAsia="Arial" w:hAnsi="Arial"/>
                <w:sz w:val="17"/>
                <w:szCs w:val="17"/>
                <w:color w:val="auto"/>
              </w:rPr>
              <w:t>51.9%</w:t>
            </w:r>
          </w:p>
        </w:tc>
      </w:tr>
      <w:tr>
        <w:trPr>
          <w:trHeight w:val="20"/>
        </w:trPr>
        <w:tc>
          <w:tcPr>
            <w:tcW w:w="5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Sales and marketing expense </w:t>
      </w:r>
      <w:r>
        <w:rPr>
          <w:rFonts w:ascii="Arial" w:cs="Arial" w:eastAsia="Arial" w:hAnsi="Arial"/>
          <w:sz w:val="17"/>
          <w:szCs w:val="17"/>
          <w:color w:val="auto"/>
        </w:rPr>
        <w:t>increased by $3.5 million in the six months ended June 30, 2021 as compared to the corresponding period in 2020. The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due in part to the addition of resources to support sales and marketing efforts in North America and Europe, and other factors. Sales and marketing expense consists primarily of:</w:t>
      </w:r>
    </w:p>
    <w:p>
      <w:pPr>
        <w:spacing w:after="0" w:line="200" w:lineRule="exact"/>
        <w:rPr>
          <w:sz w:val="20"/>
          <w:szCs w:val="20"/>
          <w:color w:val="auto"/>
        </w:rPr>
      </w:pPr>
    </w:p>
    <w:p>
      <w:pPr>
        <w:ind w:left="800" w:hanging="454"/>
        <w:spacing w:after="0"/>
        <w:tabs>
          <w:tab w:leader="none" w:pos="8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compensation of personnel associated with pre- and after-sale support and other sales and marketing activities, including stock-based compensation;</w:t>
      </w:r>
    </w:p>
    <w:p>
      <w:pPr>
        <w:spacing w:after="0" w:line="42" w:lineRule="exact"/>
        <w:rPr>
          <w:rFonts w:ascii="Arial" w:cs="Arial" w:eastAsia="Arial" w:hAnsi="Arial"/>
          <w:sz w:val="15"/>
          <w:szCs w:val="15"/>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sales commissions paid to independent sales representatives;</w:t>
      </w:r>
    </w:p>
    <w:p>
      <w:pPr>
        <w:spacing w:after="0" w:line="8"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fees paid to sales consultants;</w:t>
      </w:r>
    </w:p>
    <w:p>
      <w:pPr>
        <w:spacing w:after="0" w:line="8"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shipping and handling costs for transportation of products to customers;</w:t>
      </w:r>
    </w:p>
    <w:p>
      <w:pPr>
        <w:spacing w:after="0" w:line="8"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cost of trade shows;</w:t>
      </w:r>
    </w:p>
    <w:p>
      <w:pPr>
        <w:spacing w:after="0" w:line="8"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travel and entertainment; and</w:t>
      </w:r>
    </w:p>
    <w:p>
      <w:pPr>
        <w:spacing w:after="0" w:line="8"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6" w:lineRule="exact"/>
        <w:rPr>
          <w:sz w:val="20"/>
          <w:szCs w:val="20"/>
          <w:color w:val="auto"/>
        </w:rPr>
      </w:pPr>
    </w:p>
    <w:p>
      <w:pPr>
        <w:jc w:val="both"/>
        <w:spacing w:after="0" w:line="295" w:lineRule="auto"/>
        <w:rPr>
          <w:sz w:val="20"/>
          <w:szCs w:val="20"/>
          <w:color w:val="auto"/>
        </w:rPr>
      </w:pPr>
      <w:r>
        <w:rPr>
          <w:rFonts w:ascii="Arial" w:cs="Arial" w:eastAsia="Arial" w:hAnsi="Arial"/>
          <w:sz w:val="15"/>
          <w:szCs w:val="15"/>
          <w:i w:val="1"/>
          <w:iCs w:val="1"/>
          <w:color w:val="auto"/>
        </w:rPr>
        <w:t xml:space="preserve">Research and development expense </w:t>
      </w:r>
      <w:r>
        <w:rPr>
          <w:rFonts w:ascii="Arial" w:cs="Arial" w:eastAsia="Arial" w:hAnsi="Arial"/>
          <w:sz w:val="15"/>
          <w:szCs w:val="15"/>
          <w:color w:val="auto"/>
        </w:rPr>
        <w:t>increased by $4.5 million in the six months ended June 30, 2021 as compared to the corresponding period in 2020, principally as</w:t>
      </w:r>
      <w:r>
        <w:rPr>
          <w:rFonts w:ascii="Arial" w:cs="Arial" w:eastAsia="Arial" w:hAnsi="Arial"/>
          <w:sz w:val="15"/>
          <w:szCs w:val="15"/>
          <w:i w:val="1"/>
          <w:iCs w:val="1"/>
          <w:color w:val="auto"/>
        </w:rPr>
        <w:t xml:space="preserve"> </w:t>
      </w:r>
      <w:r>
        <w:rPr>
          <w:rFonts w:ascii="Arial" w:cs="Arial" w:eastAsia="Arial" w:hAnsi="Arial"/>
          <w:sz w:val="15"/>
          <w:szCs w:val="15"/>
          <w:color w:val="auto"/>
        </w:rPr>
        <w:t>a result of increases in new product development, testing fees and personnel costs. Research and development expense represented 13.8% and 14.0% of our revenue in the six months ended June 30, 2021 and 2020, respectively. Without reduction by grant amounts received from PRC governmental authorities (see “—Government Research and Development Funding”), gross research and development expense totaled $17.6 million, or 18.1% of total revenue, in the six months ended June 30, 2021 and $9.2 million, or 14.5% of revenue, in the corresponding period in 2020. Research and development expense relates to the development of new products and processes and encompasses our research, development and customer support activities. Research and development expense consists primarily of:</w:t>
      </w:r>
    </w:p>
    <w:p>
      <w:pPr>
        <w:spacing w:after="0" w:line="180" w:lineRule="exact"/>
        <w:rPr>
          <w:sz w:val="20"/>
          <w:szCs w:val="20"/>
          <w:color w:val="auto"/>
        </w:rPr>
      </w:pPr>
    </w:p>
    <w:p>
      <w:pPr>
        <w:ind w:left="760" w:hanging="453"/>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compensation of personnel associated with our research and development activities, including stock based compensation;</w:t>
      </w:r>
    </w:p>
    <w:p>
      <w:pPr>
        <w:spacing w:after="0" w:line="19" w:lineRule="exact"/>
        <w:rPr>
          <w:rFonts w:ascii="Arial" w:cs="Arial" w:eastAsia="Arial" w:hAnsi="Arial"/>
          <w:sz w:val="17"/>
          <w:szCs w:val="17"/>
          <w:color w:val="auto"/>
        </w:rPr>
      </w:pPr>
    </w:p>
    <w:p>
      <w:pPr>
        <w:ind w:left="760" w:hanging="453"/>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costs of components and other research and development supplies;</w:t>
      </w:r>
    </w:p>
    <w:p>
      <w:pPr>
        <w:spacing w:after="0" w:line="8" w:lineRule="exact"/>
        <w:rPr>
          <w:rFonts w:ascii="Arial" w:cs="Arial" w:eastAsia="Arial" w:hAnsi="Arial"/>
          <w:sz w:val="17"/>
          <w:szCs w:val="17"/>
          <w:color w:val="auto"/>
        </w:rPr>
      </w:pPr>
    </w:p>
    <w:p>
      <w:pPr>
        <w:ind w:left="760" w:hanging="453"/>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travel expense associated with customer support;</w:t>
      </w:r>
    </w:p>
    <w:p>
      <w:pPr>
        <w:spacing w:after="0" w:line="8" w:lineRule="exact"/>
        <w:rPr>
          <w:rFonts w:ascii="Arial" w:cs="Arial" w:eastAsia="Arial" w:hAnsi="Arial"/>
          <w:sz w:val="17"/>
          <w:szCs w:val="17"/>
          <w:color w:val="auto"/>
        </w:rPr>
      </w:pPr>
    </w:p>
    <w:p>
      <w:pPr>
        <w:ind w:left="760" w:hanging="453"/>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amortization of costs of software used for research and development purposes; and</w:t>
      </w:r>
    </w:p>
    <w:p>
      <w:pPr>
        <w:spacing w:after="0" w:line="8" w:lineRule="exact"/>
        <w:rPr>
          <w:rFonts w:ascii="Arial" w:cs="Arial" w:eastAsia="Arial" w:hAnsi="Arial"/>
          <w:sz w:val="17"/>
          <w:szCs w:val="17"/>
          <w:color w:val="auto"/>
        </w:rPr>
      </w:pPr>
    </w:p>
    <w:p>
      <w:pPr>
        <w:ind w:left="760" w:hanging="453"/>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spacing w:after="0" w:line="274"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increased $2.9 million in the six months ended June 30, 2021 as compared to the corresponding period in 2020.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expense consists primarily of:</w:t>
      </w:r>
    </w:p>
    <w:p>
      <w:pPr>
        <w:spacing w:after="0" w:line="190" w:lineRule="exact"/>
        <w:rPr>
          <w:sz w:val="20"/>
          <w:szCs w:val="20"/>
          <w:color w:val="auto"/>
        </w:rPr>
      </w:pPr>
    </w:p>
    <w:p>
      <w:pPr>
        <w:ind w:left="760" w:right="80" w:hanging="453"/>
        <w:spacing w:after="0" w:line="257"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compensation of executive, accounting and finance, human resources, information technology, and other administrative personnel, including stock-based compensation;</w:t>
      </w:r>
    </w:p>
    <w:p>
      <w:pPr>
        <w:ind w:left="760" w:hanging="453"/>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professional fees, including accounting and corporate legal and defense fees;</w:t>
      </w:r>
    </w:p>
    <w:p>
      <w:pPr>
        <w:spacing w:after="0" w:line="8" w:lineRule="exact"/>
        <w:rPr>
          <w:rFonts w:ascii="Arial" w:cs="Arial" w:eastAsia="Arial" w:hAnsi="Arial"/>
          <w:sz w:val="17"/>
          <w:szCs w:val="17"/>
          <w:color w:val="auto"/>
        </w:rPr>
      </w:pPr>
    </w:p>
    <w:p>
      <w:pPr>
        <w:ind w:left="760" w:hanging="453"/>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other corporate expenses including insurance; and</w:t>
      </w:r>
    </w:p>
    <w:p>
      <w:pPr>
        <w:spacing w:after="0" w:line="8" w:lineRule="exact"/>
        <w:rPr>
          <w:rFonts w:ascii="Arial" w:cs="Arial" w:eastAsia="Arial" w:hAnsi="Arial"/>
          <w:sz w:val="17"/>
          <w:szCs w:val="17"/>
          <w:color w:val="auto"/>
        </w:rPr>
      </w:pPr>
    </w:p>
    <w:p>
      <w:pPr>
        <w:ind w:left="760" w:hanging="453"/>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expect that, for the foreseeable future, general and administrative expenses will increase in absolute dollars, as we incur additional costs associated with growing our business and operating as a public company in the United States and the PRC.</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Unrealized gain from trading securities</w:t>
      </w:r>
    </w:p>
    <w:p>
      <w:pPr>
        <w:spacing w:after="0" w:line="2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recorded an unrealized gain of $2.7 million for the six months ended June 30, 2021 based on a change in market value of ACM Shanghai’s indirect investment in SMIC shares on the STAR Market as is described in note 16 to the condensed consolidated financial statements included in this report.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40" w:type="dxa"/>
            <w:vAlign w:val="bottom"/>
            <w:gridSpan w:val="14"/>
          </w:tcPr>
          <w:p>
            <w:pPr>
              <w:jc w:val="right"/>
              <w:ind w:right="620"/>
              <w:spacing w:after="0"/>
              <w:rPr>
                <w:sz w:val="20"/>
                <w:szCs w:val="20"/>
                <w:color w:val="auto"/>
              </w:rPr>
            </w:pPr>
            <w:r>
              <w:rPr>
                <w:rFonts w:ascii="Arial" w:cs="Arial" w:eastAsia="Arial" w:hAnsi="Arial"/>
                <w:sz w:val="17"/>
                <w:szCs w:val="17"/>
                <w:b w:val="1"/>
                <w:bCs w:val="1"/>
                <w:color w:val="auto"/>
                <w:w w:val="99"/>
              </w:rPr>
              <w:t>Six Months Ended June 30,</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195"/>
              <w:spacing w:after="0"/>
              <w:rPr>
                <w:sz w:val="20"/>
                <w:szCs w:val="20"/>
                <w:color w:val="auto"/>
              </w:rPr>
            </w:pPr>
            <w:r>
              <w:rPr>
                <w:rFonts w:ascii="Arial" w:cs="Arial" w:eastAsia="Arial" w:hAnsi="Arial"/>
                <w:sz w:val="17"/>
                <w:szCs w:val="17"/>
                <w:b w:val="1"/>
                <w:bCs w:val="1"/>
                <w:color w:val="auto"/>
                <w:w w:val="84"/>
              </w:rPr>
              <w:t>2020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200"/>
              <w:spacing w:after="0"/>
              <w:rPr>
                <w:sz w:val="20"/>
                <w:szCs w:val="20"/>
                <w:color w:val="auto"/>
              </w:rPr>
            </w:pPr>
            <w:r>
              <w:rPr>
                <w:rFonts w:ascii="Arial" w:cs="Arial" w:eastAsia="Arial" w:hAnsi="Arial"/>
                <w:sz w:val="17"/>
                <w:szCs w:val="17"/>
                <w:i w:val="1"/>
                <w:iCs w:val="1"/>
                <w:color w:val="auto"/>
              </w:rPr>
              <w:t>(in</w:t>
            </w:r>
          </w:p>
        </w:tc>
        <w:tc>
          <w:tcPr>
            <w:tcW w:w="1080" w:type="dxa"/>
            <w:vAlign w:val="bottom"/>
            <w:gridSpan w:val="6"/>
          </w:tcPr>
          <w:p>
            <w:pPr>
              <w:jc w:val="right"/>
              <w:ind w:right="415"/>
              <w:spacing w:after="0"/>
              <w:rPr>
                <w:sz w:val="20"/>
                <w:szCs w:val="20"/>
                <w:color w:val="auto"/>
              </w:rPr>
            </w:pPr>
            <w:r>
              <w:rPr>
                <w:rFonts w:ascii="Arial" w:cs="Arial" w:eastAsia="Arial" w:hAnsi="Arial"/>
                <w:sz w:val="16"/>
                <w:szCs w:val="16"/>
                <w:i w:val="1"/>
                <w:iCs w:val="1"/>
                <w:color w:val="auto"/>
                <w:w w:val="70"/>
              </w:rPr>
              <w:t>thousands)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 on trading securities</w:t>
            </w:r>
          </w:p>
        </w:tc>
        <w:tc>
          <w:tcPr>
            <w:tcW w:w="1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2,736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380" w:type="dxa"/>
            <w:vAlign w:val="bottom"/>
            <w:gridSpan w:val="3"/>
          </w:tcPr>
          <w:p>
            <w:pPr>
              <w:spacing w:after="0"/>
              <w:rPr>
                <w:sz w:val="20"/>
                <w:szCs w:val="20"/>
                <w:color w:val="auto"/>
              </w:rPr>
            </w:pPr>
            <w:r>
              <w:rPr>
                <w:rFonts w:ascii="Arial" w:cs="Arial" w:eastAsia="Arial" w:hAnsi="Arial"/>
                <w:sz w:val="17"/>
                <w:szCs w:val="17"/>
                <w:i w:val="1"/>
                <w:iCs w:val="1"/>
                <w:color w:val="auto"/>
              </w:rPr>
              <w:t>Other Income and Expenses</w:t>
            </w: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60" w:type="dxa"/>
            <w:vAlign w:val="bottom"/>
            <w:gridSpan w:val="10"/>
          </w:tcPr>
          <w:p>
            <w:pPr>
              <w:jc w:val="right"/>
              <w:ind w:right="180"/>
              <w:spacing w:after="0"/>
              <w:rPr>
                <w:sz w:val="20"/>
                <w:szCs w:val="20"/>
                <w:color w:val="auto"/>
              </w:rPr>
            </w:pPr>
            <w:r>
              <w:rPr>
                <w:rFonts w:ascii="Arial" w:cs="Arial" w:eastAsia="Arial" w:hAnsi="Arial"/>
                <w:sz w:val="17"/>
                <w:szCs w:val="17"/>
                <w:b w:val="1"/>
                <w:bCs w:val="1"/>
                <w:color w:val="auto"/>
                <w:w w:val="93"/>
              </w:rPr>
              <w:t>Six Months Ended June 30,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4"/>
          </w:tcPr>
          <w:p>
            <w:pPr>
              <w:jc w:val="center"/>
              <w:ind w:right="160"/>
              <w:spacing w:after="0" w:line="187"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b w:val="1"/>
                <w:bCs w:val="1"/>
                <w:color w:val="auto"/>
                <w:w w:val="90"/>
              </w:rPr>
              <w:t>2021 v 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7"/>
                <w:szCs w:val="17"/>
                <w:i w:val="1"/>
                <w:iCs w:val="1"/>
                <w:color w:val="auto"/>
              </w:rPr>
              <w:t>(in</w:t>
            </w:r>
          </w:p>
        </w:tc>
        <w:tc>
          <w:tcPr>
            <w:tcW w:w="860" w:type="dxa"/>
            <w:vAlign w:val="bottom"/>
            <w:gridSpan w:val="4"/>
          </w:tcPr>
          <w:p>
            <w:pPr>
              <w:jc w:val="right"/>
              <w:ind w:right="220"/>
              <w:spacing w:after="0"/>
              <w:rPr>
                <w:sz w:val="20"/>
                <w:szCs w:val="20"/>
                <w:color w:val="auto"/>
              </w:rPr>
            </w:pPr>
            <w:r>
              <w:rPr>
                <w:rFonts w:ascii="Arial" w:cs="Arial" w:eastAsia="Arial" w:hAnsi="Arial"/>
                <w:sz w:val="15"/>
                <w:szCs w:val="15"/>
                <w:i w:val="1"/>
                <w:iCs w:val="1"/>
                <w:color w:val="auto"/>
                <w:w w:val="72"/>
              </w:rPr>
              <w:t>thousands)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2460" w:type="dxa"/>
            <w:vAlign w:val="bottom"/>
            <w:gridSpan w:val="2"/>
            <w:shd w:val="clear" w:color="auto" w:fill="CCEEFF"/>
          </w:tcPr>
          <w:p>
            <w:pPr>
              <w:jc w:val="right"/>
              <w:ind w:right="518"/>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6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-87.8%</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1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7"/>
                <w:szCs w:val="17"/>
                <w:color w:val="auto"/>
                <w:w w:val="90"/>
              </w:rPr>
              <w:t>(383)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7"/>
                <w:szCs w:val="17"/>
                <w:color w:val="auto"/>
                <w:w w:val="90"/>
              </w:rPr>
              <w:t>(339)</w:t>
            </w:r>
          </w:p>
        </w:tc>
        <w:tc>
          <w:tcPr>
            <w:tcW w:w="1260" w:type="dxa"/>
            <w:vAlign w:val="bottom"/>
            <w:gridSpan w:val="5"/>
          </w:tcPr>
          <w:p>
            <w:pPr>
              <w:jc w:val="right"/>
              <w:ind w:right="2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44"/>
        </w:trPr>
        <w:tc>
          <w:tcPr>
            <w:tcW w:w="580" w:type="dxa"/>
            <w:vAlign w:val="bottom"/>
          </w:tcPr>
          <w:p>
            <w:pPr>
              <w:spacing w:after="0"/>
              <w:rPr>
                <w:sz w:val="21"/>
                <w:szCs w:val="21"/>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Interest Income (expense), net</w:t>
            </w:r>
          </w:p>
        </w:tc>
        <w:tc>
          <w:tcPr>
            <w:tcW w:w="17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0"/>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-195.9%</w:t>
            </w:r>
          </w:p>
        </w:tc>
        <w:tc>
          <w:tcPr>
            <w:tcW w:w="0" w:type="dxa"/>
            <w:vAlign w:val="bottom"/>
          </w:tcPr>
          <w:p>
            <w:pPr>
              <w:spacing w:after="0"/>
              <w:rPr>
                <w:sz w:val="1"/>
                <w:szCs w:val="1"/>
                <w:color w:val="auto"/>
              </w:rPr>
            </w:pPr>
          </w:p>
        </w:tc>
      </w:tr>
      <w:tr>
        <w:trPr>
          <w:trHeight w:val="195"/>
        </w:trPr>
        <w:tc>
          <w:tcPr>
            <w:tcW w:w="580" w:type="dxa"/>
            <w:vAlign w:val="bottom"/>
            <w:vMerge w:val="restart"/>
          </w:tcPr>
          <w:p>
            <w:pPr>
              <w:spacing w:after="0"/>
              <w:rPr>
                <w:sz w:val="16"/>
                <w:szCs w:val="16"/>
                <w:color w:val="auto"/>
              </w:rPr>
            </w:pPr>
          </w:p>
        </w:tc>
        <w:tc>
          <w:tcPr>
            <w:tcW w:w="4800" w:type="dxa"/>
            <w:vAlign w:val="bottom"/>
            <w:gridSpan w:val="2"/>
          </w:tcPr>
          <w:p>
            <w:pPr>
              <w:spacing w:after="0"/>
              <w:rPr>
                <w:sz w:val="16"/>
                <w:szCs w:val="16"/>
                <w:color w:val="auto"/>
              </w:rPr>
            </w:pPr>
          </w:p>
        </w:tc>
        <w:tc>
          <w:tcPr>
            <w:tcW w:w="2460" w:type="dxa"/>
            <w:vAlign w:val="bottom"/>
            <w:gridSpan w:val="2"/>
          </w:tcPr>
          <w:p>
            <w:pPr>
              <w:spacing w:after="0"/>
              <w:rPr>
                <w:sz w:val="16"/>
                <w:szCs w:val="16"/>
                <w:color w:val="auto"/>
              </w:rPr>
            </w:pPr>
          </w:p>
        </w:tc>
        <w:tc>
          <w:tcPr>
            <w:tcW w:w="440" w:type="dxa"/>
            <w:vAlign w:val="bottom"/>
            <w:gridSpan w:val="3"/>
          </w:tcPr>
          <w:p>
            <w:pPr>
              <w:spacing w:after="0"/>
              <w:rPr>
                <w:sz w:val="16"/>
                <w:szCs w:val="16"/>
                <w:color w:val="auto"/>
              </w:rPr>
            </w:pPr>
          </w:p>
        </w:tc>
        <w:tc>
          <w:tcPr>
            <w:tcW w:w="6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 w:type="dxa"/>
            <w:vAlign w:val="bottom"/>
            <w:vMerge w:val="continue"/>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2460" w:type="dxa"/>
            <w:vAlign w:val="bottom"/>
            <w:gridSpan w:val="2"/>
            <w:shd w:val="clear" w:color="auto" w:fill="CCEEFF"/>
          </w:tcPr>
          <w:p>
            <w:pPr>
              <w:jc w:val="right"/>
              <w:ind w:right="518"/>
              <w:spacing w:after="0"/>
              <w:rPr>
                <w:sz w:val="20"/>
                <w:szCs w:val="20"/>
                <w:color w:val="auto"/>
              </w:rPr>
            </w:pPr>
            <w:r>
              <w:rPr>
                <w:rFonts w:ascii="Arial" w:cs="Arial" w:eastAsia="Arial" w:hAnsi="Arial"/>
                <w:sz w:val="17"/>
                <w:szCs w:val="17"/>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0"/>
              </w:rPr>
              <w:t>(428)</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6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-151.8%</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Interest income consists of interest earned on our cash and equivalents and restricted cash accounts, offset by interest expense incurred from outstanding short-term borrowings. We incurred $303,000 of interest expense, net in the six months ended June 30, 2021 as compared to $316,000 of net interest income in the corresponding period in 2020. This was a result of a lower balance of cash and equivalents and lower interest rates on these balances, offset by increased borrowings under short-term bank loans.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Other income, net primarily reflects (a) gains or losses recognized from the impact of exchange rates on our foreign currency-denominated working-capital transactions and (b) depreciation of assets acquired with government subsidies, as described under “—Government Research and Development Funding” above. Other income (expense), declined by $1.2 million in the six months ended June 30, 2021 as compared to Other income (expense) in the corresponding period in 2020, due primarily to a realized loss of $483,000 resulting from changes in the RMB-to-U.S. dollar exchange rate, compared to a realized gain of $490,000 in the prior year period.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Benefit (Expense)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components of income tax benefit (expense) for the indicated periods:</w:t>
      </w:r>
    </w:p>
    <w:p>
      <w:pPr>
        <w:spacing w:after="0" w:line="233" w:lineRule="exact"/>
        <w:rPr>
          <w:sz w:val="20"/>
          <w:szCs w:val="20"/>
          <w:color w:val="auto"/>
        </w:rPr>
      </w:pPr>
    </w:p>
    <w:p>
      <w:pPr>
        <w:jc w:val="center"/>
        <w:ind w:left="5760"/>
        <w:spacing w:after="0"/>
        <w:rPr>
          <w:sz w:val="20"/>
          <w:szCs w:val="20"/>
          <w:color w:val="auto"/>
        </w:rPr>
      </w:pPr>
      <w:r>
        <w:rPr>
          <w:rFonts w:ascii="Arial" w:cs="Arial" w:eastAsia="Arial" w:hAnsi="Arial"/>
          <w:sz w:val="17"/>
          <w:szCs w:val="17"/>
          <w:b w:val="1"/>
          <w:bCs w:val="1"/>
          <w:u w:val="single" w:color="auto"/>
          <w:color w:val="auto"/>
        </w:rPr>
        <w:t>Six Months Ended June 30,</w:t>
      </w:r>
    </w:p>
    <w:p>
      <w:pPr>
        <w:spacing w:after="0" w:line="34" w:lineRule="exact"/>
        <w:rPr>
          <w:sz w:val="20"/>
          <w:szCs w:val="20"/>
          <w:color w:val="auto"/>
        </w:rPr>
      </w:pPr>
    </w:p>
    <w:p>
      <w:pPr>
        <w:ind w:left="7800"/>
        <w:spacing w:after="0"/>
        <w:tabs>
          <w:tab w:leader="none" w:pos="884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15875</wp:posOffset>
            </wp:positionV>
            <wp:extent cx="124523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45235" cy="15875"/>
                    </a:xfrm>
                    <a:prstGeom prst="rect">
                      <a:avLst/>
                    </a:prstGeom>
                    <a:noFill/>
                  </pic:spPr>
                </pic:pic>
              </a:graphicData>
            </a:graphic>
          </wp:anchor>
        </w:drawing>
      </w:r>
    </w:p>
    <w:p>
      <w:pPr>
        <w:spacing w:after="0" w:line="18" w:lineRule="exact"/>
        <w:rPr>
          <w:sz w:val="20"/>
          <w:szCs w:val="20"/>
          <w:color w:val="auto"/>
        </w:rPr>
      </w:pPr>
    </w:p>
    <w:p>
      <w:pPr>
        <w:ind w:left="8020"/>
        <w:spacing w:after="0"/>
        <w:rPr>
          <w:sz w:val="20"/>
          <w:szCs w:val="20"/>
          <w:color w:val="auto"/>
        </w:rPr>
      </w:pPr>
      <w:r>
        <w:rPr>
          <w:rFonts w:ascii="Arial" w:cs="Arial" w:eastAsia="Arial" w:hAnsi="Arial"/>
          <w:sz w:val="17"/>
          <w:szCs w:val="17"/>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13335</wp:posOffset>
            </wp:positionV>
            <wp:extent cx="124523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45235" cy="15875"/>
                    </a:xfrm>
                    <a:prstGeom prst="rect">
                      <a:avLst/>
                    </a:prstGeom>
                    <a:noFill/>
                  </pic:spPr>
                </pic:pic>
              </a:graphicData>
            </a:graphic>
          </wp:anchor>
        </w:drawing>
      </w:r>
    </w:p>
    <w:p>
      <w:pPr>
        <w:spacing w:after="0" w:line="14" w:lineRule="exact"/>
        <w:rPr>
          <w:sz w:val="20"/>
          <w:szCs w:val="20"/>
          <w:color w:val="auto"/>
        </w:rPr>
      </w:pPr>
    </w:p>
    <w:p>
      <w:pPr>
        <w:ind w:left="1680"/>
        <w:spacing w:after="0"/>
        <w:tabs>
          <w:tab w:leader="none" w:pos="7500" w:val="left"/>
          <w:tab w:leader="none" w:pos="8020" w:val="left"/>
          <w:tab w:leader="none" w:pos="8580" w:val="left"/>
          <w:tab w:leader="none" w:pos="9020" w:val="left"/>
        </w:tabs>
        <w:rPr>
          <w:sz w:val="20"/>
          <w:szCs w:val="20"/>
          <w:color w:val="auto"/>
        </w:rPr>
      </w:pPr>
      <w:r>
        <w:rPr>
          <w:rFonts w:ascii="Arial" w:cs="Arial" w:eastAsia="Arial" w:hAnsi="Arial"/>
          <w:sz w:val="17"/>
          <w:szCs w:val="17"/>
          <w:color w:val="auto"/>
        </w:rPr>
        <w:t>Total income tax benefit (expense)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2,755</w:t>
        <w:tab/>
        <w:t>$</w:t>
      </w:r>
      <w:r>
        <w:rPr>
          <w:sz w:val="20"/>
          <w:szCs w:val="20"/>
          <w:color w:val="auto"/>
        </w:rPr>
        <w:tab/>
      </w:r>
      <w:r>
        <w:rPr>
          <w:rFonts w:ascii="Arial" w:cs="Arial" w:eastAsia="Arial" w:hAnsi="Arial"/>
          <w:sz w:val="15"/>
          <w:szCs w:val="15"/>
          <w:color w:val="auto"/>
        </w:rPr>
        <w:t>(2,163)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-115570</wp:posOffset>
            </wp:positionV>
            <wp:extent cx="4997450" cy="161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7450" cy="16192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recognized a tax benefit of $2.8 million for the six months ended June 30, 2021 as compared to a tax expense of $2.2 million for prior year period. The benefit in 2021 primarily resulted from tax deductions related to the exercise of stock options during the period, as compared to smaller deductions for the same item in the prior year period.</w:t>
      </w:r>
    </w:p>
    <w:p>
      <w:pPr>
        <w:spacing w:after="0" w:line="200" w:lineRule="exact"/>
        <w:rPr>
          <w:sz w:val="20"/>
          <w:szCs w:val="20"/>
          <w:color w:val="auto"/>
        </w:rPr>
      </w:pP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effective tax rate differs from statutory rates of 21% for U.S. federal income tax purposes and 12.5% to 25% for Chinese income tax purposes due to the treatment of stock-based compensation including the impact from stock option exercises and non-US research expenses. Our two PRC subsidiaries, ACM Shanghai and ACM Wuxi, are liable for PRC corporate income taxes at the rates of 12.5%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 In 2021, ACM Shanghai was certified as an eligible integrated circuit production enterprise and is entitled to a preferential income tax rate of 12.5% from January 1, 2020 to December 31, 2022.</w:t>
      </w:r>
    </w:p>
    <w:p>
      <w:pPr>
        <w:spacing w:after="0" w:line="200" w:lineRule="exact"/>
        <w:rPr>
          <w:sz w:val="20"/>
          <w:szCs w:val="20"/>
          <w:color w:val="auto"/>
        </w:rPr>
      </w:pP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2020.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gridSpan w:val="2"/>
          </w:tcPr>
          <w:p>
            <w:pPr>
              <w:spacing w:after="0"/>
              <w:rPr>
                <w:sz w:val="20"/>
                <w:szCs w:val="20"/>
                <w:color w:val="auto"/>
              </w:rPr>
            </w:pPr>
            <w:r>
              <w:rPr>
                <w:rFonts w:ascii="Arial" w:cs="Arial" w:eastAsia="Arial" w:hAnsi="Arial"/>
                <w:sz w:val="17"/>
                <w:szCs w:val="17"/>
                <w:i w:val="1"/>
                <w:iCs w:val="1"/>
                <w:color w:val="auto"/>
                <w:w w:val="95"/>
              </w:rPr>
              <w:t>Net Income Attributable to Non-Controlling Interests and Redeemable Non-Controlling Interests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9"/>
        </w:trPr>
        <w:tc>
          <w:tcPr>
            <w:tcW w:w="5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7"/>
                <w:szCs w:val="17"/>
                <w:b w:val="1"/>
                <w:bCs w:val="1"/>
                <w:color w:val="auto"/>
                <w:w w:val="89"/>
              </w:rPr>
              <w:t>Six Months Ended June 30,</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7"/>
        </w:trPr>
        <w:tc>
          <w:tcPr>
            <w:tcW w:w="58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160"/>
              <w:spacing w:after="0" w:line="187" w:lineRule="exact"/>
              <w:rPr>
                <w:sz w:val="20"/>
                <w:szCs w:val="20"/>
                <w:color w:val="auto"/>
              </w:rPr>
            </w:pPr>
            <w:r>
              <w:rPr>
                <w:rFonts w:ascii="Arial" w:cs="Arial" w:eastAsia="Arial" w:hAnsi="Arial"/>
                <w:sz w:val="17"/>
                <w:szCs w:val="17"/>
                <w:b w:val="1"/>
                <w:bCs w:val="1"/>
                <w:color w:val="auto"/>
                <w:w w:val="94"/>
              </w:rPr>
              <w:t>% Change</w:t>
            </w:r>
          </w:p>
        </w:tc>
      </w:tr>
      <w:tr>
        <w:trPr>
          <w:trHeight w:val="226"/>
        </w:trPr>
        <w:tc>
          <w:tcPr>
            <w:tcW w:w="58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2021 v 2020</w:t>
            </w:r>
          </w:p>
        </w:tc>
        <w:tc>
          <w:tcPr>
            <w:tcW w:w="140" w:type="dxa"/>
            <w:vAlign w:val="bottom"/>
          </w:tcPr>
          <w:p>
            <w:pPr>
              <w:spacing w:after="0"/>
              <w:rPr>
                <w:sz w:val="19"/>
                <w:szCs w:val="19"/>
                <w:color w:val="auto"/>
              </w:rPr>
            </w:pPr>
          </w:p>
        </w:tc>
      </w:tr>
      <w:tr>
        <w:trPr>
          <w:trHeight w:val="204"/>
        </w:trPr>
        <w:tc>
          <w:tcPr>
            <w:tcW w:w="58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135"/>
              <w:spacing w:after="0"/>
              <w:rPr>
                <w:sz w:val="20"/>
                <w:szCs w:val="20"/>
                <w:color w:val="auto"/>
              </w:rPr>
            </w:pPr>
            <w:r>
              <w:rPr>
                <w:rFonts w:ascii="Arial" w:cs="Arial" w:eastAsia="Arial" w:hAnsi="Arial"/>
                <w:sz w:val="17"/>
                <w:szCs w:val="17"/>
                <w:i w:val="1"/>
                <w:iCs w:val="1"/>
                <w:color w:val="auto"/>
              </w:rPr>
              <w:t>(in</w:t>
            </w:r>
          </w:p>
        </w:tc>
        <w:tc>
          <w:tcPr>
            <w:tcW w:w="1180" w:type="dxa"/>
            <w:vAlign w:val="bottom"/>
            <w:gridSpan w:val="3"/>
          </w:tcPr>
          <w:p>
            <w:pPr>
              <w:jc w:val="right"/>
              <w:ind w:right="535"/>
              <w:spacing w:after="0"/>
              <w:rPr>
                <w:sz w:val="20"/>
                <w:szCs w:val="20"/>
                <w:color w:val="auto"/>
              </w:rPr>
            </w:pPr>
            <w:r>
              <w:rPr>
                <w:rFonts w:ascii="Arial" w:cs="Arial" w:eastAsia="Arial" w:hAnsi="Arial"/>
                <w:sz w:val="15"/>
                <w:szCs w:val="15"/>
                <w:i w:val="1"/>
                <w:iCs w:val="1"/>
                <w:color w:val="auto"/>
                <w:w w:val="72"/>
              </w:rPr>
              <w:t>thousands)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non-controlling interests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34.0%</w:t>
            </w:r>
          </w:p>
        </w:tc>
      </w:tr>
    </w:tbl>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 described above under “—STAR Market Listing and IPO,” in 2019, ACM Shanghai sold a total number of shares representing 8.3% of its outstanding ACM Shanghai shares. ACM Research continues to hold the remaining 91.7% of ACM Shanghai’s outstanding shares. As a result, commencing with the three months ended September 30, 2019, we reflect, as net income attributable to non-controlling interests and redeemable non-controlling interests, the portion of our net income allocable to the minority holders of ACM Shanghai shares. In the six months ended June 30, 2021, this amount totaled $1.1 million as compared to $0.8 million in the corresponding period in 2020.</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the first six months of 2021, we funded our technology development and operations principally through our beginning cash balance and short-term borrowings by ACM Shanghai from local financial institutions.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We believe our existing cash and cash equivalents,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2020 ACM Shanghai, through its wholly owned subsidiary Shengwei Research (Shanghai), Inc., entered into a Grant Contract for State-owned Construction Land Use Right in Shanghai City (Category of R&amp;D Headquarters and Industrial Projects), or the Grant Agreement, with the China (Shanghai) Pilot Free Trade Zone Lin-gang Special Area Administration. Shengwei Research (Shanghai), Inc. obtained rights to use approximately 43,000 square meters (10.6 acres) of land in the Lingang Heavy Equipment Industrial Zone of Lin-gang Special Area of China (Shanghai) Pilot Free Trade Zone for a period of fifty years, commencing on the date of delivery of the land in July 2020, which we refer to as the Delivery Date.</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In exchange for its land use rights, Shengwei Research (Shanghai), Inc. paid aggregate grant fees of RMB 61.7 million ($9.5 million), and a performance deposit of</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RMB 12.3 million ($1.9 million), which is equal to 20% of the aggregate grant fees, to secure its achievement of the following performance milestones:</w:t>
      </w:r>
    </w:p>
    <w:p>
      <w:pPr>
        <w:spacing w:after="0" w:line="237" w:lineRule="exact"/>
        <w:rPr>
          <w:sz w:val="20"/>
          <w:szCs w:val="20"/>
          <w:color w:val="auto"/>
        </w:rPr>
      </w:pPr>
    </w:p>
    <w:p>
      <w:pPr>
        <w:ind w:left="620" w:hanging="313"/>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start of construction within 6 months after the Delivery Date (60% of the performance deposit);</w:t>
      </w:r>
    </w:p>
    <w:p>
      <w:pPr>
        <w:spacing w:after="0" w:line="19" w:lineRule="exact"/>
        <w:rPr>
          <w:rFonts w:ascii="Arial" w:cs="Arial" w:eastAsia="Arial" w:hAnsi="Arial"/>
          <w:sz w:val="17"/>
          <w:szCs w:val="17"/>
          <w:color w:val="auto"/>
        </w:rPr>
      </w:pPr>
    </w:p>
    <w:p>
      <w:pPr>
        <w:ind w:left="620" w:hanging="313"/>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completion of construction within 30 months after the Delivery Date (20% of the performance deposit); and</w:t>
      </w:r>
    </w:p>
    <w:p>
      <w:pPr>
        <w:spacing w:after="0" w:line="8" w:lineRule="exact"/>
        <w:rPr>
          <w:rFonts w:ascii="Arial" w:cs="Arial" w:eastAsia="Arial" w:hAnsi="Arial"/>
          <w:sz w:val="17"/>
          <w:szCs w:val="17"/>
          <w:color w:val="auto"/>
        </w:rPr>
      </w:pPr>
    </w:p>
    <w:p>
      <w:pPr>
        <w:ind w:left="620" w:hanging="313"/>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start of production within 42 months after the Delivery Date (20% of the performance deposit.</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Upon satisfaction of a milestone, the portion of the performance deposit attributable to that milestone will be repayable to Shengwei Research (Shanghai), Inc. within ten business days. If the achievement of any of the above milestones is delayed or abandoned, Shengwei Research (Shanghai), Inc. may be subject to additional penalties and may lose its rights to both the use of the granted land and any partially completed facilities on that land.</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Covenants in the Grant Agreement require that, among other things, Shengwei Research (Shanghai), Inc. will be required to pay liquidated damages in the event that</w:t>
      </w:r>
    </w:p>
    <w:p>
      <w:pPr>
        <w:spacing w:after="0" w:line="43" w:lineRule="exact"/>
        <w:rPr>
          <w:sz w:val="20"/>
          <w:szCs w:val="20"/>
          <w:color w:val="auto"/>
        </w:rPr>
      </w:pPr>
    </w:p>
    <w:p>
      <w:pPr>
        <w:jc w:val="both"/>
        <w:ind w:firstLine="2"/>
        <w:spacing w:after="0" w:line="298" w:lineRule="auto"/>
        <w:tabs>
          <w:tab w:leader="none" w:pos="235" w:val="left"/>
        </w:tabs>
        <w:numPr>
          <w:ilvl w:val="0"/>
          <w:numId w:val="22"/>
        </w:numPr>
        <w:rPr>
          <w:rFonts w:ascii="Arial" w:cs="Arial" w:eastAsia="Arial" w:hAnsi="Arial"/>
          <w:sz w:val="15"/>
          <w:szCs w:val="15"/>
          <w:color w:val="auto"/>
        </w:rPr>
      </w:pPr>
      <w:r>
        <w:rPr>
          <w:rFonts w:ascii="Arial" w:cs="Arial" w:eastAsia="Arial" w:hAnsi="Arial"/>
          <w:sz w:val="15"/>
          <w:szCs w:val="15"/>
          <w:color w:val="auto"/>
        </w:rPr>
        <w:t>it does not make a total investment (including the costs of construction, fixtures, equipment and grant fees) of at least RMB 450.0 million ($63.4 million) or (b) within six years after the Delivery Date, we do not (i) generate a minimum specified amount of annual sales of products manufactured on the granted land or (ii) pay to the PRC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Funds</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Cash Flow from Operating Activities. </w:t>
      </w:r>
      <w:r>
        <w:rPr>
          <w:rFonts w:ascii="Arial" w:cs="Arial" w:eastAsia="Arial" w:hAnsi="Arial"/>
          <w:sz w:val="16"/>
          <w:szCs w:val="16"/>
          <w:color w:val="auto"/>
        </w:rPr>
        <w:t>Our operations provided cash flow of $0.2 million in the first six months of 2021. Our cash flow from operating activities is</w:t>
      </w:r>
      <w:r>
        <w:rPr>
          <w:rFonts w:ascii="Arial" w:cs="Arial" w:eastAsia="Arial" w:hAnsi="Arial"/>
          <w:sz w:val="16"/>
          <w:szCs w:val="16"/>
          <w:i w:val="1"/>
          <w:iCs w:val="1"/>
          <w:color w:val="auto"/>
        </w:rPr>
        <w:t xml:space="preserve"> </w:t>
      </w:r>
      <w:r>
        <w:rPr>
          <w:rFonts w:ascii="Arial" w:cs="Arial" w:eastAsia="Arial" w:hAnsi="Arial"/>
          <w:sz w:val="16"/>
          <w:szCs w:val="16"/>
          <w:color w:val="auto"/>
        </w:rPr>
        <w:t>influenced by (a) the level of net income, (b) the amount of cash we invest in personnel and technology development to support anticipated future growth in our business, (c) increases in the number of customers using our products, and (d) the amount and timing of payments by customers.</w:t>
      </w:r>
    </w:p>
    <w:p>
      <w:pPr>
        <w:spacing w:after="0" w:line="1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Equity and Equity-related Securities. </w:t>
      </w:r>
      <w:r>
        <w:rPr>
          <w:rFonts w:ascii="Arial" w:cs="Arial" w:eastAsia="Arial" w:hAnsi="Arial"/>
          <w:sz w:val="16"/>
          <w:szCs w:val="16"/>
          <w:color w:val="auto"/>
        </w:rPr>
        <w:t>During the six months ended June 30, 2021, we received proceeds of $2.2 million from sales of Class A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option exercises, and we received proceeds of $1.8 million pursuant to a warrant exercise for shares of Class A common stock.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Short-Term and Long-Term Loan Facilities. </w:t>
      </w:r>
      <w:r>
        <w:rPr>
          <w:rFonts w:ascii="Arial" w:cs="Arial" w:eastAsia="Arial" w:hAnsi="Arial"/>
          <w:sz w:val="15"/>
          <w:szCs w:val="15"/>
          <w:color w:val="auto"/>
        </w:rPr>
        <w:t>We have short-term and long-term borrowings with five banks, as follows: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3"/>
              </w:rPr>
              <w:t>Annual</w:t>
            </w:r>
          </w:p>
        </w:tc>
        <w:tc>
          <w:tcPr>
            <w:tcW w:w="0" w:type="dxa"/>
            <w:vAlign w:val="bottom"/>
          </w:tcPr>
          <w:p>
            <w:pPr>
              <w:spacing w:after="0"/>
              <w:rPr>
                <w:sz w:val="1"/>
                <w:szCs w:val="1"/>
                <w:color w:val="auto"/>
              </w:rPr>
            </w:pPr>
          </w:p>
        </w:tc>
      </w:tr>
      <w:tr>
        <w:trPr>
          <w:trHeight w:val="226"/>
        </w:trPr>
        <w:tc>
          <w:tcPr>
            <w:tcW w:w="2360" w:type="dxa"/>
            <w:vAlign w:val="bottom"/>
            <w:tcBorders>
              <w:bottom w:val="single" w:sz="8" w:color="auto"/>
            </w:tcBorders>
          </w:tcPr>
          <w:p>
            <w:pPr>
              <w:ind w:left="940"/>
              <w:spacing w:after="0"/>
              <w:rPr>
                <w:sz w:val="20"/>
                <w:szCs w:val="20"/>
                <w:color w:val="auto"/>
              </w:rPr>
            </w:pPr>
            <w:r>
              <w:rPr>
                <w:rFonts w:ascii="Arial" w:cs="Arial" w:eastAsia="Arial" w:hAnsi="Arial"/>
                <w:sz w:val="17"/>
                <w:szCs w:val="17"/>
                <w:b w:val="1"/>
                <w:bCs w:val="1"/>
                <w:color w:val="auto"/>
              </w:rPr>
              <w:t>Lender</w:t>
            </w:r>
          </w:p>
        </w:tc>
        <w:tc>
          <w:tcPr>
            <w:tcW w:w="2140" w:type="dxa"/>
            <w:vAlign w:val="bottom"/>
            <w:tcBorders>
              <w:bottom w:val="single" w:sz="8" w:color="auto"/>
            </w:tcBorders>
          </w:tcPr>
          <w:p>
            <w:pPr>
              <w:ind w:left="660"/>
              <w:spacing w:after="0"/>
              <w:rPr>
                <w:sz w:val="20"/>
                <w:szCs w:val="20"/>
                <w:color w:val="auto"/>
              </w:rPr>
            </w:pPr>
            <w:r>
              <w:rPr>
                <w:rFonts w:ascii="Arial" w:cs="Arial" w:eastAsia="Arial" w:hAnsi="Arial"/>
                <w:sz w:val="17"/>
                <w:szCs w:val="17"/>
                <w:b w:val="1"/>
                <w:bCs w:val="1"/>
                <w:color w:val="auto"/>
              </w:rPr>
              <w:t>Agreement Date</w:t>
            </w:r>
          </w:p>
        </w:tc>
        <w:tc>
          <w:tcPr>
            <w:tcW w:w="2720" w:type="dxa"/>
            <w:vAlign w:val="bottom"/>
            <w:tcBorders>
              <w:bottom w:val="single" w:sz="8" w:color="auto"/>
            </w:tcBorders>
          </w:tcPr>
          <w:p>
            <w:pPr>
              <w:ind w:left="1000"/>
              <w:spacing w:after="0"/>
              <w:rPr>
                <w:sz w:val="20"/>
                <w:szCs w:val="20"/>
                <w:color w:val="auto"/>
              </w:rPr>
            </w:pPr>
            <w:r>
              <w:rPr>
                <w:rFonts w:ascii="Arial" w:cs="Arial" w:eastAsia="Arial" w:hAnsi="Arial"/>
                <w:sz w:val="17"/>
                <w:szCs w:val="17"/>
                <w:b w:val="1"/>
                <w:bCs w:val="1"/>
                <w:color w:val="auto"/>
              </w:rPr>
              <w:t>Maturity Date</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Interest Rate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360" w:type="dxa"/>
            <w:vAlign w:val="bottom"/>
          </w:tcPr>
          <w:p>
            <w:pPr>
              <w:spacing w:after="0"/>
              <w:rPr>
                <w:sz w:val="20"/>
                <w:szCs w:val="20"/>
                <w:color w:val="auto"/>
              </w:rPr>
            </w:pPr>
            <w:r>
              <w:rPr>
                <w:rFonts w:ascii="Arial" w:cs="Arial" w:eastAsia="Arial" w:hAnsi="Arial"/>
                <w:sz w:val="17"/>
                <w:szCs w:val="17"/>
                <w:color w:val="auto"/>
                <w:w w:val="91"/>
              </w:rPr>
              <w:t>Bank of Shanghai Pudong Branch</w:t>
            </w:r>
          </w:p>
        </w:tc>
        <w:tc>
          <w:tcPr>
            <w:tcW w:w="2140" w:type="dxa"/>
            <w:vAlign w:val="bottom"/>
          </w:tcPr>
          <w:p>
            <w:pPr>
              <w:ind w:left="40"/>
              <w:spacing w:after="0"/>
              <w:rPr>
                <w:sz w:val="20"/>
                <w:szCs w:val="20"/>
                <w:color w:val="auto"/>
              </w:rPr>
            </w:pPr>
            <w:r>
              <w:rPr>
                <w:rFonts w:ascii="Arial" w:cs="Arial" w:eastAsia="Arial" w:hAnsi="Arial"/>
                <w:sz w:val="17"/>
                <w:szCs w:val="17"/>
                <w:color w:val="auto"/>
              </w:rPr>
              <w:t>June 2021</w:t>
            </w:r>
          </w:p>
        </w:tc>
        <w:tc>
          <w:tcPr>
            <w:tcW w:w="2720" w:type="dxa"/>
            <w:vAlign w:val="bottom"/>
          </w:tcPr>
          <w:p>
            <w:pPr>
              <w:ind w:left="320"/>
              <w:spacing w:after="0"/>
              <w:rPr>
                <w:sz w:val="20"/>
                <w:szCs w:val="20"/>
                <w:color w:val="auto"/>
              </w:rPr>
            </w:pPr>
            <w:r>
              <w:rPr>
                <w:rFonts w:ascii="Arial" w:cs="Arial" w:eastAsia="Arial" w:hAnsi="Arial"/>
                <w:sz w:val="17"/>
                <w:szCs w:val="17"/>
                <w:color w:val="auto"/>
              </w:rPr>
              <w:t>June 2022</w:t>
            </w:r>
          </w:p>
        </w:tc>
        <w:tc>
          <w:tcPr>
            <w:tcW w:w="1400" w:type="dxa"/>
            <w:vAlign w:val="bottom"/>
            <w:gridSpan w:val="3"/>
          </w:tcPr>
          <w:p>
            <w:pPr>
              <w:jc w:val="right"/>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407"/>
        </w:trPr>
        <w:tc>
          <w:tcPr>
            <w:tcW w:w="2360" w:type="dxa"/>
            <w:vAlign w:val="bottom"/>
          </w:tcPr>
          <w:p>
            <w:pPr>
              <w:spacing w:after="0"/>
              <w:rPr>
                <w:sz w:val="20"/>
                <w:szCs w:val="20"/>
                <w:color w:val="auto"/>
              </w:rPr>
            </w:pPr>
            <w:r>
              <w:rPr>
                <w:rFonts w:ascii="Arial" w:cs="Arial" w:eastAsia="Arial" w:hAnsi="Arial"/>
                <w:sz w:val="17"/>
                <w:szCs w:val="17"/>
                <w:color w:val="auto"/>
              </w:rPr>
              <w:t>China Everbright Bank</w:t>
            </w:r>
          </w:p>
        </w:tc>
        <w:tc>
          <w:tcPr>
            <w:tcW w:w="2140" w:type="dxa"/>
            <w:vAlign w:val="bottom"/>
          </w:tcPr>
          <w:p>
            <w:pPr>
              <w:ind w:left="40"/>
              <w:spacing w:after="0"/>
              <w:rPr>
                <w:sz w:val="20"/>
                <w:szCs w:val="20"/>
                <w:color w:val="auto"/>
              </w:rPr>
            </w:pPr>
            <w:r>
              <w:rPr>
                <w:rFonts w:ascii="Arial" w:cs="Arial" w:eastAsia="Arial" w:hAnsi="Arial"/>
                <w:sz w:val="17"/>
                <w:szCs w:val="17"/>
                <w:color w:val="auto"/>
              </w:rPr>
              <w:t>April 2020</w:t>
            </w:r>
          </w:p>
        </w:tc>
        <w:tc>
          <w:tcPr>
            <w:tcW w:w="2720" w:type="dxa"/>
            <w:vAlign w:val="bottom"/>
          </w:tcPr>
          <w:p>
            <w:pPr>
              <w:ind w:left="320"/>
              <w:spacing w:after="0"/>
              <w:rPr>
                <w:sz w:val="20"/>
                <w:szCs w:val="20"/>
                <w:color w:val="auto"/>
              </w:rPr>
            </w:pPr>
            <w:r>
              <w:rPr>
                <w:rFonts w:ascii="Arial" w:cs="Arial" w:eastAsia="Arial" w:hAnsi="Arial"/>
                <w:sz w:val="17"/>
                <w:szCs w:val="17"/>
                <w:color w:val="auto"/>
              </w:rPr>
              <w:t>September 2021</w:t>
            </w:r>
          </w:p>
        </w:tc>
        <w:tc>
          <w:tcPr>
            <w:tcW w:w="1400" w:type="dxa"/>
            <w:vAlign w:val="bottom"/>
            <w:gridSpan w:val="3"/>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396"/>
        </w:trPr>
        <w:tc>
          <w:tcPr>
            <w:tcW w:w="2360" w:type="dxa"/>
            <w:vAlign w:val="bottom"/>
            <w:vMerge w:val="restart"/>
          </w:tcPr>
          <w:p>
            <w:pPr>
              <w:spacing w:after="0"/>
              <w:rPr>
                <w:sz w:val="20"/>
                <w:szCs w:val="20"/>
                <w:color w:val="auto"/>
              </w:rPr>
            </w:pPr>
            <w:r>
              <w:rPr>
                <w:rFonts w:ascii="Arial" w:cs="Arial" w:eastAsia="Arial" w:hAnsi="Arial"/>
                <w:sz w:val="17"/>
                <w:szCs w:val="17"/>
                <w:color w:val="auto"/>
              </w:rPr>
              <w:t>China Merchants Bank</w:t>
            </w:r>
          </w:p>
        </w:tc>
        <w:tc>
          <w:tcPr>
            <w:tcW w:w="2140" w:type="dxa"/>
            <w:vAlign w:val="bottom"/>
            <w:vMerge w:val="restart"/>
          </w:tcPr>
          <w:p>
            <w:pPr>
              <w:ind w:left="40"/>
              <w:spacing w:after="0"/>
              <w:rPr>
                <w:sz w:val="20"/>
                <w:szCs w:val="20"/>
                <w:color w:val="auto"/>
              </w:rPr>
            </w:pPr>
            <w:r>
              <w:rPr>
                <w:rFonts w:ascii="Arial" w:cs="Arial" w:eastAsia="Arial" w:hAnsi="Arial"/>
                <w:sz w:val="17"/>
                <w:szCs w:val="17"/>
                <w:color w:val="auto"/>
              </w:rPr>
              <w:t>August 2020</w:t>
            </w:r>
          </w:p>
        </w:tc>
        <w:tc>
          <w:tcPr>
            <w:tcW w:w="2720" w:type="dxa"/>
            <w:vAlign w:val="bottom"/>
          </w:tcPr>
          <w:p>
            <w:pPr>
              <w:ind w:left="320"/>
              <w:spacing w:after="0"/>
              <w:rPr>
                <w:sz w:val="20"/>
                <w:szCs w:val="20"/>
                <w:color w:val="auto"/>
              </w:rPr>
            </w:pPr>
            <w:r>
              <w:rPr>
                <w:rFonts w:ascii="Arial" w:cs="Arial" w:eastAsia="Arial" w:hAnsi="Arial"/>
                <w:sz w:val="17"/>
                <w:szCs w:val="17"/>
                <w:color w:val="auto"/>
              </w:rPr>
              <w:t>August 2021 -</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36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2720" w:type="dxa"/>
            <w:vAlign w:val="bottom"/>
            <w:vMerge w:val="restart"/>
          </w:tcPr>
          <w:p>
            <w:pPr>
              <w:ind w:left="320"/>
              <w:spacing w:after="0"/>
              <w:rPr>
                <w:sz w:val="20"/>
                <w:szCs w:val="20"/>
                <w:color w:val="auto"/>
              </w:rPr>
            </w:pPr>
            <w:r>
              <w:rPr>
                <w:rFonts w:ascii="Arial" w:cs="Arial" w:eastAsia="Arial" w:hAnsi="Arial"/>
                <w:sz w:val="17"/>
                <w:szCs w:val="17"/>
                <w:color w:val="auto"/>
              </w:rPr>
              <w:t>May 2022</w:t>
            </w:r>
          </w:p>
        </w:tc>
        <w:tc>
          <w:tcPr>
            <w:tcW w:w="1400" w:type="dxa"/>
            <w:vAlign w:val="bottom"/>
            <w:gridSpan w:val="3"/>
            <w:vMerge w:val="restart"/>
          </w:tcPr>
          <w:p>
            <w:pPr>
              <w:jc w:val="right"/>
              <w:spacing w:after="0"/>
              <w:rPr>
                <w:sz w:val="20"/>
                <w:szCs w:val="20"/>
                <w:color w:val="auto"/>
              </w:rPr>
            </w:pPr>
            <w:r>
              <w:rPr>
                <w:rFonts w:ascii="Arial" w:cs="Arial" w:eastAsia="Arial" w:hAnsi="Arial"/>
                <w:sz w:val="17"/>
                <w:szCs w:val="17"/>
                <w:color w:val="auto"/>
              </w:rPr>
              <w:t>3.85%-3.95%</w:t>
            </w:r>
          </w:p>
        </w:tc>
        <w:tc>
          <w:tcPr>
            <w:tcW w:w="0" w:type="dxa"/>
            <w:vAlign w:val="bottom"/>
          </w:tcPr>
          <w:p>
            <w:pPr>
              <w:spacing w:after="0"/>
              <w:rPr>
                <w:sz w:val="1"/>
                <w:szCs w:val="1"/>
                <w:color w:val="auto"/>
              </w:rPr>
            </w:pPr>
          </w:p>
        </w:tc>
      </w:tr>
      <w:tr>
        <w:trPr>
          <w:trHeight w:val="102"/>
        </w:trPr>
        <w:tc>
          <w:tcPr>
            <w:tcW w:w="23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720" w:type="dxa"/>
            <w:vAlign w:val="bottom"/>
            <w:vMerge w:val="continue"/>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7"/>
        </w:trPr>
        <w:tc>
          <w:tcPr>
            <w:tcW w:w="2360" w:type="dxa"/>
            <w:vAlign w:val="bottom"/>
          </w:tcPr>
          <w:p>
            <w:pPr>
              <w:spacing w:after="0"/>
              <w:rPr>
                <w:sz w:val="20"/>
                <w:szCs w:val="20"/>
                <w:color w:val="auto"/>
              </w:rPr>
            </w:pPr>
            <w:r>
              <w:rPr>
                <w:rFonts w:ascii="Arial" w:cs="Arial" w:eastAsia="Arial" w:hAnsi="Arial"/>
                <w:sz w:val="17"/>
                <w:szCs w:val="17"/>
                <w:color w:val="auto"/>
              </w:rPr>
              <w:t>Bank of China</w:t>
            </w:r>
          </w:p>
        </w:tc>
        <w:tc>
          <w:tcPr>
            <w:tcW w:w="2140" w:type="dxa"/>
            <w:vAlign w:val="bottom"/>
          </w:tcPr>
          <w:p>
            <w:pPr>
              <w:ind w:left="40"/>
              <w:spacing w:after="0"/>
              <w:rPr>
                <w:sz w:val="20"/>
                <w:szCs w:val="20"/>
                <w:color w:val="auto"/>
              </w:rPr>
            </w:pPr>
            <w:r>
              <w:rPr>
                <w:rFonts w:ascii="Arial" w:cs="Arial" w:eastAsia="Arial" w:hAnsi="Arial"/>
                <w:sz w:val="17"/>
                <w:szCs w:val="17"/>
                <w:color w:val="auto"/>
              </w:rPr>
              <w:t>June 2021</w:t>
            </w:r>
          </w:p>
        </w:tc>
        <w:tc>
          <w:tcPr>
            <w:tcW w:w="2720" w:type="dxa"/>
            <w:vAlign w:val="bottom"/>
          </w:tcPr>
          <w:p>
            <w:pPr>
              <w:ind w:left="320"/>
              <w:spacing w:after="0"/>
              <w:rPr>
                <w:sz w:val="20"/>
                <w:szCs w:val="20"/>
                <w:color w:val="auto"/>
              </w:rPr>
            </w:pPr>
            <w:r>
              <w:rPr>
                <w:rFonts w:ascii="Arial" w:cs="Arial" w:eastAsia="Arial" w:hAnsi="Arial"/>
                <w:sz w:val="17"/>
                <w:szCs w:val="17"/>
                <w:color w:val="auto"/>
              </w:rPr>
              <w:t>June 2022</w:t>
            </w:r>
          </w:p>
        </w:tc>
        <w:tc>
          <w:tcPr>
            <w:tcW w:w="1400" w:type="dxa"/>
            <w:vAlign w:val="bottom"/>
            <w:gridSpan w:val="3"/>
          </w:tcPr>
          <w:p>
            <w:pPr>
              <w:jc w:val="right"/>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396"/>
        </w:trPr>
        <w:tc>
          <w:tcPr>
            <w:tcW w:w="2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20" w:type="dxa"/>
            <w:vAlign w:val="bottom"/>
          </w:tcPr>
          <w:p>
            <w:pPr>
              <w:ind w:left="320"/>
              <w:spacing w:after="0"/>
              <w:rPr>
                <w:sz w:val="20"/>
                <w:szCs w:val="20"/>
                <w:color w:val="auto"/>
              </w:rPr>
            </w:pPr>
            <w:r>
              <w:rPr>
                <w:rFonts w:ascii="Arial" w:cs="Arial" w:eastAsia="Arial" w:hAnsi="Arial"/>
                <w:sz w:val="17"/>
                <w:szCs w:val="17"/>
                <w:color w:val="auto"/>
                <w:w w:val="91"/>
              </w:rPr>
              <w:t>Repayable by installments and the</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360" w:type="dxa"/>
            <w:vAlign w:val="bottom"/>
          </w:tcPr>
          <w:p>
            <w:pPr>
              <w:spacing w:after="0"/>
              <w:rPr>
                <w:sz w:val="20"/>
                <w:szCs w:val="20"/>
                <w:color w:val="auto"/>
              </w:rPr>
            </w:pPr>
            <w:r>
              <w:rPr>
                <w:rFonts w:ascii="Arial" w:cs="Arial" w:eastAsia="Arial" w:hAnsi="Arial"/>
                <w:sz w:val="17"/>
                <w:szCs w:val="17"/>
                <w:color w:val="auto"/>
              </w:rPr>
              <w:t>China Merchants Bank</w:t>
            </w:r>
          </w:p>
        </w:tc>
        <w:tc>
          <w:tcPr>
            <w:tcW w:w="2140" w:type="dxa"/>
            <w:vAlign w:val="bottom"/>
          </w:tcPr>
          <w:p>
            <w:pPr>
              <w:ind w:left="40"/>
              <w:spacing w:after="0"/>
              <w:rPr>
                <w:sz w:val="20"/>
                <w:szCs w:val="20"/>
                <w:color w:val="auto"/>
              </w:rPr>
            </w:pPr>
            <w:r>
              <w:rPr>
                <w:rFonts w:ascii="Arial" w:cs="Arial" w:eastAsia="Arial" w:hAnsi="Arial"/>
                <w:sz w:val="17"/>
                <w:szCs w:val="17"/>
                <w:color w:val="auto"/>
              </w:rPr>
              <w:t>November 2020</w:t>
            </w:r>
          </w:p>
        </w:tc>
        <w:tc>
          <w:tcPr>
            <w:tcW w:w="2720" w:type="dxa"/>
            <w:vAlign w:val="bottom"/>
          </w:tcPr>
          <w:p>
            <w:pPr>
              <w:ind w:left="320"/>
              <w:spacing w:after="0"/>
              <w:rPr>
                <w:sz w:val="20"/>
                <w:szCs w:val="20"/>
                <w:color w:val="auto"/>
              </w:rPr>
            </w:pPr>
            <w:r>
              <w:rPr>
                <w:rFonts w:ascii="Arial" w:cs="Arial" w:eastAsia="Arial" w:hAnsi="Arial"/>
                <w:sz w:val="17"/>
                <w:szCs w:val="17"/>
                <w:color w:val="auto"/>
              </w:rPr>
              <w:t>last installments repayable in</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720" w:type="dxa"/>
            <w:vAlign w:val="bottom"/>
          </w:tcPr>
          <w:p>
            <w:pPr>
              <w:ind w:left="320"/>
              <w:spacing w:after="0"/>
              <w:rPr>
                <w:sz w:val="20"/>
                <w:szCs w:val="20"/>
                <w:color w:val="auto"/>
              </w:rPr>
            </w:pPr>
            <w:r>
              <w:rPr>
                <w:rFonts w:ascii="Arial" w:cs="Arial" w:eastAsia="Arial" w:hAnsi="Arial"/>
                <w:sz w:val="17"/>
                <w:szCs w:val="17"/>
                <w:color w:val="auto"/>
              </w:rPr>
              <w:t>November 2030</w:t>
            </w:r>
          </w:p>
        </w:tc>
        <w:tc>
          <w:tcPr>
            <w:tcW w:w="1400" w:type="dxa"/>
            <w:vAlign w:val="bottom"/>
            <w:gridSpan w:val="3"/>
          </w:tcPr>
          <w:p>
            <w:pPr>
              <w:jc w:val="right"/>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396"/>
        </w:trPr>
        <w:tc>
          <w:tcPr>
            <w:tcW w:w="2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20" w:type="dxa"/>
            <w:vAlign w:val="bottom"/>
          </w:tcPr>
          <w:p>
            <w:pPr>
              <w:ind w:left="320"/>
              <w:spacing w:after="0"/>
              <w:rPr>
                <w:sz w:val="20"/>
                <w:szCs w:val="20"/>
                <w:color w:val="auto"/>
              </w:rPr>
            </w:pPr>
            <w:r>
              <w:rPr>
                <w:rFonts w:ascii="Arial" w:cs="Arial" w:eastAsia="Arial" w:hAnsi="Arial"/>
                <w:sz w:val="17"/>
                <w:szCs w:val="17"/>
                <w:color w:val="auto"/>
                <w:w w:val="91"/>
              </w:rPr>
              <w:t>Repayable by installments and the</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360" w:type="dxa"/>
            <w:vAlign w:val="bottom"/>
          </w:tcPr>
          <w:p>
            <w:pPr>
              <w:spacing w:after="0"/>
              <w:rPr>
                <w:sz w:val="20"/>
                <w:szCs w:val="20"/>
                <w:color w:val="auto"/>
              </w:rPr>
            </w:pPr>
            <w:r>
              <w:rPr>
                <w:rFonts w:ascii="Arial" w:cs="Arial" w:eastAsia="Arial" w:hAnsi="Arial"/>
                <w:sz w:val="17"/>
                <w:szCs w:val="17"/>
                <w:color w:val="auto"/>
              </w:rPr>
              <w:t>Bank of China</w:t>
            </w:r>
          </w:p>
        </w:tc>
        <w:tc>
          <w:tcPr>
            <w:tcW w:w="2140" w:type="dxa"/>
            <w:vAlign w:val="bottom"/>
          </w:tcPr>
          <w:p>
            <w:pPr>
              <w:ind w:left="40"/>
              <w:spacing w:after="0"/>
              <w:rPr>
                <w:sz w:val="20"/>
                <w:szCs w:val="20"/>
                <w:color w:val="auto"/>
              </w:rPr>
            </w:pPr>
            <w:r>
              <w:rPr>
                <w:rFonts w:ascii="Arial" w:cs="Arial" w:eastAsia="Arial" w:hAnsi="Arial"/>
                <w:sz w:val="17"/>
                <w:szCs w:val="17"/>
                <w:color w:val="auto"/>
              </w:rPr>
              <w:t>June 2021</w:t>
            </w:r>
          </w:p>
        </w:tc>
        <w:tc>
          <w:tcPr>
            <w:tcW w:w="2720" w:type="dxa"/>
            <w:vAlign w:val="bottom"/>
          </w:tcPr>
          <w:p>
            <w:pPr>
              <w:ind w:left="320"/>
              <w:spacing w:after="0"/>
              <w:rPr>
                <w:sz w:val="20"/>
                <w:szCs w:val="20"/>
                <w:color w:val="auto"/>
              </w:rPr>
            </w:pPr>
            <w:r>
              <w:rPr>
                <w:rFonts w:ascii="Arial" w:cs="Arial" w:eastAsia="Arial" w:hAnsi="Arial"/>
                <w:sz w:val="17"/>
                <w:szCs w:val="17"/>
                <w:color w:val="auto"/>
                <w:w w:val="91"/>
              </w:rPr>
              <w:t>last installments repayable in June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720" w:type="dxa"/>
            <w:vAlign w:val="bottom"/>
          </w:tcPr>
          <w:p>
            <w:pPr>
              <w:ind w:left="320"/>
              <w:spacing w:after="0"/>
              <w:rPr>
                <w:sz w:val="20"/>
                <w:szCs w:val="20"/>
                <w:color w:val="auto"/>
              </w:rPr>
            </w:pPr>
            <w:r>
              <w:rPr>
                <w:rFonts w:ascii="Arial" w:cs="Arial" w:eastAsia="Arial" w:hAnsi="Arial"/>
                <w:sz w:val="17"/>
                <w:szCs w:val="17"/>
                <w:color w:val="auto"/>
              </w:rPr>
              <w:t>2024</w:t>
            </w:r>
          </w:p>
        </w:tc>
        <w:tc>
          <w:tcPr>
            <w:tcW w:w="1400" w:type="dxa"/>
            <w:vAlign w:val="bottom"/>
            <w:gridSpan w:val="3"/>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407"/>
        </w:trPr>
        <w:tc>
          <w:tcPr>
            <w:tcW w:w="2360" w:type="dxa"/>
            <w:vAlign w:val="bottom"/>
          </w:tcPr>
          <w:p>
            <w:pPr>
              <w:spacing w:after="0"/>
              <w:rPr>
                <w:sz w:val="20"/>
                <w:szCs w:val="20"/>
                <w:color w:val="auto"/>
              </w:rPr>
            </w:pPr>
            <w:r>
              <w:rPr>
                <w:rFonts w:ascii="Arial" w:cs="Arial" w:eastAsia="Arial" w:hAnsi="Arial"/>
                <w:sz w:val="17"/>
                <w:szCs w:val="17"/>
                <w:color w:val="auto"/>
              </w:rPr>
              <w:t>Industrial Bank of Korea</w:t>
            </w:r>
          </w:p>
        </w:tc>
        <w:tc>
          <w:tcPr>
            <w:tcW w:w="2140" w:type="dxa"/>
            <w:vAlign w:val="bottom"/>
          </w:tcPr>
          <w:p>
            <w:pPr>
              <w:ind w:left="40"/>
              <w:spacing w:after="0"/>
              <w:rPr>
                <w:sz w:val="20"/>
                <w:szCs w:val="20"/>
                <w:color w:val="auto"/>
              </w:rPr>
            </w:pPr>
            <w:r>
              <w:rPr>
                <w:rFonts w:ascii="Arial" w:cs="Arial" w:eastAsia="Arial" w:hAnsi="Arial"/>
                <w:sz w:val="17"/>
                <w:szCs w:val="17"/>
                <w:color w:val="auto"/>
              </w:rPr>
              <w:t>July 2020</w:t>
            </w:r>
          </w:p>
        </w:tc>
        <w:tc>
          <w:tcPr>
            <w:tcW w:w="2720" w:type="dxa"/>
            <w:vAlign w:val="bottom"/>
          </w:tcPr>
          <w:p>
            <w:pPr>
              <w:ind w:left="320"/>
              <w:spacing w:after="0"/>
              <w:rPr>
                <w:sz w:val="20"/>
                <w:szCs w:val="20"/>
                <w:color w:val="auto"/>
              </w:rPr>
            </w:pPr>
            <w:r>
              <w:rPr>
                <w:rFonts w:ascii="Arial" w:cs="Arial" w:eastAsia="Arial" w:hAnsi="Arial"/>
                <w:sz w:val="17"/>
                <w:szCs w:val="17"/>
                <w:color w:val="auto"/>
              </w:rPr>
              <w:t>July 2021</w:t>
            </w:r>
          </w:p>
        </w:tc>
        <w:tc>
          <w:tcPr>
            <w:tcW w:w="1400" w:type="dxa"/>
            <w:vAlign w:val="bottom"/>
            <w:gridSpan w:val="3"/>
          </w:tcPr>
          <w:p>
            <w:pPr>
              <w:jc w:val="right"/>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-2327275</wp:posOffset>
            </wp:positionV>
            <wp:extent cx="7139940" cy="1295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-2068830</wp:posOffset>
            </wp:positionV>
            <wp:extent cx="7139940" cy="1295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-1810385</wp:posOffset>
            </wp:positionV>
            <wp:extent cx="7139940" cy="2584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9940" cy="2584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-1421765</wp:posOffset>
            </wp:positionV>
            <wp:extent cx="7139940" cy="1295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-1163320</wp:posOffset>
            </wp:positionV>
            <wp:extent cx="7139940" cy="387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9940" cy="387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-645795</wp:posOffset>
            </wp:positionV>
            <wp:extent cx="7139940" cy="387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9940" cy="387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-128270</wp:posOffset>
            </wp:positionV>
            <wp:extent cx="7139940" cy="1295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146050</wp:posOffset>
            </wp:positionV>
            <wp:extent cx="7139940" cy="161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9940" cy="161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17"/>
                <w:szCs w:val="1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Maximum</w:t>
            </w: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Amount</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89"/>
              </w:rPr>
              <w:t>Outstanding</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Borrowing</w:t>
            </w:r>
          </w:p>
        </w:tc>
        <w:tc>
          <w:tcPr>
            <w:tcW w:w="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88"/>
              </w:rPr>
              <w:t>at June 30,</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Amount(1)</w:t>
            </w:r>
          </w:p>
        </w:tc>
        <w:tc>
          <w:tcPr>
            <w:tcW w:w="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9"/>
              </w:rPr>
              <w:t>2021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1000" w:type="dxa"/>
            <w:vAlign w:val="bottom"/>
          </w:tcPr>
          <w:p>
            <w:pPr>
              <w:jc w:val="right"/>
              <w:ind w:right="115"/>
              <w:spacing w:after="0" w:line="191" w:lineRule="exact"/>
              <w:rPr>
                <w:sz w:val="20"/>
                <w:szCs w:val="20"/>
                <w:color w:val="auto"/>
              </w:rPr>
            </w:pPr>
            <w:r>
              <w:rPr>
                <w:rFonts w:ascii="Arial" w:cs="Arial" w:eastAsia="Arial" w:hAnsi="Arial"/>
                <w:sz w:val="17"/>
                <w:szCs w:val="17"/>
                <w:i w:val="1"/>
                <w:iCs w:val="1"/>
                <w:color w:val="auto"/>
              </w:rPr>
              <w:t>(in</w:t>
            </w:r>
          </w:p>
        </w:tc>
        <w:tc>
          <w:tcPr>
            <w:tcW w:w="1300" w:type="dxa"/>
            <w:vAlign w:val="bottom"/>
            <w:gridSpan w:val="3"/>
          </w:tcPr>
          <w:p>
            <w:pPr>
              <w:jc w:val="right"/>
              <w:ind w:right="635"/>
              <w:spacing w:after="0"/>
              <w:rPr>
                <w:sz w:val="20"/>
                <w:szCs w:val="20"/>
                <w:color w:val="auto"/>
              </w:rPr>
            </w:pPr>
            <w:r>
              <w:rPr>
                <w:rFonts w:ascii="Arial" w:cs="Arial" w:eastAsia="Arial" w:hAnsi="Arial"/>
                <w:sz w:val="16"/>
                <w:szCs w:val="16"/>
                <w:i w:val="1"/>
                <w:iCs w:val="1"/>
                <w:color w:val="auto"/>
                <w:w w:val="70"/>
              </w:rPr>
              <w:t>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RMB100,000</w:t>
            </w: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RMB29,829</w:t>
            </w:r>
          </w:p>
        </w:tc>
        <w:tc>
          <w:tcPr>
            <w:tcW w:w="0" w:type="dxa"/>
            <w:vAlign w:val="bottom"/>
          </w:tcPr>
          <w:p>
            <w:pPr>
              <w:spacing w:after="0"/>
              <w:rPr>
                <w:sz w:val="1"/>
                <w:szCs w:val="1"/>
                <w:color w:val="auto"/>
              </w:rPr>
            </w:pPr>
          </w:p>
        </w:tc>
      </w:tr>
      <w:tr>
        <w:trPr>
          <w:trHeight w:val="204"/>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15,480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4,618</w:t>
            </w: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RMB80,000</w:t>
            </w: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RMB18,439</w:t>
            </w:r>
          </w:p>
        </w:tc>
        <w:tc>
          <w:tcPr>
            <w:tcW w:w="0" w:type="dxa"/>
            <w:vAlign w:val="bottom"/>
          </w:tcPr>
          <w:p>
            <w:pPr>
              <w:spacing w:after="0"/>
              <w:rPr>
                <w:sz w:val="1"/>
                <w:szCs w:val="1"/>
                <w:color w:val="auto"/>
              </w:rPr>
            </w:pPr>
          </w:p>
        </w:tc>
      </w:tr>
      <w:tr>
        <w:trPr>
          <w:trHeight w:val="215"/>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12,384</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2,854</w:t>
            </w:r>
          </w:p>
        </w:tc>
        <w:tc>
          <w:tcPr>
            <w:tcW w:w="0" w:type="dxa"/>
            <w:vAlign w:val="bottom"/>
          </w:tcPr>
          <w:p>
            <w:pPr>
              <w:spacing w:after="0"/>
              <w:rPr>
                <w:sz w:val="1"/>
                <w:szCs w:val="1"/>
                <w:color w:val="auto"/>
              </w:rPr>
            </w:pPr>
          </w:p>
        </w:tc>
      </w:tr>
      <w:tr>
        <w:trPr>
          <w:trHeight w:val="396"/>
        </w:trPr>
        <w:tc>
          <w:tcPr>
            <w:tcW w:w="12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RMB80,000</w:t>
            </w:r>
          </w:p>
        </w:tc>
        <w:tc>
          <w:tcPr>
            <w:tcW w:w="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RMB75,000</w:t>
            </w:r>
          </w:p>
        </w:tc>
        <w:tc>
          <w:tcPr>
            <w:tcW w:w="0" w:type="dxa"/>
            <w:vAlign w:val="bottom"/>
          </w:tcPr>
          <w:p>
            <w:pPr>
              <w:spacing w:after="0"/>
              <w:rPr>
                <w:sz w:val="1"/>
                <w:szCs w:val="1"/>
                <w:color w:val="auto"/>
              </w:rPr>
            </w:pPr>
          </w:p>
        </w:tc>
      </w:tr>
      <w:tr>
        <w:trPr>
          <w:trHeight w:val="204"/>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12,384</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11,610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RMB40,000</w:t>
            </w: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RMB19,900</w:t>
            </w:r>
          </w:p>
        </w:tc>
        <w:tc>
          <w:tcPr>
            <w:tcW w:w="0" w:type="dxa"/>
            <w:vAlign w:val="bottom"/>
          </w:tcPr>
          <w:p>
            <w:pPr>
              <w:spacing w:after="0"/>
              <w:rPr>
                <w:sz w:val="1"/>
                <w:szCs w:val="1"/>
                <w:color w:val="auto"/>
              </w:rPr>
            </w:pPr>
          </w:p>
        </w:tc>
      </w:tr>
      <w:tr>
        <w:trPr>
          <w:trHeight w:val="215"/>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6,192</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3,080</w:t>
            </w:r>
          </w:p>
        </w:tc>
        <w:tc>
          <w:tcPr>
            <w:tcW w:w="0" w:type="dxa"/>
            <w:vAlign w:val="bottom"/>
          </w:tcPr>
          <w:p>
            <w:pPr>
              <w:spacing w:after="0"/>
              <w:rPr>
                <w:sz w:val="1"/>
                <w:szCs w:val="1"/>
                <w:color w:val="auto"/>
              </w:rPr>
            </w:pPr>
          </w:p>
        </w:tc>
      </w:tr>
      <w:tr>
        <w:trPr>
          <w:trHeight w:val="600"/>
        </w:trPr>
        <w:tc>
          <w:tcPr>
            <w:tcW w:w="12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RMB128,500</w:t>
            </w:r>
          </w:p>
        </w:tc>
        <w:tc>
          <w:tcPr>
            <w:tcW w:w="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RMB122,529</w:t>
            </w:r>
          </w:p>
        </w:tc>
        <w:tc>
          <w:tcPr>
            <w:tcW w:w="0" w:type="dxa"/>
            <w:vAlign w:val="bottom"/>
          </w:tcPr>
          <w:p>
            <w:pPr>
              <w:spacing w:after="0"/>
              <w:rPr>
                <w:sz w:val="1"/>
                <w:szCs w:val="1"/>
                <w:color w:val="auto"/>
              </w:rPr>
            </w:pPr>
          </w:p>
        </w:tc>
      </w:tr>
      <w:tr>
        <w:trPr>
          <w:trHeight w:val="215"/>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19,892</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18,968</w:t>
            </w:r>
          </w:p>
        </w:tc>
        <w:tc>
          <w:tcPr>
            <w:tcW w:w="0" w:type="dxa"/>
            <w:vAlign w:val="bottom"/>
          </w:tcPr>
          <w:p>
            <w:pPr>
              <w:spacing w:after="0"/>
              <w:rPr>
                <w:sz w:val="1"/>
                <w:szCs w:val="1"/>
                <w:color w:val="auto"/>
              </w:rPr>
            </w:pPr>
          </w:p>
        </w:tc>
      </w:tr>
      <w:tr>
        <w:trPr>
          <w:trHeight w:val="600"/>
        </w:trPr>
        <w:tc>
          <w:tcPr>
            <w:tcW w:w="12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RMB10,000</w:t>
            </w:r>
          </w:p>
        </w:tc>
        <w:tc>
          <w:tcPr>
            <w:tcW w:w="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RMB10,000</w:t>
            </w:r>
          </w:p>
        </w:tc>
        <w:tc>
          <w:tcPr>
            <w:tcW w:w="0" w:type="dxa"/>
            <w:vAlign w:val="bottom"/>
          </w:tcPr>
          <w:p>
            <w:pPr>
              <w:spacing w:after="0"/>
              <w:rPr>
                <w:sz w:val="1"/>
                <w:szCs w:val="1"/>
                <w:color w:val="auto"/>
              </w:rPr>
            </w:pPr>
          </w:p>
        </w:tc>
      </w:tr>
      <w:tr>
        <w:trPr>
          <w:trHeight w:val="204"/>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1,548</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1,548</w:t>
            </w: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KRW500,000</w:t>
            </w: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NIL</w:t>
            </w:r>
          </w:p>
        </w:tc>
        <w:tc>
          <w:tcPr>
            <w:tcW w:w="0" w:type="dxa"/>
            <w:vAlign w:val="bottom"/>
          </w:tcPr>
          <w:p>
            <w:pPr>
              <w:spacing w:after="0"/>
              <w:rPr>
                <w:sz w:val="1"/>
                <w:szCs w:val="1"/>
                <w:color w:val="auto"/>
              </w:rPr>
            </w:pPr>
          </w:p>
        </w:tc>
      </w:tr>
      <w:tr>
        <w:trPr>
          <w:trHeight w:val="222"/>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68,323</w:t>
            </w: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620" w:space="100"/>
            <w:col w:w="2520"/>
          </w:cols>
          <w:pgMar w:left="320" w:top="122" w:right="339" w:bottom="1440" w:gutter="0" w:footer="0" w:header="0"/>
          <w:type w:val="continuous"/>
        </w:sectPr>
      </w:pPr>
    </w:p>
    <w:p>
      <w:pPr>
        <w:spacing w:after="0" w:line="17" w:lineRule="exact"/>
        <w:rPr>
          <w:sz w:val="20"/>
          <w:szCs w:val="20"/>
          <w:color w:val="auto"/>
        </w:rPr>
      </w:pPr>
    </w:p>
    <w:p>
      <w:pPr>
        <w:jc w:val="both"/>
        <w:ind w:left="1080" w:hanging="620"/>
        <w:spacing w:after="0" w:line="303" w:lineRule="auto"/>
        <w:tabs>
          <w:tab w:leader="none" w:pos="1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Converted from RMB to dollars as of June 30, 2021. All of the amounts owing under the line of credit with China Everbright Bank are guaranteed by Dr. David Wang, our Chief Executive Officer, President and Chair of the Board. All of the amounts owing under the line of credit with Bank of Shanghai Pudong Branch are guaranteed by CleanChip Technologies LTD, a wholly owned subsidiary of ACM Shanghai. All of the amounts owing under the line of credit with Industrial Bank of Korea are guaranteed by YY Kim, Chief Executive Officer of ACM Research (Korea).</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i w:val="1"/>
          <w:iCs w:val="1"/>
          <w:color w:val="auto"/>
        </w:rPr>
        <w:t xml:space="preserve">Government Research and Development Grants. </w:t>
      </w:r>
      <w:r>
        <w:rPr>
          <w:rFonts w:ascii="Arial" w:cs="Arial" w:eastAsia="Arial" w:hAnsi="Arial"/>
          <w:sz w:val="15"/>
          <w:szCs w:val="15"/>
          <w:color w:val="auto"/>
        </w:rPr>
        <w:t>As described under “—Key Components of Results of Operations—PRC Government Research and Development</w:t>
      </w:r>
      <w:r>
        <w:rPr>
          <w:rFonts w:ascii="Arial" w:cs="Arial" w:eastAsia="Arial" w:hAnsi="Arial"/>
          <w:sz w:val="15"/>
          <w:szCs w:val="15"/>
          <w:i w:val="1"/>
          <w:iCs w:val="1"/>
          <w:color w:val="auto"/>
        </w:rPr>
        <w:t xml:space="preserve"> </w:t>
      </w:r>
      <w:r>
        <w:rPr>
          <w:rFonts w:ascii="Arial" w:cs="Arial" w:eastAsia="Arial" w:hAnsi="Arial"/>
          <w:sz w:val="15"/>
          <w:szCs w:val="15"/>
          <w:color w:val="auto"/>
        </w:rPr>
        <w:t>Funding,” ACM Shanghai has received research and development grants from local and central PRC governmental authorities. ACM Shanghai received cash payments of $0.6 million related to such grants in the first six months of 2021, as compared to received cash payments of $2.8 million in the same period of 2020. Not all grant amounts are received in the year in which a grant is awarded.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40" w:type="dxa"/>
            <w:vAlign w:val="bottom"/>
            <w:gridSpan w:val="2"/>
          </w:tcPr>
          <w:p>
            <w:pPr>
              <w:spacing w:after="0"/>
              <w:rPr>
                <w:sz w:val="20"/>
                <w:szCs w:val="20"/>
                <w:color w:val="auto"/>
              </w:rPr>
            </w:pPr>
            <w:r>
              <w:rPr>
                <w:rFonts w:ascii="Arial" w:cs="Arial" w:eastAsia="Arial" w:hAnsi="Arial"/>
                <w:sz w:val="17"/>
                <w:szCs w:val="17"/>
                <w:i w:val="1"/>
                <w:iCs w:val="1"/>
                <w:color w:val="auto"/>
              </w:rPr>
              <w:t xml:space="preserve">Working Capital. </w:t>
            </w:r>
            <w:r>
              <w:rPr>
                <w:rFonts w:ascii="Arial" w:cs="Arial" w:eastAsia="Arial" w:hAnsi="Arial"/>
                <w:sz w:val="17"/>
                <w:szCs w:val="17"/>
                <w:color w:val="auto"/>
              </w:rPr>
              <w:t>The following table sets forth selected working capital information: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9"/>
        </w:trPr>
        <w:tc>
          <w:tcPr>
            <w:tcW w:w="11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7"/>
                <w:szCs w:val="17"/>
                <w:b w:val="1"/>
                <w:bCs w:val="1"/>
                <w:color w:val="auto"/>
                <w:w w:val="88"/>
              </w:rPr>
              <w:t>June 30, 2021</w:t>
            </w:r>
          </w:p>
        </w:tc>
        <w:tc>
          <w:tcPr>
            <w:tcW w:w="80" w:type="dxa"/>
            <w:vAlign w:val="bottom"/>
          </w:tcPr>
          <w:p>
            <w:pPr>
              <w:spacing w:after="0"/>
              <w:rPr>
                <w:sz w:val="24"/>
                <w:szCs w:val="24"/>
                <w:color w:val="auto"/>
              </w:rPr>
            </w:pPr>
          </w:p>
        </w:tc>
      </w:tr>
      <w:tr>
        <w:trPr>
          <w:trHeight w:val="204"/>
        </w:trPr>
        <w:tc>
          <w:tcPr>
            <w:tcW w:w="114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7"/>
                <w:szCs w:val="17"/>
                <w:i w:val="1"/>
                <w:iCs w:val="1"/>
                <w:color w:val="auto"/>
                <w:w w:val="89"/>
              </w:rPr>
              <w:t>(in thousands)</w:t>
            </w:r>
          </w:p>
        </w:tc>
        <w:tc>
          <w:tcPr>
            <w:tcW w:w="80" w:type="dxa"/>
            <w:vAlign w:val="bottom"/>
          </w:tcPr>
          <w:p>
            <w:pPr>
              <w:spacing w:after="0"/>
              <w:rPr>
                <w:sz w:val="17"/>
                <w:szCs w:val="17"/>
                <w:color w:val="auto"/>
              </w:rPr>
            </w:pPr>
          </w:p>
        </w:tc>
      </w:tr>
      <w:tr>
        <w:trPr>
          <w:trHeight w:val="204"/>
        </w:trPr>
        <w:tc>
          <w:tcPr>
            <w:tcW w:w="114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70,209</w:t>
            </w:r>
          </w:p>
        </w:tc>
        <w:tc>
          <w:tcPr>
            <w:tcW w:w="80" w:type="dxa"/>
            <w:vAlign w:val="bottom"/>
            <w:shd w:val="clear" w:color="auto" w:fill="CCEEFF"/>
          </w:tcPr>
          <w:p>
            <w:pPr>
              <w:spacing w:after="0"/>
              <w:rPr>
                <w:sz w:val="17"/>
                <w:szCs w:val="17"/>
                <w:color w:val="auto"/>
              </w:rPr>
            </w:pPr>
          </w:p>
        </w:tc>
      </w:tr>
      <w:tr>
        <w:trPr>
          <w:trHeight w:val="204"/>
        </w:trPr>
        <w:tc>
          <w:tcPr>
            <w:tcW w:w="114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Accounts receivable, less allowance for doubtful amounts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71,357</w:t>
            </w:r>
          </w:p>
        </w:tc>
        <w:tc>
          <w:tcPr>
            <w:tcW w:w="80" w:type="dxa"/>
            <w:vAlign w:val="bottom"/>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Inventory</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136,852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4"/>
        </w:trPr>
        <w:tc>
          <w:tcPr>
            <w:tcW w:w="114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Working capital</w:t>
            </w: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278,418</w:t>
            </w:r>
          </w:p>
        </w:tc>
        <w:tc>
          <w:tcPr>
            <w:tcW w:w="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cash and cash equivalents at June 30, 2021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Uses of Funds</w:t>
      </w:r>
    </w:p>
    <w:p>
      <w:pPr>
        <w:spacing w:after="0" w:line="200" w:lineRule="exact"/>
        <w:rPr>
          <w:sz w:val="20"/>
          <w:szCs w:val="20"/>
          <w:color w:val="auto"/>
        </w:rPr>
      </w:pP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We incurred $2.8 million in capital expenditures during the six months ended June 30, 2021, versus $1.6 million in capital expenditures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of 2020. Capital expenditures in the six months ended June 30, 2021 were incurred principally for the addition of production capacity and general maintenance and improvements to our global facilities.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June 30, 2021, we did not have any significant off-balance sheet arrangements, as defined in Item 303(a)(4)(ii) of Regulation S-K of the Securities and Exchange Commission.</w:t>
      </w:r>
    </w:p>
    <w:p>
      <w:pPr>
        <w:spacing w:after="0" w:line="18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Risks</w:t>
      </w: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Our market risks and the ways we manage them are summarized in the section captioned “Part II, Item 7A. Quantitative and Qualitative Disclosures About Market Risk” in our Annual Report. There have been no material changes in the first six months of 2021 to our market risks or to our management of such risks.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37" w:lineRule="exact"/>
        <w:rPr>
          <w:sz w:val="20"/>
          <w:szCs w:val="20"/>
          <w:color w:val="auto"/>
        </w:rPr>
      </w:pPr>
    </w:p>
    <w:p>
      <w:pPr>
        <w:jc w:val="both"/>
        <w:spacing w:after="0" w:line="205" w:lineRule="exact"/>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company’s disclosure controls and procedures pursuant to Rule 13a-15 under the Securities Exchange Act of 1934, or the Exchange Act, as of December 31, 2020.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The effectiveness of the disclosure controls and procedures is also necessarily limited by the staff and other resources available to management and the geographic diversity of our company’s operations. As a result of the COVID-19 pandemic, beginning in 2020 we have faced additional challenges in operating and monitoring our disclosure controls and procedures as a result of employees working remotely and management travel being limited. In addition, we face potential heightened cybersecurity risks as our level of dependence on our IT networks and related systems increases, stemming from employees working remotely, and the number of malware campaigns and phishing attacks preying on the uncertainties surrounding the COVID</w:t>
      </w:r>
      <w:r>
        <w:rPr>
          <w:rFonts w:ascii="MS PGothic" w:cs="MS PGothic" w:eastAsia="MS PGothic" w:hAnsi="MS PGothic"/>
          <w:sz w:val="15"/>
          <w:szCs w:val="15"/>
          <w:color w:val="auto"/>
        </w:rPr>
        <w:t>‑</w:t>
      </w:r>
      <w:r>
        <w:rPr>
          <w:rFonts w:ascii="Arial" w:cs="Arial" w:eastAsia="Arial" w:hAnsi="Arial"/>
          <w:sz w:val="15"/>
          <w:szCs w:val="15"/>
          <w:color w:val="auto"/>
        </w:rPr>
        <w:t>19 pandemic increases.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Based on that evaluation, our Chief Executive Officer and Chief Financial Officer concluded that, as of June 30, 2021, our company’s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 and Remediation Efforts</w:t>
      </w:r>
    </w:p>
    <w:p>
      <w:pPr>
        <w:spacing w:after="0" w:line="23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There were no changes in our internal control over financial reporting during the three months ended June 30, 2021 that have materially affected, or are reasonably likely to materially affect, our internal control over financial reporting. We will continue to review and document our disclosure controls and procedures, including our internal control over financial reporting and may from time to time make changes to enhance their effectiveness and ensure that our systems evolve with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37"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 Class Action Lawsuit</w:t>
      </w:r>
    </w:p>
    <w:p>
      <w:pPr>
        <w:spacing w:after="0" w:line="2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On December 21, 2020, a putative class action lawsuit against our company and three of our executive officers was filed in the U.S. District Court for the Northern District of California under the caption </w:t>
      </w:r>
      <w:r>
        <w:rPr>
          <w:rFonts w:ascii="Arial" w:cs="Arial" w:eastAsia="Arial" w:hAnsi="Arial"/>
          <w:sz w:val="16"/>
          <w:szCs w:val="16"/>
          <w:i w:val="1"/>
          <w:iCs w:val="1"/>
          <w:color w:val="auto"/>
        </w:rPr>
        <w:t>Kain v. ACM Research, Inc., et al.</w:t>
      </w:r>
      <w:r>
        <w:rPr>
          <w:rFonts w:ascii="Arial" w:cs="Arial" w:eastAsia="Arial" w:hAnsi="Arial"/>
          <w:sz w:val="16"/>
          <w:szCs w:val="16"/>
          <w:color w:val="auto"/>
        </w:rPr>
        <w:t>, No. 3:20-cv-09241, which we refer to as the Securities Class Action. The complaint alleges claims under Sections 10(b) and 20(a) of the Securities Exchange Act of 1934 and Rule 10b-5 promulgated thereunder, and seeks monetary damages in an unspecified amount as well as costs and expenses incurred in the litigation. On April 15, 2021, the court appointed Mr. Kain as lead plaintiff, finding that no better suited candidates emerged during the statutory sixty-day period following public notice of the lawsuit. On May 27, 2021, defendants filed a motion to dismiss Mr. Kain’s complaint. Defendants’ motion to dismiss is fully briefed and currently scheduled to be heard by the court on September 9, 2021. Our management believes the claims are without merit and intend to vigorously defend this litigation. We are currently unable to predict the outcome of this lawsuit and therefore cannot determine the likelihood of loss nor estimate a range of possible loss.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From time to time we may become involved in other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Except as set forth below, there were no material changes to the risk factors discussed in “Item 1A, Risk Factors” of Part I in our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sell our tools to Chinese customers may be restricted by regulatory actions.</w:t>
      </w:r>
    </w:p>
    <w:p>
      <w:pPr>
        <w:spacing w:after="0" w:line="237" w:lineRule="exact"/>
        <w:rPr>
          <w:sz w:val="20"/>
          <w:szCs w:val="20"/>
          <w:color w:val="auto"/>
        </w:rPr>
      </w:pPr>
    </w:p>
    <w:p>
      <w:pPr>
        <w:jc w:val="both"/>
        <w:spacing w:after="0" w:line="206" w:lineRule="exact"/>
        <w:rPr>
          <w:sz w:val="20"/>
          <w:szCs w:val="20"/>
          <w:color w:val="auto"/>
        </w:rPr>
      </w:pPr>
      <w:r>
        <w:rPr>
          <w:rFonts w:ascii="Arial" w:cs="Arial" w:eastAsia="Arial" w:hAnsi="Arial"/>
          <w:sz w:val="17"/>
          <w:szCs w:val="17"/>
          <w:color w:val="auto"/>
        </w:rPr>
        <w:t>The Bureau of Industry and Security of the U.S. Department of Commerce, or BIS, recently has imposed, and is likely to continue to impose additional restrictions, including licensing requirements, under the Export Administration Regulations, or EAR, with respect to certain PRC companies that impact the supply to such companies of U.S. products and certain non</w:t>
      </w:r>
      <w:r>
        <w:rPr>
          <w:rFonts w:ascii="MS PGothic" w:cs="MS PGothic" w:eastAsia="MS PGothic" w:hAnsi="MS PGothic"/>
          <w:sz w:val="17"/>
          <w:szCs w:val="17"/>
          <w:color w:val="auto"/>
        </w:rPr>
        <w:t>‑</w:t>
      </w:r>
      <w:r>
        <w:rPr>
          <w:rFonts w:ascii="Arial" w:cs="Arial" w:eastAsia="Arial" w:hAnsi="Arial"/>
          <w:sz w:val="17"/>
          <w:szCs w:val="17"/>
          <w:color w:val="auto"/>
        </w:rPr>
        <w:t>U.S. products incorporating U.S. content or manufactured using certain U.S. technology or software and the sourcing of U.S. items by non-U.S. companies for use in manufacturing products for such companies. For example, over the last year BIS has added a number of PRC entities to the Entity List under the EAR, which means that any items subject to the EAR, including certain non-U.S. produced products with U.S. content, require a BIS license for supply to the listed entities.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Among other companies, Semiconductor Manufacturing International Corporation or SMIC, one of the largest chip manufacturers in the PRC and a customer of our semiconductor capital equipment tools, was added to the Entity List in December 2020. In July 2021 several members of Congress sent a letter to Commerce Secretary Raimondo urging her to add one of our customers, Yangtze Memory Technologies Co., Ltd., or YMTC to the Entity List under the EAR. YMTC is a leading PRC memory chip company and accounted, with its subsidiaries, for 26.8%, 27.5% and 39.6% of our revenue in 2020, 2019 and 2018, respectively. Challenges faced by SMIC and, if added to the Entity List, YMTC, as well as their key suppliers, as a result of listing could indirectly, but materially, impact SMIC’s and YMTC’s demand for our products.</w:t>
      </w:r>
    </w:p>
    <w:p>
      <w:pPr>
        <w:spacing w:after="0" w:line="206"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We cannot be certain what additional actions the U.S. government may take with respect to PRC entities, including changes to the Entity List restrictions, other export regulations, tariffs or other trade restrictions, or whether the PRC government may take any actions in response to U.S. government action that may adversely affect our ability to do business with our customers. Even in the absence of new restrictions, tariffs or trade actions imposed by the U.S. or PRC government, our PRC-based customers may take actions to reduce dependence on the supply of products subject to potential U.S. trade regulations, which could have a material adverse effect on our operating results. We are unable to predict the duration of the restrictions imposed by the U.S. government or of any additional governmental actions that may impact our PRC-based customers, any of which could have a long-term adverse effect on our business, operating results and financial condition.</w:t>
      </w:r>
    </w:p>
    <w:p>
      <w:pPr>
        <w:spacing w:after="0" w:line="180" w:lineRule="exact"/>
        <w:rPr>
          <w:sz w:val="20"/>
          <w:szCs w:val="20"/>
          <w:color w:val="auto"/>
        </w:rPr>
      </w:pPr>
    </w:p>
    <w:p>
      <w:pPr>
        <w:jc w:val="both"/>
        <w:spacing w:after="0" w:line="384" w:lineRule="auto"/>
        <w:rPr>
          <w:sz w:val="20"/>
          <w:szCs w:val="20"/>
          <w:color w:val="auto"/>
        </w:rPr>
      </w:pPr>
      <w:r>
        <w:rPr>
          <w:rFonts w:ascii="Arial" w:cs="Arial" w:eastAsia="Arial" w:hAnsi="Arial"/>
          <w:sz w:val="14"/>
          <w:szCs w:val="14"/>
          <w:b w:val="1"/>
          <w:bCs w:val="1"/>
          <w:i w:val="1"/>
          <w:iCs w:val="1"/>
          <w:color w:val="auto"/>
        </w:rPr>
        <w:t>We depend on a small number of customers for a substantial portion of our revenue, and the loss of, or a significant reduction in orders from, one of our major customers could have a material adverse effect on our revenue and operating results. There are also a limited number of potential customers for our products.</w:t>
      </w:r>
    </w:p>
    <w:p>
      <w:pPr>
        <w:spacing w:after="0" w:line="12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chip manufacturing industry is highly concentrated, and we derive most of our revenue from a limited number of customers. A total of three customers accounted for 75.8% of our revenue in 2020, 73.8% of our revenue in 2019 and 87.6% of our revenue in 2018.</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a consequence of the concentrated nature of our customer base, our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business practices of any of our key customers, including a significant delay or reduction in their purchases, may cause a significant decrease in our revenue, which we may not be able to recapture due to the limited number of potential customers.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We could be adversely affected if proposed legislation is adopted regarding improved access to audit and other information and audit inspections of accounting firms, including registered public accounting firms operating in the PRC such as our auditor, or if Nasdaq’s proposals requiring additional criteria to companies operating in “restrictive markets” become effective.</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BDO China, our independent registered public accounting firm, is not inspected by the U.S. Public Company Accounting Oversight Board, or PCAOB, as described in “Item 1A. Risk Factors—Regulatory Risks—Our auditor, as a registered public accounting firm operating in the PRC, is not permitted to be inspected by the Public Company Accounting Oversight Board, and consequently investors may be deprived of the benefits of such inspections.” in our Annual Report. We are one of 283 companies named in PCAOB’s list of “Public Companies that are Audit Clients of PCAOB-Registered Firms from Non-U.S. Jurisdictions where the PCAOB is Denied Access to Conduct Inspections.”</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On March 24, 2021, the U.S. Securities and Exchange Commission, or SEC, adopted interim final amendments to implement congressionally mandated submission and disclosure required of the U.S. Holding Foreign Companies Accountable Act. These interim final amendments will apply to registrants that the SEC identifies as having filed an annual report on Forms 10-K and other forms with an audit report issued by a registered public accounting firm that is located in a foreign jurisdiction and that the PCAOB has determined it is unable to inspect or investigate completely because of a position taken by an authority in that jurisdiction. The SEC will implement a process for identifying such a registrant and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 This action is the latest in a series of recent proposed actions:</w:t>
      </w:r>
    </w:p>
    <w:p>
      <w:pPr>
        <w:spacing w:after="0" w:line="181" w:lineRule="exact"/>
        <w:rPr>
          <w:sz w:val="20"/>
          <w:szCs w:val="20"/>
          <w:color w:val="auto"/>
        </w:rPr>
      </w:pPr>
    </w:p>
    <w:p>
      <w:pPr>
        <w:ind w:left="300" w:hanging="298"/>
        <w:spacing w:after="0" w:line="274" w:lineRule="auto"/>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December 2018 the SEC and the PCAOB issued a joint statement highlighting continued challenges faced by U.S. regulators in their oversight of financial statement audits of U.S.-listed reporting companies with significant operations in the PRC.</w:t>
      </w:r>
    </w:p>
    <w:p>
      <w:pPr>
        <w:spacing w:after="0" w:line="190" w:lineRule="exact"/>
        <w:rPr>
          <w:rFonts w:ascii="Arial" w:cs="Arial" w:eastAsia="Arial" w:hAnsi="Arial"/>
          <w:sz w:val="17"/>
          <w:szCs w:val="17"/>
          <w:color w:val="auto"/>
        </w:rPr>
      </w:pPr>
    </w:p>
    <w:p>
      <w:pPr>
        <w:jc w:val="both"/>
        <w:ind w:left="300" w:hanging="298"/>
        <w:spacing w:after="0" w:line="256" w:lineRule="auto"/>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June 2019 a bipartisan group of lawmakers introduced bills in both houses of the U.S. Congress that, if passed, would have required the SEC to maintain a list of foreign reporting companies for which the PCAOB is not able to inspect or investigate an auditor report issued by a foreign public accounting firm. The proposed Ensuring Quality Information and Transparency for Abroad-Based Listings on our Exchanges Act, also referred to as the EQUITABLE Act, would have prescribed increased disclosure requirements for these reporting companies and, beginning in 2025, provided for the delisting from U.S. stock exchanges of reporting companies included on the SEC’s list for three consecutive years.</w:t>
      </w:r>
    </w:p>
    <w:p>
      <w:pPr>
        <w:spacing w:after="0" w:line="205" w:lineRule="exact"/>
        <w:rPr>
          <w:rFonts w:ascii="Arial" w:cs="Arial" w:eastAsia="Arial" w:hAnsi="Arial"/>
          <w:sz w:val="17"/>
          <w:szCs w:val="17"/>
          <w:color w:val="auto"/>
        </w:rPr>
      </w:pPr>
    </w:p>
    <w:p>
      <w:pPr>
        <w:jc w:val="both"/>
        <w:ind w:left="300" w:hanging="298"/>
        <w:spacing w:after="0" w:line="293" w:lineRule="auto"/>
        <w:tabs>
          <w:tab w:leader="none" w:pos="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 May 2020 Nasdaq requested approval by the SEC of proposals that would impact companies with businesses principally administered in jurisdictions defined as “restrictive markets,” which likely would encompass the PRC. These proposals contemplate, among other things, the application of more stringent listing criteria if a listed company’s auditor does not demonstrate a PCAOB inspection record (as is the case with our auditor), employee expertise and training, or geographic or other resources sufficient to perform the company’s audit satisfactorily. Examples of more stringent criteria that Nasdaq could apply include requiring: (a) higher levels of equity, assets, earnings or liquidity than are otherwise needed; (b) that any public offering to be underwritten on a firm commitment basis (involving more due diligence by the underwriter); and (c) the imposition of lock-up restrictions on directors and officers to allow market mechanisms to determine an appropriate price for shares before the insiders could sell. Alternatively, Nasdaq could deny continued listing to a company.</w:t>
      </w:r>
    </w:p>
    <w:p>
      <w:pPr>
        <w:spacing w:after="0" w:line="181" w:lineRule="exact"/>
        <w:rPr>
          <w:rFonts w:ascii="Arial" w:cs="Arial" w:eastAsia="Arial" w:hAnsi="Arial"/>
          <w:sz w:val="15"/>
          <w:szCs w:val="15"/>
          <w:color w:val="auto"/>
        </w:rPr>
      </w:pPr>
    </w:p>
    <w:p>
      <w:pPr>
        <w:ind w:left="300" w:hanging="298"/>
        <w:spacing w:after="0" w:line="274" w:lineRule="auto"/>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April 2020 the SEC and the PCAOB issued a joint statement highlighting the significant disclosure, financial reporting and other risks associated with emerging market investments, including the PCAOB’s continued inability to inspect audit work papers of auditors in the PRC.</w:t>
      </w:r>
    </w:p>
    <w:p>
      <w:pPr>
        <w:spacing w:after="0" w:line="190" w:lineRule="exact"/>
        <w:rPr>
          <w:rFonts w:ascii="Arial" w:cs="Arial" w:eastAsia="Arial" w:hAnsi="Arial"/>
          <w:sz w:val="17"/>
          <w:szCs w:val="17"/>
          <w:color w:val="auto"/>
        </w:rPr>
      </w:pPr>
    </w:p>
    <w:p>
      <w:pPr>
        <w:jc w:val="both"/>
        <w:ind w:left="300" w:hanging="298"/>
        <w:spacing w:after="0" w:line="256" w:lineRule="auto"/>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Holding Foreign Companies Accountable Act, which became law in December 2020, includes requirements for the SEC to identify issuers whose audit work is performed by auditors that the PCAOB is unable to inspect or investigate completely because of a restriction imposed by a non-U.S. authority in the auditor’s local jurisdiction. The Holding Foreign Companies Accountable Act also requires that, to the extent that the PCAOB has been unable to inspect an issuer’s auditor for three consecutive years since 2021, the SEC shall prohibit its securities registered in the United States from being traded on any national securities exchange or over-the-counter market in the United States.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If we are unable to implement our strategy to expand our PRC operations by completing an initial public offering and listing on the STAR Market, our ability to strengthen our market position and operations in the PRC, including our ability to increase our revenues and augment our product line, could be materially impaired.</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June 2019 we announced plans to complete over the following three years the STAR Listing, which consists of a listing of shares of ACM Shanghai on the Shanghai Stock Exchange’s STAR Market, and the STAR IPO, which would be a concurrent initial public offering of ACM Shanghai shares in the PRC. ACM Shanghai is our principal operating company and, prior to the STAR Listing process, was a wholly owned subsidiary of ACM Research. Following the STAR Listing and the STAR IPO, ACM Shanghai will be a majority owned subsidiary of ACM Research. We may not be able to complete the STAR Listing and the STAR IPO for a number of reasons, many of which are outside our control. ACM Shanghai must succeed in obtaining PRC governmental approvals required to permit the STAR Listing and the STAR IPO, and one or more of those approvals may be denied, or significantly delayed, by the PRC regulators for reasons outside our control or unknown to us.</w:t>
      </w:r>
    </w:p>
    <w:p>
      <w:pPr>
        <w:spacing w:after="0" w:line="207" w:lineRule="exact"/>
        <w:rPr>
          <w:sz w:val="20"/>
          <w:szCs w:val="20"/>
          <w:color w:val="auto"/>
        </w:rPr>
      </w:pPr>
    </w:p>
    <w:p>
      <w:pPr>
        <w:jc w:val="both"/>
        <w:spacing w:after="0" w:line="206" w:lineRule="exact"/>
        <w:rPr>
          <w:sz w:val="20"/>
          <w:szCs w:val="20"/>
          <w:color w:val="auto"/>
        </w:rPr>
      </w:pPr>
      <w:r>
        <w:rPr>
          <w:rFonts w:ascii="Arial" w:cs="Arial" w:eastAsia="Arial" w:hAnsi="Arial"/>
          <w:sz w:val="17"/>
          <w:szCs w:val="17"/>
          <w:color w:val="auto"/>
        </w:rPr>
        <w:t>The PRC government has recently implemented new requirements for PRC-based companies looking to list their shares on public exchanges in the United States, which has negatively impacted the valuations of several PRC-based companies currently listed in the United States. It is unknown to us at this time whether these new requirements will impact our valuation or impair our ability to complete the STAR IPO. Similarly, the STAR Listing application may be denied or delayed by the Shanghai Stock Exchange in its discretion. See also “—Risks Related to the COVID-19 Outbreak—The COVID</w:t>
      </w:r>
      <w:r>
        <w:rPr>
          <w:rFonts w:ascii="MS PGothic" w:cs="MS PGothic" w:eastAsia="MS PGothic" w:hAnsi="MS PGothic"/>
          <w:sz w:val="17"/>
          <w:szCs w:val="17"/>
          <w:color w:val="auto"/>
        </w:rPr>
        <w:t>‑</w:t>
      </w:r>
      <w:r>
        <w:rPr>
          <w:rFonts w:ascii="Arial" w:cs="Arial" w:eastAsia="Arial" w:hAnsi="Arial"/>
          <w:sz w:val="17"/>
          <w:szCs w:val="17"/>
          <w:color w:val="auto"/>
        </w:rPr>
        <w:t>19 outbreak could negatively impact our currently planned projects and investments in the PRC, including the STAR IPO.”</w:t>
      </w:r>
    </w:p>
    <w:p>
      <w:pPr>
        <w:spacing w:after="0" w:line="222"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If we are unable to complete the STAR Listing and the STAR IPO, we may not otherwise be able to realize the advantages to our PRC operations contemplated by our business strategy, including improving our ability to market our products, building our brand in the PRC markets, assisting our sales efforts to new customers and encouraging additional purchases of our tools by existing customers. Because it may be more than three years before we know whether the STAR Listing and the STAR IPO will be completed, we may, in the interim, forego or postpone other alternative actions to strengthen our market position and operations in the PRC.</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PRC companies are critical to the global semiconductor industry, and our current business is substantially concentrated in the PRC market. Our inability to build, or any delay in growing, our PRC-based operations over the next three years would materially and adversely limit our operations and operating results, including our revenue growth. In addition, during that time, the process underlying the STAR Listing and the STAR IPO could result in significant diversion of management time as well as substantial out-of-pocket costs, which could further impair our ability to expand our business.</w:t>
      </w:r>
    </w:p>
    <w:p>
      <w:pPr>
        <w:spacing w:after="0" w:line="200"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the six months ended June 30, 2021, we issued, pursuant to the exercise of stock options at a per share exercise price of $0.75 per share, an aggregate of 109,152 shares of Class A common stock that were not registered under the Securities Act of 1933. We believe the offer and sale of those shares were exempt from registration under the Securities Act of 1933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the six months ended June 30, 2021, we issued, pursuant to the exercise of a warrant at a per share exercise price of $7.50, an aggregate of 242,681 shares of ACM Class A common stock that were not registered under the Securities Act of 1933. We believe the offer and sale of those shares were exempt from registration under the Securities Act of 1933 by virtue of Section 4(a)(2) thereof (or Regulation D promulgated thereunder) because they did not involve a public offering. The recipient of the shares acquired the securities for investment only and not with a view to or for sale in connection with any distribution thereof, and appropriate legends were recorded with respect to the shares.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filed as part of this report: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5"/>
              </w:rPr>
              <w:t>Exhibit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295"/>
              <w:spacing w:after="0"/>
              <w:rPr>
                <w:sz w:val="20"/>
                <w:szCs w:val="20"/>
                <w:color w:val="auto"/>
              </w:rPr>
            </w:pPr>
            <w:r>
              <w:rPr>
                <w:rFonts w:ascii="Arial" w:cs="Arial" w:eastAsia="Arial" w:hAnsi="Arial"/>
                <w:sz w:val="17"/>
                <w:szCs w:val="17"/>
                <w:b w:val="1"/>
                <w:bCs w:val="1"/>
                <w:color w:val="auto"/>
                <w:w w:val="94"/>
              </w:rPr>
              <w:t>No.</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2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ind w:left="50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60" w:type="dxa"/>
            <w:vAlign w:val="bottom"/>
            <w:tcBorders>
              <w:bottom w:val="single" w:sz="8" w:color="0000EE"/>
            </w:tcBorders>
            <w:shd w:val="clear" w:color="auto" w:fill="CCEEFF"/>
          </w:tcPr>
          <w:p>
            <w:pPr>
              <w:spacing w:after="0" w:line="166" w:lineRule="exact"/>
              <w:rPr>
                <w:rFonts w:ascii="Arial" w:cs="Arial" w:eastAsia="Arial" w:hAnsi="Arial"/>
                <w:sz w:val="17"/>
                <w:szCs w:val="17"/>
                <w:color w:val="0000EE"/>
                <w:w w:val="79"/>
                <w:shd w:val="clear" w:color="auto" w:fill="CCEEFF"/>
              </w:rPr>
            </w:pPr>
            <w:hyperlink w:anchor="page56">
              <w:r>
                <w:rPr>
                  <w:rFonts w:ascii="Arial" w:cs="Arial" w:eastAsia="Arial" w:hAnsi="Arial"/>
                  <w:sz w:val="17"/>
                  <w:szCs w:val="17"/>
                  <w:color w:val="0000EE"/>
                  <w:w w:val="79"/>
                  <w:shd w:val="clear" w:color="auto" w:fill="CCEEFF"/>
                </w:rPr>
                <w:t>31.</w:t>
              </w:r>
              <w:r>
                <w:rPr>
                  <w:rFonts w:ascii="Arial" w:cs="Arial" w:eastAsia="Arial" w:hAnsi="Arial"/>
                  <w:sz w:val="17"/>
                  <w:szCs w:val="17"/>
                  <w:u w:val="single" w:color="auto"/>
                  <w:color w:val="0000EE"/>
                  <w:w w:val="79"/>
                  <w:shd w:val="clear" w:color="auto" w:fill="CCEEFF"/>
                </w:rPr>
                <w:t>01</w:t>
              </w:r>
            </w:hyperlink>
          </w:p>
        </w:tc>
        <w:tc>
          <w:tcPr>
            <w:tcW w:w="8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880" w:type="dxa"/>
            <w:vAlign w:val="bottom"/>
            <w:tcBorders>
              <w:bottom w:val="single" w:sz="8" w:color="CCEEFF"/>
            </w:tcBorders>
            <w:gridSpan w:val="2"/>
            <w:shd w:val="clear" w:color="auto" w:fill="CCEEFF"/>
          </w:tcPr>
          <w:p>
            <w:pPr>
              <w:spacing w:after="0" w:line="166" w:lineRule="exact"/>
              <w:rPr>
                <w:sz w:val="20"/>
                <w:szCs w:val="20"/>
                <w:color w:val="auto"/>
              </w:rPr>
            </w:pPr>
            <w:r>
              <w:rPr>
                <w:rFonts w:ascii="Arial" w:cs="Arial" w:eastAsia="Arial" w:hAnsi="Arial"/>
                <w:sz w:val="17"/>
                <w:szCs w:val="17"/>
                <w:color w:val="auto"/>
                <w:w w:val="92"/>
                <w:shd w:val="clear" w:color="auto" w:fill="CCEEFF"/>
              </w:rPr>
              <w:t>Certification of Principal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w w:val="89"/>
                <w:shd w:val="clear" w:color="auto" w:fill="CCEEFF"/>
              </w:rPr>
              <w:t>Pursuant to Section 302 of the Sarbanes-Oxley Act of 2002</w:t>
            </w:r>
          </w:p>
        </w:tc>
        <w:tc>
          <w:tcPr>
            <w:tcW w:w="5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0" w:type="dxa"/>
            <w:vAlign w:val="bottom"/>
            <w:tcBorders>
              <w:bottom w:val="single" w:sz="8" w:color="0000EE"/>
            </w:tcBorders>
          </w:tcPr>
          <w:p>
            <w:pPr>
              <w:spacing w:after="0" w:line="166" w:lineRule="exact"/>
              <w:rPr>
                <w:rFonts w:ascii="Arial" w:cs="Arial" w:eastAsia="Arial" w:hAnsi="Arial"/>
                <w:sz w:val="17"/>
                <w:szCs w:val="17"/>
                <w:color w:val="0000EE"/>
                <w:w w:val="79"/>
              </w:rPr>
            </w:pPr>
            <w:hyperlink w:anchor="page57">
              <w:r>
                <w:rPr>
                  <w:rFonts w:ascii="Arial" w:cs="Arial" w:eastAsia="Arial" w:hAnsi="Arial"/>
                  <w:sz w:val="17"/>
                  <w:szCs w:val="17"/>
                  <w:color w:val="0000EE"/>
                  <w:w w:val="79"/>
                </w:rPr>
                <w:t>31.</w:t>
              </w:r>
              <w:r>
                <w:rPr>
                  <w:rFonts w:ascii="Arial" w:cs="Arial" w:eastAsia="Arial" w:hAnsi="Arial"/>
                  <w:sz w:val="17"/>
                  <w:szCs w:val="17"/>
                  <w:u w:val="single" w:color="auto"/>
                  <w:color w:val="0000EE"/>
                  <w:w w:val="79"/>
                </w:rPr>
                <w:t>02</w:t>
              </w:r>
            </w:hyperlink>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20" w:type="dxa"/>
            <w:vAlign w:val="bottom"/>
            <w:gridSpan w:val="3"/>
          </w:tcPr>
          <w:p>
            <w:pPr>
              <w:ind w:left="140"/>
              <w:spacing w:after="0" w:line="166" w:lineRule="exact"/>
              <w:rPr>
                <w:sz w:val="20"/>
                <w:szCs w:val="20"/>
                <w:color w:val="auto"/>
              </w:rPr>
            </w:pPr>
            <w:r>
              <w:rPr>
                <w:rFonts w:ascii="Arial" w:cs="Arial" w:eastAsia="Arial" w:hAnsi="Arial"/>
                <w:sz w:val="17"/>
                <w:szCs w:val="17"/>
                <w:color w:val="auto"/>
                <w:w w:val="93"/>
              </w:rPr>
              <w:t>Certification of Principal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20" w:type="dxa"/>
            <w:vAlign w:val="bottom"/>
            <w:gridSpan w:val="3"/>
          </w:tcPr>
          <w:p>
            <w:pPr>
              <w:ind w:left="140"/>
              <w:spacing w:after="0"/>
              <w:rPr>
                <w:sz w:val="20"/>
                <w:szCs w:val="20"/>
                <w:color w:val="auto"/>
              </w:rPr>
            </w:pPr>
            <w:r>
              <w:rPr>
                <w:rFonts w:ascii="Arial" w:cs="Arial" w:eastAsia="Arial" w:hAnsi="Arial"/>
                <w:sz w:val="17"/>
                <w:szCs w:val="17"/>
                <w:color w:val="auto"/>
              </w:rPr>
              <w:t>Pursuant to Section 302 of the Sarbanes-Oxley Act of 2002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0" w:type="dxa"/>
            <w:vAlign w:val="bottom"/>
            <w:tcBorders>
              <w:bottom w:val="single" w:sz="8" w:color="0000EE"/>
            </w:tcBorders>
            <w:shd w:val="clear" w:color="auto" w:fill="CCEEFF"/>
          </w:tcPr>
          <w:p>
            <w:pPr>
              <w:spacing w:after="0" w:line="167" w:lineRule="exact"/>
              <w:rPr>
                <w:rFonts w:ascii="Arial" w:cs="Arial" w:eastAsia="Arial" w:hAnsi="Arial"/>
                <w:sz w:val="17"/>
                <w:szCs w:val="17"/>
                <w:color w:val="0000EE"/>
                <w:w w:val="79"/>
                <w:shd w:val="clear" w:color="auto" w:fill="CCEEFF"/>
              </w:rPr>
            </w:pPr>
            <w:hyperlink w:anchor="page58">
              <w:r>
                <w:rPr>
                  <w:rFonts w:ascii="Arial" w:cs="Arial" w:eastAsia="Arial" w:hAnsi="Arial"/>
                  <w:sz w:val="17"/>
                  <w:szCs w:val="17"/>
                  <w:color w:val="0000EE"/>
                  <w:w w:val="79"/>
                  <w:shd w:val="clear" w:color="auto" w:fill="CCEEFF"/>
                </w:rPr>
                <w:t>32.</w:t>
              </w:r>
              <w:r>
                <w:rPr>
                  <w:rFonts w:ascii="Arial" w:cs="Arial" w:eastAsia="Arial" w:hAnsi="Arial"/>
                  <w:sz w:val="17"/>
                  <w:szCs w:val="17"/>
                  <w:u w:val="single" w:color="auto"/>
                  <w:color w:val="0000EE"/>
                  <w:w w:val="79"/>
                  <w:shd w:val="clear" w:color="auto" w:fill="CCEEFF"/>
                </w:rPr>
                <w:t>01</w:t>
              </w:r>
            </w:hyperlink>
          </w:p>
        </w:tc>
        <w:tc>
          <w:tcPr>
            <w:tcW w:w="8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880" w:type="dxa"/>
            <w:vAlign w:val="bottom"/>
            <w:tcBorders>
              <w:bottom w:val="single" w:sz="8" w:color="CCEEFF"/>
            </w:tcBorders>
            <w:gridSpan w:val="2"/>
            <w:shd w:val="clear" w:color="auto" w:fill="CCEEFF"/>
          </w:tcPr>
          <w:p>
            <w:pPr>
              <w:spacing w:after="0" w:line="167" w:lineRule="exact"/>
              <w:rPr>
                <w:sz w:val="20"/>
                <w:szCs w:val="20"/>
                <w:color w:val="auto"/>
              </w:rPr>
            </w:pPr>
            <w:r>
              <w:rPr>
                <w:rFonts w:ascii="Arial" w:cs="Arial" w:eastAsia="Arial" w:hAnsi="Arial"/>
                <w:sz w:val="17"/>
                <w:szCs w:val="17"/>
                <w:color w:val="auto"/>
                <w:w w:val="92"/>
                <w:shd w:val="clear" w:color="auto" w:fill="CCEEFF"/>
              </w:rPr>
              <w:t>Certification of Principal Executive Officer and Principal Financial Officer Pursuant to 18 U.S.C. Section 1350, as Adopted Pursuant to Section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shd w:val="clear" w:color="auto" w:fill="CCEEFF"/>
              </w:rPr>
              <w:t>906 of the Sarbanes-Oxley Act of 2002</w:t>
            </w:r>
          </w:p>
        </w:tc>
        <w:tc>
          <w:tcPr>
            <w:tcW w:w="5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gridSpan w:val="2"/>
          </w:tcPr>
          <w:p>
            <w:pPr>
              <w:spacing w:after="0" w:line="191" w:lineRule="exact"/>
              <w:rPr>
                <w:sz w:val="20"/>
                <w:szCs w:val="20"/>
                <w:color w:val="auto"/>
              </w:rPr>
            </w:pPr>
            <w:r>
              <w:rPr>
                <w:rFonts w:ascii="Arial" w:cs="Arial" w:eastAsia="Arial" w:hAnsi="Arial"/>
                <w:sz w:val="17"/>
                <w:szCs w:val="17"/>
                <w:color w:val="auto"/>
              </w:rPr>
              <w:t>101.INS</w:t>
            </w:r>
          </w:p>
        </w:tc>
        <w:tc>
          <w:tcPr>
            <w:tcW w:w="40" w:type="dxa"/>
            <w:vAlign w:val="bottom"/>
          </w:tcPr>
          <w:p>
            <w:pPr>
              <w:spacing w:after="0"/>
              <w:rPr>
                <w:sz w:val="16"/>
                <w:szCs w:val="16"/>
                <w:color w:val="auto"/>
              </w:rPr>
            </w:pPr>
          </w:p>
        </w:tc>
        <w:tc>
          <w:tcPr>
            <w:tcW w:w="10020" w:type="dxa"/>
            <w:vAlign w:val="bottom"/>
            <w:gridSpan w:val="3"/>
          </w:tcPr>
          <w:p>
            <w:pPr>
              <w:ind w:left="140"/>
              <w:spacing w:after="0" w:line="191" w:lineRule="exact"/>
              <w:rPr>
                <w:sz w:val="20"/>
                <w:szCs w:val="20"/>
                <w:color w:val="auto"/>
              </w:rPr>
            </w:pPr>
            <w:r>
              <w:rPr>
                <w:rFonts w:ascii="Arial" w:cs="Arial" w:eastAsia="Arial" w:hAnsi="Arial"/>
                <w:sz w:val="17"/>
                <w:szCs w:val="17"/>
                <w:color w:val="auto"/>
                <w:w w:val="90"/>
              </w:rPr>
              <w:t>Inline XBRL Instance Document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20" w:type="dxa"/>
            <w:vAlign w:val="bottom"/>
            <w:gridSpan w:val="3"/>
          </w:tcPr>
          <w:p>
            <w:pPr>
              <w:ind w:left="140"/>
              <w:spacing w:after="0"/>
              <w:rPr>
                <w:sz w:val="20"/>
                <w:szCs w:val="20"/>
                <w:color w:val="auto"/>
              </w:rPr>
            </w:pPr>
            <w:r>
              <w:rPr>
                <w:rFonts w:ascii="Arial" w:cs="Arial" w:eastAsia="Arial" w:hAnsi="Arial"/>
                <w:sz w:val="17"/>
                <w:szCs w:val="17"/>
                <w:color w:val="auto"/>
              </w:rPr>
              <w:t>the Inline XBRL document)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6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shd w:val="clear" w:color="auto" w:fill="CCEEFF"/>
              </w:rPr>
              <w:t>101.SCH</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2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w w:val="99"/>
                <w:shd w:val="clear" w:color="auto" w:fill="CCEEFF"/>
              </w:rPr>
              <w:t>Inline XBRL Taxonomy Extension Schema Document</w:t>
            </w:r>
          </w:p>
        </w:tc>
        <w:tc>
          <w:tcPr>
            <w:tcW w:w="5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101.CAL</w:t>
            </w:r>
          </w:p>
        </w:tc>
        <w:tc>
          <w:tcPr>
            <w:tcW w:w="40" w:type="dxa"/>
            <w:vAlign w:val="bottom"/>
          </w:tcPr>
          <w:p>
            <w:pPr>
              <w:spacing w:after="0"/>
              <w:rPr>
                <w:sz w:val="17"/>
                <w:szCs w:val="17"/>
                <w:color w:val="auto"/>
              </w:rPr>
            </w:pPr>
          </w:p>
        </w:tc>
        <w:tc>
          <w:tcPr>
            <w:tcW w:w="10020" w:type="dxa"/>
            <w:vAlign w:val="bottom"/>
            <w:gridSpan w:val="3"/>
          </w:tcPr>
          <w:p>
            <w:pPr>
              <w:ind w:left="140"/>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shd w:val="clear" w:color="auto" w:fill="CCEEFF"/>
              </w:rPr>
              <w:t>101.DEF</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8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shd w:val="clear" w:color="auto" w:fill="CCEEFF"/>
              </w:rPr>
              <w:t>Inline XBRL Taxonomy Extension Definition Linkbase Document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101.LAB</w:t>
            </w:r>
          </w:p>
        </w:tc>
        <w:tc>
          <w:tcPr>
            <w:tcW w:w="40" w:type="dxa"/>
            <w:vAlign w:val="bottom"/>
          </w:tcPr>
          <w:p>
            <w:pPr>
              <w:spacing w:after="0"/>
              <w:rPr>
                <w:sz w:val="17"/>
                <w:szCs w:val="17"/>
                <w:color w:val="auto"/>
              </w:rPr>
            </w:pPr>
          </w:p>
        </w:tc>
        <w:tc>
          <w:tcPr>
            <w:tcW w:w="10020" w:type="dxa"/>
            <w:vAlign w:val="bottom"/>
            <w:gridSpan w:val="3"/>
          </w:tcPr>
          <w:p>
            <w:pPr>
              <w:ind w:left="140"/>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shd w:val="clear" w:color="auto" w:fill="CCEEFF"/>
              </w:rPr>
              <w:t>101.PRE</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8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shd w:val="clear" w:color="auto" w:fill="CCEEFF"/>
              </w:rPr>
              <w:t>Inline XBRL Taxonomy Extension Presentation Linkbase Document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104</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20" w:type="dxa"/>
            <w:vAlign w:val="bottom"/>
            <w:gridSpan w:val="3"/>
          </w:tcPr>
          <w:p>
            <w:pPr>
              <w:ind w:left="14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460" w:hanging="458"/>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Unofficial English translation of original document prepared in Mandarin Chinese.</w:t>
      </w:r>
    </w:p>
    <w:p>
      <w:pPr>
        <w:spacing w:after="0" w:line="20" w:lineRule="exact"/>
        <w:rPr>
          <w:sz w:val="20"/>
          <w:szCs w:val="20"/>
          <w:color w:val="auto"/>
        </w:rPr>
      </w:pPr>
    </w:p>
    <w:p>
      <w:pPr>
        <w:ind w:left="460" w:hanging="458"/>
        <w:spacing w:after="0" w:line="250"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Certain annexes have been omitted pursuant to Item 601(a)(5) of Regulation S-K. A copy of any omitted exhibit will be furnished to the Securities Exchange Commission or its staff upon request.</w:t>
      </w:r>
    </w:p>
    <w:p>
      <w:pPr>
        <w:ind w:left="460" w:hanging="458"/>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Certain information redacted and replaced with “[***]”.</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w:t>
      </w:r>
    </w:p>
    <w:p>
      <w:pPr>
        <w:spacing w:after="0" w:line="200" w:lineRule="exact"/>
        <w:rPr>
          <w:sz w:val="20"/>
          <w:szCs w:val="20"/>
          <w:color w:val="auto"/>
        </w:rPr>
      </w:pPr>
    </w:p>
    <w:p>
      <w:pPr>
        <w:spacing w:after="0" w:line="271" w:lineRule="exact"/>
        <w:rPr>
          <w:sz w:val="20"/>
          <w:szCs w:val="20"/>
          <w:color w:val="auto"/>
        </w:rPr>
      </w:pPr>
    </w:p>
    <w:p>
      <w:pPr>
        <w:ind w:firstLine="611"/>
        <w:spacing w:after="0" w:line="27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00" w:type="dxa"/>
            <w:vAlign w:val="bottom"/>
          </w:tcPr>
          <w:p>
            <w:pPr>
              <w:spacing w:after="0"/>
              <w:rPr>
                <w:sz w:val="17"/>
                <w:szCs w:val="17"/>
                <w:color w:val="auto"/>
              </w:rPr>
            </w:pPr>
          </w:p>
        </w:tc>
        <w:tc>
          <w:tcPr>
            <w:tcW w:w="7740" w:type="dxa"/>
            <w:vAlign w:val="bottom"/>
            <w:gridSpan w:val="3"/>
          </w:tcPr>
          <w:p>
            <w:pPr>
              <w:ind w:left="2140"/>
              <w:spacing w:after="0"/>
              <w:rPr>
                <w:sz w:val="20"/>
                <w:szCs w:val="20"/>
                <w:color w:val="auto"/>
              </w:rPr>
            </w:pPr>
            <w:r>
              <w:rPr>
                <w:rFonts w:ascii="Arial" w:cs="Arial" w:eastAsia="Arial" w:hAnsi="Arial"/>
                <w:sz w:val="17"/>
                <w:szCs w:val="17"/>
                <w:color w:val="auto"/>
              </w:rPr>
              <w:t>ACM RESEARCH, INC.</w:t>
            </w:r>
          </w:p>
        </w:tc>
      </w:tr>
      <w:tr>
        <w:trPr>
          <w:trHeight w:val="222"/>
        </w:trPr>
        <w:tc>
          <w:tcPr>
            <w:tcW w:w="3500" w:type="dxa"/>
            <w:vAlign w:val="bottom"/>
          </w:tcPr>
          <w:p>
            <w:pPr>
              <w:spacing w:after="0"/>
              <w:rPr>
                <w:sz w:val="20"/>
                <w:szCs w:val="20"/>
                <w:color w:val="auto"/>
              </w:rPr>
            </w:pPr>
            <w:r>
              <w:rPr>
                <w:rFonts w:ascii="Arial" w:cs="Arial" w:eastAsia="Arial" w:hAnsi="Arial"/>
                <w:sz w:val="17"/>
                <w:szCs w:val="17"/>
                <w:color w:val="auto"/>
              </w:rPr>
              <w:t>Date: August 6, 2021</w:t>
            </w:r>
          </w:p>
        </w:tc>
        <w:tc>
          <w:tcPr>
            <w:tcW w:w="7740" w:type="dxa"/>
            <w:vAlign w:val="bottom"/>
            <w:gridSpan w:val="3"/>
          </w:tcPr>
          <w:p>
            <w:pPr>
              <w:ind w:left="2140"/>
              <w:spacing w:after="0"/>
              <w:rPr>
                <w:sz w:val="20"/>
                <w:szCs w:val="20"/>
                <w:color w:val="auto"/>
              </w:rPr>
            </w:pPr>
            <w:r>
              <w:rPr>
                <w:rFonts w:ascii="Arial" w:cs="Arial" w:eastAsia="Arial" w:hAnsi="Arial"/>
                <w:sz w:val="17"/>
                <w:szCs w:val="17"/>
                <w:color w:val="auto"/>
              </w:rPr>
              <w:t>By:   /s/ Mark McKechnie</w:t>
            </w:r>
          </w:p>
        </w:tc>
      </w:tr>
      <w:tr>
        <w:trPr>
          <w:trHeight w:val="191"/>
        </w:trPr>
        <w:tc>
          <w:tcPr>
            <w:tcW w:w="35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Mark McKechnie</w:t>
            </w:r>
          </w:p>
        </w:tc>
        <w:tc>
          <w:tcPr>
            <w:tcW w:w="1620" w:type="dxa"/>
            <w:vAlign w:val="bottom"/>
          </w:tcPr>
          <w:p>
            <w:pPr>
              <w:spacing w:after="0"/>
              <w:rPr>
                <w:sz w:val="16"/>
                <w:szCs w:val="16"/>
                <w:color w:val="auto"/>
              </w:rPr>
            </w:pPr>
          </w:p>
        </w:tc>
      </w:tr>
      <w:tr>
        <w:trPr>
          <w:trHeight w:val="204"/>
        </w:trPr>
        <w:tc>
          <w:tcPr>
            <w:tcW w:w="35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7"/>
                <w:szCs w:val="17"/>
                <w:color w:val="auto"/>
              </w:rPr>
              <w:t>Chief Financial Officer, Executive Vice President and Treasurer</w:t>
            </w:r>
          </w:p>
        </w:tc>
      </w:tr>
      <w:tr>
        <w:trPr>
          <w:trHeight w:val="215"/>
        </w:trPr>
        <w:tc>
          <w:tcPr>
            <w:tcW w:w="35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7"/>
                <w:szCs w:val="17"/>
                <w:i w:val="1"/>
                <w:iCs w:val="1"/>
                <w:color w:val="auto"/>
              </w:rPr>
              <w:t>(Principal Financial Officer)</w:t>
            </w:r>
          </w:p>
        </w:tc>
      </w:tr>
      <w:tr>
        <w:trPr>
          <w:trHeight w:val="843"/>
        </w:trPr>
        <w:tc>
          <w:tcPr>
            <w:tcW w:w="3500" w:type="dxa"/>
            <w:vAlign w:val="bottom"/>
          </w:tcPr>
          <w:p>
            <w:pPr>
              <w:spacing w:after="0"/>
              <w:rPr>
                <w:sz w:val="24"/>
                <w:szCs w:val="24"/>
                <w:color w:val="auto"/>
              </w:rPr>
            </w:pPr>
          </w:p>
        </w:tc>
        <w:tc>
          <w:tcPr>
            <w:tcW w:w="2600" w:type="dxa"/>
            <w:vAlign w:val="bottom"/>
          </w:tcPr>
          <w:p>
            <w:pPr>
              <w:jc w:val="right"/>
              <w:ind w:right="321"/>
              <w:spacing w:after="0"/>
              <w:rPr>
                <w:sz w:val="20"/>
                <w:szCs w:val="20"/>
                <w:color w:val="auto"/>
              </w:rPr>
            </w:pPr>
            <w:r>
              <w:rPr>
                <w:rFonts w:ascii="Arial" w:cs="Arial" w:eastAsia="Arial" w:hAnsi="Arial"/>
                <w:sz w:val="14"/>
                <w:szCs w:val="14"/>
                <w:color w:val="auto"/>
              </w:rPr>
              <w:t>55</w:t>
            </w:r>
          </w:p>
        </w:tc>
        <w:tc>
          <w:tcPr>
            <w:tcW w:w="35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67"/>
        </w:trPr>
        <w:tc>
          <w:tcPr>
            <w:tcW w:w="350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31.01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OFFICER PURSUANT TO SECTION 302 OF THE SARBANES-OXLEY ACT OF 2002</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David H. Wang, certify that:</w:t>
      </w:r>
    </w:p>
    <w:p>
      <w:pPr>
        <w:spacing w:after="0" w:line="237" w:lineRule="exact"/>
        <w:rPr>
          <w:sz w:val="20"/>
          <w:szCs w:val="20"/>
          <w:color w:val="auto"/>
        </w:rPr>
      </w:pPr>
    </w:p>
    <w:p>
      <w:pPr>
        <w:ind w:left="180" w:hanging="178"/>
        <w:spacing w:after="0"/>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ACM Research, Inc.</w:t>
      </w:r>
    </w:p>
    <w:p>
      <w:pPr>
        <w:spacing w:after="0" w:line="237" w:lineRule="exact"/>
        <w:rPr>
          <w:rFonts w:ascii="Arial" w:cs="Arial" w:eastAsia="Arial" w:hAnsi="Arial"/>
          <w:sz w:val="17"/>
          <w:szCs w:val="17"/>
          <w:color w:val="auto"/>
        </w:rPr>
      </w:pPr>
    </w:p>
    <w:p>
      <w:pPr>
        <w:ind w:right="440" w:firstLine="2"/>
        <w:spacing w:after="0" w:line="342" w:lineRule="auto"/>
        <w:tabs>
          <w:tab w:leader="none" w:pos="17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5" w:lineRule="exact"/>
        <w:rPr>
          <w:rFonts w:ascii="Arial" w:cs="Arial" w:eastAsia="Arial" w:hAnsi="Arial"/>
          <w:sz w:val="15"/>
          <w:szCs w:val="15"/>
          <w:color w:val="auto"/>
        </w:rPr>
      </w:pPr>
    </w:p>
    <w:p>
      <w:pPr>
        <w:ind w:right="520" w:firstLine="2"/>
        <w:spacing w:after="0" w:line="274" w:lineRule="auto"/>
        <w:tabs>
          <w:tab w:leader="none" w:pos="17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firstLine="2"/>
        <w:spacing w:after="0" w:line="342" w:lineRule="auto"/>
        <w:tabs>
          <w:tab w:leader="none" w:pos="17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70" w:lineRule="exact"/>
        <w:rPr>
          <w:rFonts w:ascii="Arial" w:cs="Arial" w:eastAsia="Arial" w:hAnsi="Arial"/>
          <w:sz w:val="15"/>
          <w:szCs w:val="15"/>
          <w:color w:val="auto"/>
        </w:rPr>
      </w:pPr>
    </w:p>
    <w:p>
      <w:pPr>
        <w:ind w:left="620" w:right="20" w:hanging="7"/>
        <w:spacing w:after="0" w:line="262" w:lineRule="auto"/>
        <w:tabs>
          <w:tab w:leader="none" w:pos="859"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5" w:lineRule="exact"/>
        <w:rPr>
          <w:rFonts w:ascii="Arial" w:cs="Arial" w:eastAsia="Arial" w:hAnsi="Arial"/>
          <w:sz w:val="17"/>
          <w:szCs w:val="17"/>
          <w:color w:val="auto"/>
        </w:rPr>
      </w:pPr>
    </w:p>
    <w:p>
      <w:pPr>
        <w:jc w:val="both"/>
        <w:ind w:left="620" w:right="120" w:hanging="7"/>
        <w:spacing w:after="0" w:line="262" w:lineRule="auto"/>
        <w:tabs>
          <w:tab w:leader="none" w:pos="869"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Arial" w:cs="Arial" w:eastAsia="Arial" w:hAnsi="Arial"/>
          <w:sz w:val="17"/>
          <w:szCs w:val="17"/>
          <w:color w:val="auto"/>
        </w:rPr>
      </w:pPr>
    </w:p>
    <w:p>
      <w:pPr>
        <w:ind w:left="620" w:hanging="7"/>
        <w:spacing w:after="0" w:line="274" w:lineRule="auto"/>
        <w:tabs>
          <w:tab w:leader="none" w:pos="859"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Arial" w:cs="Arial" w:eastAsia="Arial" w:hAnsi="Arial"/>
          <w:sz w:val="17"/>
          <w:szCs w:val="17"/>
          <w:color w:val="auto"/>
        </w:rPr>
      </w:pPr>
    </w:p>
    <w:p>
      <w:pPr>
        <w:jc w:val="both"/>
        <w:ind w:left="620" w:hanging="7"/>
        <w:spacing w:after="0" w:line="262" w:lineRule="auto"/>
        <w:tabs>
          <w:tab w:leader="none" w:pos="881"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5" w:lineRule="exact"/>
        <w:rPr>
          <w:rFonts w:ascii="Arial" w:cs="Arial" w:eastAsia="Arial" w:hAnsi="Arial"/>
          <w:sz w:val="17"/>
          <w:szCs w:val="17"/>
          <w:color w:val="auto"/>
        </w:rPr>
      </w:pPr>
    </w:p>
    <w:p>
      <w:pPr>
        <w:ind w:right="280" w:firstLine="2"/>
        <w:spacing w:after="0" w:line="274" w:lineRule="auto"/>
        <w:tabs>
          <w:tab w:leader="none" w:pos="17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Arial" w:cs="Arial" w:eastAsia="Arial" w:hAnsi="Arial"/>
          <w:sz w:val="17"/>
          <w:szCs w:val="17"/>
          <w:color w:val="auto"/>
        </w:rPr>
      </w:pPr>
    </w:p>
    <w:p>
      <w:pPr>
        <w:ind w:left="620" w:right="100" w:hanging="7"/>
        <w:spacing w:after="0" w:line="274" w:lineRule="auto"/>
        <w:tabs>
          <w:tab w:leader="none" w:pos="859"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Arial" w:cs="Arial" w:eastAsia="Arial" w:hAnsi="Arial"/>
          <w:sz w:val="17"/>
          <w:szCs w:val="17"/>
          <w:color w:val="auto"/>
        </w:rPr>
      </w:pPr>
    </w:p>
    <w:p>
      <w:pPr>
        <w:ind w:left="620" w:hanging="7"/>
        <w:spacing w:after="0" w:line="274" w:lineRule="auto"/>
        <w:tabs>
          <w:tab w:leader="none" w:pos="881"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5620" w:val="left"/>
        </w:tabs>
        <w:rPr>
          <w:sz w:val="20"/>
          <w:szCs w:val="20"/>
          <w:color w:val="auto"/>
        </w:rPr>
      </w:pPr>
      <w:r>
        <w:rPr>
          <w:rFonts w:ascii="Arial" w:cs="Arial" w:eastAsia="Arial" w:hAnsi="Arial"/>
          <w:sz w:val="17"/>
          <w:szCs w:val="17"/>
          <w:color w:val="auto"/>
        </w:rPr>
        <w:t>Date: August 6, 2021</w:t>
      </w:r>
      <w:r>
        <w:rPr>
          <w:sz w:val="20"/>
          <w:szCs w:val="20"/>
          <w:color w:val="auto"/>
        </w:rPr>
        <w:tab/>
      </w:r>
      <w:r>
        <w:rPr>
          <w:rFonts w:ascii="Arial" w:cs="Arial" w:eastAsia="Arial" w:hAnsi="Arial"/>
          <w:sz w:val="15"/>
          <w:szCs w:val="15"/>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20955</wp:posOffset>
            </wp:positionV>
            <wp:extent cx="356616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66160" cy="1587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David H. Wang</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Executive Officer and President</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361950</wp:posOffset>
            </wp:positionV>
            <wp:extent cx="713994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6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31.02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Mark McKechnie, certify that:</w:t>
      </w:r>
    </w:p>
    <w:p>
      <w:pPr>
        <w:spacing w:after="0" w:line="237" w:lineRule="exact"/>
        <w:rPr>
          <w:sz w:val="20"/>
          <w:szCs w:val="20"/>
          <w:color w:val="auto"/>
        </w:rPr>
      </w:pPr>
    </w:p>
    <w:p>
      <w:pPr>
        <w:ind w:left="180" w:hanging="178"/>
        <w:spacing w:after="0"/>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ACM Research, Inc.</w:t>
      </w:r>
    </w:p>
    <w:p>
      <w:pPr>
        <w:spacing w:after="0" w:line="262" w:lineRule="exact"/>
        <w:rPr>
          <w:rFonts w:ascii="Arial" w:cs="Arial" w:eastAsia="Arial" w:hAnsi="Arial"/>
          <w:sz w:val="17"/>
          <w:szCs w:val="17"/>
          <w:color w:val="auto"/>
        </w:rPr>
      </w:pPr>
    </w:p>
    <w:p>
      <w:pPr>
        <w:ind w:right="380" w:firstLine="2"/>
        <w:spacing w:after="0" w:line="342" w:lineRule="auto"/>
        <w:tabs>
          <w:tab w:leader="none" w:pos="229"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0" w:lineRule="exact"/>
        <w:rPr>
          <w:rFonts w:ascii="Arial" w:cs="Arial" w:eastAsia="Arial" w:hAnsi="Arial"/>
          <w:sz w:val="15"/>
          <w:szCs w:val="15"/>
          <w:color w:val="auto"/>
        </w:rPr>
      </w:pPr>
    </w:p>
    <w:p>
      <w:pPr>
        <w:ind w:right="520" w:firstLine="2"/>
        <w:spacing w:after="0" w:line="274" w:lineRule="auto"/>
        <w:tabs>
          <w:tab w:leader="none" w:pos="17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Arial" w:cs="Arial" w:eastAsia="Arial" w:hAnsi="Arial"/>
          <w:sz w:val="17"/>
          <w:szCs w:val="17"/>
          <w:color w:val="auto"/>
        </w:rPr>
      </w:pPr>
    </w:p>
    <w:p>
      <w:pPr>
        <w:ind w:firstLine="2"/>
        <w:spacing w:after="0" w:line="342" w:lineRule="auto"/>
        <w:tabs>
          <w:tab w:leader="none" w:pos="178"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70" w:lineRule="exact"/>
        <w:rPr>
          <w:rFonts w:ascii="Arial" w:cs="Arial" w:eastAsia="Arial" w:hAnsi="Arial"/>
          <w:sz w:val="15"/>
          <w:szCs w:val="15"/>
          <w:color w:val="auto"/>
        </w:rPr>
      </w:pPr>
    </w:p>
    <w:p>
      <w:pPr>
        <w:ind w:left="620" w:right="20" w:hanging="7"/>
        <w:spacing w:after="0" w:line="262" w:lineRule="auto"/>
        <w:tabs>
          <w:tab w:leader="none" w:pos="859"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jc w:val="both"/>
        <w:ind w:left="620" w:right="120" w:hanging="7"/>
        <w:spacing w:after="0" w:line="262" w:lineRule="auto"/>
        <w:tabs>
          <w:tab w:leader="none" w:pos="8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Arial" w:cs="Arial" w:eastAsia="Arial" w:hAnsi="Arial"/>
          <w:sz w:val="17"/>
          <w:szCs w:val="17"/>
          <w:color w:val="auto"/>
        </w:rPr>
      </w:pPr>
    </w:p>
    <w:p>
      <w:pPr>
        <w:ind w:left="620" w:hanging="7"/>
        <w:spacing w:after="0" w:line="274" w:lineRule="auto"/>
        <w:tabs>
          <w:tab w:leader="none" w:pos="859"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Arial" w:cs="Arial" w:eastAsia="Arial" w:hAnsi="Arial"/>
          <w:sz w:val="17"/>
          <w:szCs w:val="17"/>
          <w:color w:val="auto"/>
        </w:rPr>
      </w:pPr>
    </w:p>
    <w:p>
      <w:pPr>
        <w:jc w:val="both"/>
        <w:ind w:left="620" w:hanging="7"/>
        <w:spacing w:after="0" w:line="262" w:lineRule="auto"/>
        <w:tabs>
          <w:tab w:leader="none" w:pos="881"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5" w:lineRule="exact"/>
        <w:rPr>
          <w:rFonts w:ascii="Arial" w:cs="Arial" w:eastAsia="Arial" w:hAnsi="Arial"/>
          <w:sz w:val="17"/>
          <w:szCs w:val="17"/>
          <w:color w:val="auto"/>
        </w:rPr>
      </w:pPr>
    </w:p>
    <w:p>
      <w:pPr>
        <w:ind w:right="280" w:firstLine="2"/>
        <w:spacing w:after="0" w:line="274" w:lineRule="auto"/>
        <w:tabs>
          <w:tab w:leader="none" w:pos="17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15" w:lineRule="exact"/>
        <w:rPr>
          <w:rFonts w:ascii="Arial" w:cs="Arial" w:eastAsia="Arial" w:hAnsi="Arial"/>
          <w:sz w:val="17"/>
          <w:szCs w:val="17"/>
          <w:color w:val="auto"/>
        </w:rPr>
      </w:pPr>
    </w:p>
    <w:p>
      <w:pPr>
        <w:ind w:left="620" w:right="100" w:hanging="7"/>
        <w:spacing w:after="0" w:line="274" w:lineRule="auto"/>
        <w:tabs>
          <w:tab w:leader="none" w:pos="859"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Arial" w:cs="Arial" w:eastAsia="Arial" w:hAnsi="Arial"/>
          <w:sz w:val="17"/>
          <w:szCs w:val="17"/>
          <w:color w:val="auto"/>
        </w:rPr>
      </w:pPr>
    </w:p>
    <w:p>
      <w:pPr>
        <w:ind w:left="620" w:hanging="7"/>
        <w:spacing w:after="0" w:line="274" w:lineRule="auto"/>
        <w:tabs>
          <w:tab w:leader="none" w:pos="881"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5620" w:val="left"/>
        </w:tabs>
        <w:rPr>
          <w:sz w:val="20"/>
          <w:szCs w:val="20"/>
          <w:color w:val="auto"/>
        </w:rPr>
      </w:pPr>
      <w:r>
        <w:rPr>
          <w:rFonts w:ascii="Arial" w:cs="Arial" w:eastAsia="Arial" w:hAnsi="Arial"/>
          <w:sz w:val="17"/>
          <w:szCs w:val="17"/>
          <w:color w:val="auto"/>
        </w:rPr>
        <w:t>Date: August 6, 2021</w:t>
      </w:r>
      <w:r>
        <w:rPr>
          <w:sz w:val="20"/>
          <w:szCs w:val="20"/>
          <w:color w:val="auto"/>
        </w:rPr>
        <w:tab/>
      </w:r>
      <w:r>
        <w:rPr>
          <w:rFonts w:ascii="Arial" w:cs="Arial" w:eastAsia="Arial" w:hAnsi="Arial"/>
          <w:sz w:val="15"/>
          <w:szCs w:val="15"/>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20955</wp:posOffset>
            </wp:positionV>
            <wp:extent cx="356616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66160" cy="1587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Mark McKechnie</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Financial Officer, Executive Vice President and Treasurer</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361950</wp:posOffset>
            </wp:positionV>
            <wp:extent cx="713994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6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32.01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1350,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OXLEY ACT OF 2002</w:t>
      </w:r>
    </w:p>
    <w:p>
      <w:pPr>
        <w:spacing w:after="0" w:line="226"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In connection with the Quarterly Report on Form 10-Q of ACM Research, Inc. for the quarterly period ended June 30, 2021,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200" w:lineRule="exact"/>
        <w:rPr>
          <w:sz w:val="20"/>
          <w:szCs w:val="20"/>
          <w:color w:val="auto"/>
        </w:rPr>
      </w:pPr>
    </w:p>
    <w:p>
      <w:pPr>
        <w:ind w:left="180" w:hanging="178"/>
        <w:spacing w:after="0"/>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62" w:lineRule="exact"/>
        <w:rPr>
          <w:rFonts w:ascii="Arial" w:cs="Arial" w:eastAsia="Arial" w:hAnsi="Arial"/>
          <w:sz w:val="17"/>
          <w:szCs w:val="17"/>
          <w:color w:val="auto"/>
        </w:rPr>
      </w:pPr>
    </w:p>
    <w:p>
      <w:pPr>
        <w:ind w:right="220" w:firstLine="2"/>
        <w:spacing w:after="0" w:line="274" w:lineRule="auto"/>
        <w:tabs>
          <w:tab w:leader="none" w:pos="229"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ACM Research, Inc. for the period presented therein.</w:t>
      </w:r>
    </w:p>
    <w:p>
      <w:pPr>
        <w:spacing w:after="0" w:line="190" w:lineRule="exact"/>
        <w:rPr>
          <w:sz w:val="20"/>
          <w:szCs w:val="20"/>
          <w:color w:val="auto"/>
        </w:rPr>
      </w:pPr>
    </w:p>
    <w:p>
      <w:pPr>
        <w:spacing w:after="0"/>
        <w:tabs>
          <w:tab w:leader="none" w:pos="6440" w:val="left"/>
        </w:tabs>
        <w:rPr>
          <w:sz w:val="20"/>
          <w:szCs w:val="20"/>
          <w:color w:val="auto"/>
        </w:rPr>
      </w:pPr>
      <w:r>
        <w:rPr>
          <w:rFonts w:ascii="Arial" w:cs="Arial" w:eastAsia="Arial" w:hAnsi="Arial"/>
          <w:sz w:val="17"/>
          <w:szCs w:val="17"/>
          <w:color w:val="auto"/>
        </w:rPr>
        <w:t>Date: August 6, 2021</w:t>
      </w:r>
      <w:r>
        <w:rPr>
          <w:sz w:val="20"/>
          <w:szCs w:val="20"/>
          <w:color w:val="auto"/>
        </w:rPr>
        <w:tab/>
      </w:r>
      <w:r>
        <w:rPr>
          <w:rFonts w:ascii="Arial" w:cs="Arial" w:eastAsia="Arial" w:hAnsi="Arial"/>
          <w:sz w:val="15"/>
          <w:szCs w:val="15"/>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20955</wp:posOffset>
            </wp:positionV>
            <wp:extent cx="304038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40380" cy="15875"/>
                    </a:xfrm>
                    <a:prstGeom prst="rect">
                      <a:avLst/>
                    </a:prstGeom>
                    <a:noFill/>
                  </pic:spPr>
                </pic:pic>
              </a:graphicData>
            </a:graphic>
          </wp:anchor>
        </w:drawing>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David H. Wang</w:t>
      </w:r>
    </w:p>
    <w:p>
      <w:pPr>
        <w:spacing w:after="0" w:line="20"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Chief Executive Officer and President</w:t>
      </w:r>
    </w:p>
    <w:p>
      <w:pPr>
        <w:spacing w:after="0" w:line="8" w:lineRule="exact"/>
        <w:rPr>
          <w:sz w:val="20"/>
          <w:szCs w:val="20"/>
          <w:color w:val="auto"/>
        </w:rPr>
      </w:pPr>
    </w:p>
    <w:p>
      <w:pPr>
        <w:ind w:left="6460"/>
        <w:spacing w:after="0"/>
        <w:rPr>
          <w:sz w:val="20"/>
          <w:szCs w:val="20"/>
          <w:color w:val="auto"/>
        </w:rPr>
      </w:pPr>
      <w:r>
        <w:rPr>
          <w:rFonts w:ascii="Arial" w:cs="Arial" w:eastAsia="Arial" w:hAnsi="Arial"/>
          <w:sz w:val="17"/>
          <w:szCs w:val="17"/>
          <w:i w:val="1"/>
          <w:iCs w:val="1"/>
          <w:color w:val="auto"/>
        </w:rPr>
        <w:t>(Principal Executive Officer)</w:t>
      </w:r>
    </w:p>
    <w:p>
      <w:pPr>
        <w:spacing w:after="0" w:line="201" w:lineRule="exact"/>
        <w:rPr>
          <w:sz w:val="20"/>
          <w:szCs w:val="20"/>
          <w:color w:val="auto"/>
        </w:rPr>
      </w:pPr>
    </w:p>
    <w:p>
      <w:pPr>
        <w:spacing w:after="0"/>
        <w:tabs>
          <w:tab w:leader="none" w:pos="6440" w:val="left"/>
        </w:tabs>
        <w:rPr>
          <w:sz w:val="20"/>
          <w:szCs w:val="20"/>
          <w:color w:val="auto"/>
        </w:rPr>
      </w:pPr>
      <w:r>
        <w:rPr>
          <w:rFonts w:ascii="Arial" w:cs="Arial" w:eastAsia="Arial" w:hAnsi="Arial"/>
          <w:sz w:val="17"/>
          <w:szCs w:val="17"/>
          <w:color w:val="auto"/>
        </w:rPr>
        <w:t>Date: August 6, 2021</w:t>
      </w:r>
      <w:r>
        <w:rPr>
          <w:sz w:val="20"/>
          <w:szCs w:val="20"/>
          <w:color w:val="auto"/>
        </w:rPr>
        <w:tab/>
      </w:r>
      <w:r>
        <w:rPr>
          <w:rFonts w:ascii="Arial" w:cs="Arial" w:eastAsia="Arial" w:hAnsi="Arial"/>
          <w:sz w:val="15"/>
          <w:szCs w:val="15"/>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20955</wp:posOffset>
            </wp:positionV>
            <wp:extent cx="304038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40380" cy="15875"/>
                    </a:xfrm>
                    <a:prstGeom prst="rect">
                      <a:avLst/>
                    </a:prstGeom>
                    <a:noFill/>
                  </pic:spPr>
                </pic:pic>
              </a:graphicData>
            </a:graphic>
          </wp:anchor>
        </w:drawing>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Mark McKechnie</w:t>
      </w:r>
    </w:p>
    <w:p>
      <w:pPr>
        <w:spacing w:after="0" w:line="20"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Chief Financial Officer, Executive Vice President and Treasurer</w:t>
      </w:r>
    </w:p>
    <w:p>
      <w:pPr>
        <w:spacing w:after="0" w:line="8" w:lineRule="exact"/>
        <w:rPr>
          <w:sz w:val="20"/>
          <w:szCs w:val="20"/>
          <w:color w:val="auto"/>
        </w:rPr>
      </w:pPr>
    </w:p>
    <w:p>
      <w:pPr>
        <w:ind w:left="6460"/>
        <w:spacing w:after="0"/>
        <w:rPr>
          <w:sz w:val="20"/>
          <w:szCs w:val="20"/>
          <w:color w:val="auto"/>
        </w:rPr>
      </w:pPr>
      <w:r>
        <w:rPr>
          <w:rFonts w:ascii="Arial" w:cs="Arial" w:eastAsia="Arial" w:hAnsi="Arial"/>
          <w:sz w:val="17"/>
          <w:szCs w:val="17"/>
          <w:i w:val="1"/>
          <w:iCs w:val="1"/>
          <w:color w:val="auto"/>
        </w:rPr>
        <w:t>(Principal Financial Officer)</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3994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sectPr>
      <w:pgSz w:w="11900" w:h="16838" w:orient="portrait"/>
      <w:cols w:equalWidth="0" w:num="1">
        <w:col w:w="11240"/>
      </w:cols>
      <w:pgMar w:left="320" w:top="2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2021-08-06T17:29:16Z</dcterms:created>
  <dcterms:modified xsi:type="dcterms:W3CDTF">2021-08-06T17:29:16Z</dcterms:modified>
</cp:coreProperties>
</file>