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r>
      <w:tr>
        <w:trPr>
          <w:trHeight w:val="453"/>
        </w:trPr>
        <w:tc>
          <w:tcPr>
            <w:tcW w:w="4420" w:type="dxa"/>
            <w:vAlign w:val="bottom"/>
            <w:gridSpan w:val="4"/>
          </w:tcPr>
          <w:p>
            <w:pPr>
              <w:ind w:left="820"/>
              <w:spacing w:after="0"/>
              <w:rPr>
                <w:sz w:val="20"/>
                <w:szCs w:val="20"/>
                <w:color w:val="auto"/>
              </w:rPr>
            </w:pPr>
            <w:r>
              <w:rPr>
                <w:rFonts w:ascii="Arial" w:cs="Arial" w:eastAsia="Arial" w:hAnsi="Arial"/>
                <w:sz w:val="18"/>
                <w:szCs w:val="18"/>
                <w:b w:val="1"/>
                <w:bCs w:val="1"/>
                <w:color w:val="auto"/>
              </w:rPr>
              <w:t>Commission file number: 000-38273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94-3290283</w:t>
            </w:r>
          </w:p>
        </w:tc>
      </w:tr>
      <w:tr>
        <w:trPr>
          <w:trHeight w:val="149"/>
        </w:trPr>
        <w:tc>
          <w:tcPr>
            <w:tcW w:w="444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4"/>
              </w:rPr>
              <w:t>(I.R.S. Employee</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42307 Osgood Road, Suite I</w:t>
            </w:r>
          </w:p>
        </w:tc>
        <w:tc>
          <w:tcPr>
            <w:tcW w:w="3120" w:type="dxa"/>
            <w:vAlign w:val="bottom"/>
          </w:tcPr>
          <w:p>
            <w:pPr>
              <w:spacing w:after="0"/>
              <w:rPr>
                <w:sz w:val="24"/>
                <w:szCs w:val="24"/>
                <w:color w:val="auto"/>
              </w:rPr>
            </w:pPr>
          </w:p>
        </w:tc>
      </w:t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Fremont California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94539</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445-3700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8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41"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1920" w:type="dxa"/>
            <w:vAlign w:val="bottom"/>
          </w:tcPr>
          <w:p>
            <w:pPr>
              <w:spacing w:after="0"/>
              <w:rPr>
                <w:sz w:val="13"/>
                <w:szCs w:val="13"/>
                <w:color w:val="auto"/>
              </w:rPr>
            </w:pPr>
          </w:p>
        </w:tc>
        <w:tc>
          <w:tcPr>
            <w:tcW w:w="41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Number of Shares Outstanding</w:t>
            </w:r>
          </w:p>
        </w:tc>
      </w:tr>
      <w:tr>
        <w:trPr>
          <w:trHeight w:val="195"/>
        </w:trPr>
        <w:tc>
          <w:tcPr>
            <w:tcW w:w="358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w:t>
            </w:r>
          </w:p>
        </w:tc>
        <w:tc>
          <w:tcPr>
            <w:tcW w:w="1920" w:type="dxa"/>
            <w:vAlign w:val="bottom"/>
          </w:tcPr>
          <w:p>
            <w:pPr>
              <w:spacing w:after="0"/>
              <w:rPr>
                <w:sz w:val="16"/>
                <w:szCs w:val="16"/>
                <w:color w:val="auto"/>
              </w:rPr>
            </w:pPr>
          </w:p>
        </w:tc>
        <w:tc>
          <w:tcPr>
            <w:tcW w:w="4100" w:type="dxa"/>
            <w:vAlign w:val="bottom"/>
          </w:tcPr>
          <w:p>
            <w:pPr>
              <w:jc w:val="center"/>
              <w:spacing w:after="0" w:line="195" w:lineRule="exact"/>
              <w:rPr>
                <w:sz w:val="20"/>
                <w:szCs w:val="20"/>
                <w:color w:val="auto"/>
              </w:rPr>
            </w:pPr>
            <w:r>
              <w:rPr>
                <w:rFonts w:ascii="Arial" w:cs="Arial" w:eastAsia="Arial" w:hAnsi="Arial"/>
                <w:sz w:val="18"/>
                <w:szCs w:val="18"/>
                <w:color w:val="auto"/>
                <w:w w:val="88"/>
              </w:rPr>
              <w:t>12,935,546 shares outstanding as of December 5, 2017</w:t>
            </w: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color w:val="auto"/>
                <w:w w:val="90"/>
              </w:rPr>
              <w:t>Class B Common Stock $0.0001 par value</w:t>
            </w:r>
          </w:p>
        </w:tc>
        <w:tc>
          <w:tcPr>
            <w:tcW w:w="19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8"/>
              </w:rPr>
              <w:t>2,409,738 shares outstanding as of December 5, 2017</w:t>
            </w:r>
          </w:p>
        </w:tc>
      </w:tr>
    </w:tbl>
    <w:p>
      <w:pPr>
        <w:sectPr>
          <w:pgSz w:w="11900" w:h="16838" w:orient="portrait"/>
          <w:cols w:equalWidth="0" w:num="1">
            <w:col w:w="11420"/>
          </w:cols>
          <w:pgMar w:left="240" w:top="230" w:right="239" w:bottom="0"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140335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0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60" w:type="dxa"/>
            <w:vAlign w:val="bottom"/>
          </w:tcPr>
          <w:p>
            <w:pPr>
              <w:spacing w:after="0"/>
              <w:rPr>
                <w:sz w:val="17"/>
                <w:szCs w:val="17"/>
                <w:color w:val="auto"/>
              </w:rPr>
            </w:pPr>
          </w:p>
        </w:tc>
      </w:tr>
      <w:tr>
        <w:trPr>
          <w:trHeight w:val="534"/>
        </w:trPr>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20" w:type="dxa"/>
            <w:vAlign w:val="bottom"/>
            <w:gridSpan w:val="6"/>
          </w:tcPr>
          <w:p>
            <w:pPr>
              <w:ind w:left="68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4"/>
                <w:szCs w:val="24"/>
                <w:color w:val="auto"/>
              </w:rPr>
            </w:pPr>
          </w:p>
        </w:tc>
      </w:tr>
      <w:tr>
        <w:trPr>
          <w:trHeight w:val="527"/>
        </w:trPr>
        <w:tc>
          <w:tcPr>
            <w:tcW w:w="290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PART I. FINANCIAL INFORMATION</w:t>
              </w:r>
            </w:hyperlink>
          </w:p>
        </w:tc>
        <w:tc>
          <w:tcPr>
            <w:tcW w:w="6200" w:type="dxa"/>
            <w:vAlign w:val="bottom"/>
            <w:gridSpan w:val="8"/>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91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Financial Statements</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87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62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Operations and Comprehensive Income (Loss)</w:t>
              </w:r>
            </w:hyperlink>
          </w:p>
        </w:tc>
        <w:tc>
          <w:tcPr>
            <w:tcW w:w="2500" w:type="dxa"/>
            <w:vAlign w:val="bottom"/>
            <w:gridSpan w:val="2"/>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380" w:type="dxa"/>
            <w:vAlign w:val="bottom"/>
          </w:tcPr>
          <w:p>
            <w:pPr>
              <w:spacing w:after="0"/>
              <w:rPr>
                <w:sz w:val="24"/>
                <w:szCs w:val="24"/>
                <w:color w:val="auto"/>
              </w:rPr>
            </w:pPr>
          </w:p>
        </w:tc>
        <w:tc>
          <w:tcPr>
            <w:tcW w:w="87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872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04"/>
        </w:trPr>
        <w:tc>
          <w:tcPr>
            <w:tcW w:w="910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50">
              <w:r>
                <w:rPr>
                  <w:rFonts w:ascii="Arial" w:cs="Arial" w:eastAsia="Arial" w:hAnsi="Arial"/>
                  <w:sz w:val="18"/>
                  <w:szCs w:val="18"/>
                  <w:color w:val="0000EE"/>
                  <w:w w:val="94"/>
                </w:rPr>
                <w:t>Item 3.</w:t>
              </w:r>
            </w:hyperlink>
          </w:p>
        </w:tc>
        <w:tc>
          <w:tcPr>
            <w:tcW w:w="6480" w:type="dxa"/>
            <w:vAlign w:val="bottom"/>
            <w:tcBorders>
              <w:top w:val="single" w:sz="8" w:color="0000EE"/>
            </w:tcBorders>
            <w:gridSpan w:val="15"/>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Risks</w:t>
              </w:r>
            </w:hyperlink>
          </w:p>
        </w:tc>
        <w:tc>
          <w:tcPr>
            <w:tcW w:w="20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6"/>
          </w:tcPr>
          <w:p>
            <w:pPr>
              <w:ind w:left="20"/>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Controls and Procedures</w:t>
              </w:r>
            </w:hyperlink>
          </w:p>
        </w:tc>
        <w:tc>
          <w:tcPr>
            <w:tcW w:w="2600" w:type="dxa"/>
            <w:vAlign w:val="bottom"/>
            <w:tcBorders>
              <w:top w:val="single" w:sz="8" w:color="0000EE"/>
            </w:tcBorders>
            <w:gridSpan w:val="6"/>
          </w:tcPr>
          <w:p>
            <w:pPr>
              <w:spacing w:after="0"/>
              <w:rPr>
                <w:sz w:val="24"/>
                <w:szCs w:val="24"/>
                <w:color w:val="auto"/>
              </w:rPr>
            </w:pPr>
          </w:p>
        </w:tc>
        <w:tc>
          <w:tcPr>
            <w:tcW w:w="4160" w:type="dxa"/>
            <w:vAlign w:val="bottom"/>
            <w:gridSpan w:val="4"/>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9100" w:type="dxa"/>
            <w:vAlign w:val="bottom"/>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PART II. OTHER INFORMATION</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6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Item 1A. Risk Factors</w:t>
              </w:r>
            </w:hyperlink>
          </w:p>
        </w:tc>
        <w:tc>
          <w:tcPr>
            <w:tcW w:w="980" w:type="dxa"/>
            <w:vAlign w:val="bottom"/>
            <w:tcBorders>
              <w:top w:val="single" w:sz="8" w:color="0000EE"/>
            </w:tcBorders>
            <w:gridSpan w:val="3"/>
          </w:tcPr>
          <w:p>
            <w:pPr>
              <w:spacing w:after="0"/>
              <w:rPr>
                <w:sz w:val="24"/>
                <w:szCs w:val="24"/>
                <w:color w:val="auto"/>
              </w:rPr>
            </w:pPr>
          </w:p>
        </w:tc>
        <w:tc>
          <w:tcPr>
            <w:tcW w:w="6520" w:type="dxa"/>
            <w:vAlign w:val="bottom"/>
            <w:gridSpan w:val="9"/>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78">
              <w:r>
                <w:rPr>
                  <w:rFonts w:ascii="Arial" w:cs="Arial" w:eastAsia="Arial" w:hAnsi="Arial"/>
                  <w:sz w:val="18"/>
                  <w:szCs w:val="18"/>
                  <w:color w:val="0000EE"/>
                  <w:w w:val="94"/>
                </w:rPr>
                <w:t>Item 2.</w:t>
              </w:r>
            </w:hyperlink>
          </w:p>
        </w:tc>
        <w:tc>
          <w:tcPr>
            <w:tcW w:w="4380" w:type="dxa"/>
            <w:vAlign w:val="bottom"/>
            <w:tcBorders>
              <w:bottom w:val="single" w:sz="8" w:color="0000EE"/>
            </w:tcBorders>
            <w:gridSpan w:val="11"/>
          </w:tcPr>
          <w:p>
            <w:pPr>
              <w:ind w:left="2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Unregistered Sales of Equity Securities and Use of Proceeds</w:t>
              </w:r>
            </w:hyperlink>
          </w:p>
        </w:tc>
        <w:tc>
          <w:tcPr>
            <w:tcW w:w="4180" w:type="dxa"/>
            <w:vAlign w:val="bottom"/>
            <w:gridSpan w:val="5"/>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Item 6.</w:t>
              </w:r>
            </w:hyperlink>
          </w:p>
        </w:tc>
        <w:tc>
          <w:tcPr>
            <w:tcW w:w="8560" w:type="dxa"/>
            <w:vAlign w:val="bottom"/>
            <w:gridSpan w:val="16"/>
          </w:tcPr>
          <w:p>
            <w:pPr>
              <w:ind w:left="20"/>
              <w:spacing w:after="0"/>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04"/>
        </w:trPr>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SIGNATURE</w:t>
              </w:r>
            </w:hyperlink>
          </w:p>
        </w:tc>
        <w:tc>
          <w:tcPr>
            <w:tcW w:w="7940" w:type="dxa"/>
            <w:vAlign w:val="bottom"/>
            <w:gridSpan w:val="14"/>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(including its predecessor prior to its redomestication from California to Delaware in November 2016) and its subsidiaries, including ACM Shanghai, collectively.</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SAPS, TEBO and ULTRA C are our trademarks. This report also contains other companies’ trademarks, registered marks and trade names, which are the property of those companies.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46"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w:t>
      </w:r>
    </w:p>
    <w:p>
      <w:pPr>
        <w:spacing w:after="0" w:line="1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the registration statement of which this report is a part, completely and with the understanding that our actual future results may be materially different from what we expect. We qualify all of our forward-looking statements by these cautionary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20" w:type="dxa"/>
            <w:vAlign w:val="bottom"/>
            <w:gridSpan w:val="9"/>
          </w:tcPr>
          <w:p>
            <w:pPr>
              <w:jc w:val="right"/>
              <w:ind w:right="451"/>
              <w:spacing w:after="0" w:line="142" w:lineRule="exact"/>
              <w:rPr>
                <w:sz w:val="20"/>
                <w:szCs w:val="20"/>
                <w:color w:val="auto"/>
              </w:rPr>
            </w:pPr>
            <w:r>
              <w:rPr>
                <w:rFonts w:ascii="Arial" w:cs="Arial" w:eastAsia="Arial" w:hAnsi="Arial"/>
                <w:sz w:val="14"/>
                <w:szCs w:val="14"/>
                <w:i w:val="1"/>
                <w:iCs w:val="1"/>
                <w:color w:val="auto"/>
              </w:rPr>
              <w:t>(in thousands, except share and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17,074</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10,119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ind w:left="340"/>
              <w:spacing w:after="0" w:line="201" w:lineRule="exact"/>
              <w:rPr>
                <w:sz w:val="20"/>
                <w:szCs w:val="20"/>
                <w:color w:val="auto"/>
              </w:rPr>
            </w:pPr>
            <w:r>
              <w:rPr>
                <w:rFonts w:ascii="Arial" w:cs="Arial" w:eastAsia="Arial" w:hAnsi="Arial"/>
                <w:sz w:val="18"/>
                <w:szCs w:val="18"/>
                <w:color w:val="auto"/>
              </w:rPr>
              <w:t>Accounts receivable, less allowance for doubtful accounts of $0 and $0 at September 30,</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2017 and December 31, 2016, respectively (note 3)</w:t>
            </w:r>
          </w:p>
        </w:tc>
        <w:tc>
          <w:tcPr>
            <w:tcW w:w="180" w:type="dxa"/>
            <w:vAlign w:val="bottom"/>
          </w:tcPr>
          <w:p>
            <w:pPr>
              <w:spacing w:after="0"/>
              <w:rPr>
                <w:sz w:val="20"/>
                <w:szCs w:val="20"/>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15,784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16,026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receivable – related party (note 12)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946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1,763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(note 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18,077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890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56,022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40,347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(note 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2,346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(note 17)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1,433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Investment in equity method affiliates (note 11)</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44,467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2300"/>
              <w:spacing w:after="0"/>
              <w:rPr>
                <w:sz w:val="20"/>
                <w:szCs w:val="20"/>
                <w:color w:val="auto"/>
              </w:rPr>
            </w:pPr>
            <w:r>
              <w:rPr>
                <w:rFonts w:ascii="Arial" w:cs="Arial" w:eastAsia="Arial" w:hAnsi="Arial"/>
                <w:sz w:val="18"/>
                <w:szCs w:val="18"/>
                <w:b w:val="1"/>
                <w:bCs w:val="1"/>
                <w:color w:val="auto"/>
                <w:w w:val="85"/>
              </w:rPr>
              <w:t>Liabilities, Redeemable Convertible Preferred Stock and Stockholders’</w:t>
            </w:r>
          </w:p>
        </w:tc>
        <w:tc>
          <w:tcPr>
            <w:tcW w:w="880" w:type="dxa"/>
            <w:vAlign w:val="bottom"/>
            <w:gridSpan w:val="2"/>
          </w:tcPr>
          <w:p>
            <w:pPr>
              <w:ind w:left="300"/>
              <w:spacing w:after="0"/>
              <w:rPr>
                <w:sz w:val="20"/>
                <w:szCs w:val="20"/>
                <w:color w:val="auto"/>
              </w:rPr>
            </w:pPr>
            <w:r>
              <w:rPr>
                <w:rFonts w:ascii="Arial" w:cs="Arial" w:eastAsia="Arial" w:hAnsi="Arial"/>
                <w:sz w:val="18"/>
                <w:szCs w:val="18"/>
                <w:b w:val="1"/>
                <w:bCs w:val="1"/>
                <w:color w:val="auto"/>
              </w:rPr>
              <w:t>Equity</w:t>
            </w:r>
          </w:p>
        </w:tc>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83"/>
              </w:rPr>
              <w:t>(Deficit)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Short-term borrowings (note 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3,472</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4,761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Investors’ deposit (note 8)</w:t>
            </w:r>
          </w:p>
        </w:tc>
        <w:tc>
          <w:tcPr>
            <w:tcW w:w="18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2,902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liability (note 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3,033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ind w:left="340"/>
              <w:spacing w:after="0" w:line="201" w:lineRule="exact"/>
              <w:rPr>
                <w:sz w:val="20"/>
                <w:szCs w:val="20"/>
                <w:color w:val="auto"/>
              </w:rPr>
            </w:pPr>
            <w:r>
              <w:rPr>
                <w:rFonts w:ascii="Arial" w:cs="Arial" w:eastAsia="Arial" w:hAnsi="Arial"/>
                <w:sz w:val="18"/>
                <w:szCs w:val="18"/>
                <w:color w:val="auto"/>
              </w:rPr>
              <w:t>Accounts payable (including amounts due to a related party of $1,925 and $508 at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September 30, 2017 and December 31, 2016, respectively (note 12))</w:t>
            </w:r>
          </w:p>
        </w:tc>
        <w:tc>
          <w:tcPr>
            <w:tcW w:w="180" w:type="dxa"/>
            <w:vAlign w:val="bottom"/>
          </w:tcPr>
          <w:p>
            <w:pPr>
              <w:spacing w:after="0"/>
              <w:rPr>
                <w:sz w:val="20"/>
                <w:szCs w:val="20"/>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8,667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5,173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from customers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Other payables and accrued expenses (including amounts due to a related-party of $2,024</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$1,883 as of September 30, 2017 and December 31, 2016, respectively (note 12)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(note 7))</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5,264</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3,963</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(note 10)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6,682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Redeemable convertible preferred stock, par value $0.0001:</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Series A: 385,000 shares authorized, issued and outstanding as of September 30, 2017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December 31, 2016 (liquidation value of $308 at September 30, 2017 and December 31,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2016); and no shares authorized, issued or outstanding pro forma as of September 30,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ind w:left="340"/>
              <w:spacing w:after="0" w:line="201" w:lineRule="exact"/>
              <w:rPr>
                <w:sz w:val="20"/>
                <w:szCs w:val="20"/>
                <w:color w:val="auto"/>
              </w:rPr>
            </w:pPr>
            <w:r>
              <w:rPr>
                <w:rFonts w:ascii="Arial" w:cs="Arial" w:eastAsia="Arial" w:hAnsi="Arial"/>
                <w:sz w:val="18"/>
                <w:szCs w:val="18"/>
                <w:color w:val="auto"/>
                <w:w w:val="95"/>
              </w:rPr>
              <w:t>Series B: 1,572,000 shares authorized, issued and outstanding as of September 30, 2017 and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December 31, 2016 (liquidation value of $1,572 at September 30, 2017 and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December 31, 2016) and no shares authorized, issued or outstanding pro forma as of</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September 30, 2017</w:t>
            </w:r>
          </w:p>
        </w:tc>
        <w:tc>
          <w:tcPr>
            <w:tcW w:w="180" w:type="dxa"/>
            <w:vAlign w:val="bottom"/>
          </w:tcPr>
          <w:p>
            <w:pPr>
              <w:spacing w:after="0"/>
              <w:rPr>
                <w:sz w:val="20"/>
                <w:szCs w:val="20"/>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1,572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1,572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Series C: 1,360,962 shares authorized, issued and outstanding as of September 30, 2017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2016 (liquidation value of $2,041 at September 30, 2017 and</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2016); and no shares authorized, issued or outstanding, pro forma as of</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September 30, 2017</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2,041</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2,041</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ind w:left="340"/>
              <w:spacing w:after="0" w:line="201" w:lineRule="exact"/>
              <w:rPr>
                <w:sz w:val="20"/>
                <w:szCs w:val="20"/>
                <w:color w:val="auto"/>
              </w:rPr>
            </w:pPr>
            <w:r>
              <w:rPr>
                <w:rFonts w:ascii="Arial" w:cs="Arial" w:eastAsia="Arial" w:hAnsi="Arial"/>
                <w:sz w:val="18"/>
                <w:szCs w:val="18"/>
                <w:color w:val="auto"/>
                <w:w w:val="99"/>
              </w:rPr>
              <w:t>Series D: 2,659,975 shares authorized and 1,326,642 shares issued and outstanding as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September 30, 2017 and December 31, 2016 (liquidation value of $4,975 at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September 30, 2017 and December 31, 2016); and no shares authorized, issued or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outstanding, pro forma as of September 30, 2017</w:t>
            </w:r>
          </w:p>
        </w:tc>
        <w:tc>
          <w:tcPr>
            <w:tcW w:w="180" w:type="dxa"/>
            <w:vAlign w:val="bottom"/>
          </w:tcPr>
          <w:p>
            <w:pPr>
              <w:spacing w:after="0"/>
              <w:rPr>
                <w:sz w:val="20"/>
                <w:szCs w:val="20"/>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4,975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4,975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Series E: 10,718,530 shares authorized, 4,998,508 shares issued and outstanding as of</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September 30, 2017 (liquidation value of $4,999 at September 30, 2017); and no shares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authorized, issued or outstanding as of December 31, 2016 and pro forma as of</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September 30, 2017</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5,800</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ind w:left="340"/>
              <w:spacing w:after="0" w:line="201" w:lineRule="exact"/>
              <w:rPr>
                <w:sz w:val="20"/>
                <w:szCs w:val="20"/>
                <w:color w:val="auto"/>
              </w:rPr>
            </w:pPr>
            <w:r>
              <w:rPr>
                <w:rFonts w:ascii="Arial" w:cs="Arial" w:eastAsia="Arial" w:hAnsi="Arial"/>
                <w:sz w:val="18"/>
                <w:szCs w:val="18"/>
                <w:color w:val="auto"/>
              </w:rPr>
              <w:t>Series F: 6,000,000 shares authorized, 3,663,254 shares issued and outstanding as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September 30, 2017 and December 31, 2016 (liquidation value of $9,158 at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September 30, 2017 and December 31, 2016); and no shares authorized, issued or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520"/>
              <w:spacing w:after="0"/>
              <w:rPr>
                <w:sz w:val="20"/>
                <w:szCs w:val="20"/>
                <w:color w:val="auto"/>
              </w:rPr>
            </w:pPr>
            <w:r>
              <w:rPr>
                <w:rFonts w:ascii="Arial" w:cs="Arial" w:eastAsia="Arial" w:hAnsi="Arial"/>
                <w:sz w:val="18"/>
                <w:szCs w:val="18"/>
                <w:color w:val="auto"/>
              </w:rPr>
              <w:t>outstanding pro forma as of September 30, 2017</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9,158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9,158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redeemable convertible preferred stock (note 15)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 Class A, with par value $0.0001: 100,000,000 shares authorized,</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4,741,635 shares issued and outstanding as of September 30, 2017; 100,000,000 shares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 and 2,228,740 shares issued and outstanding as of December 31, 2016;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100,000,000 shares authorized and 9,369,212 shares issued and outstanding pro forma as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September 30, 2017 (note 14)</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7520" w:type="dxa"/>
            <w:vAlign w:val="bottom"/>
          </w:tcPr>
          <w:p>
            <w:pPr>
              <w:ind w:left="360"/>
              <w:spacing w:after="0" w:line="201" w:lineRule="exact"/>
              <w:rPr>
                <w:sz w:val="20"/>
                <w:szCs w:val="20"/>
                <w:color w:val="auto"/>
              </w:rPr>
            </w:pPr>
            <w:r>
              <w:rPr>
                <w:rFonts w:ascii="Arial" w:cs="Arial" w:eastAsia="Arial" w:hAnsi="Arial"/>
                <w:sz w:val="18"/>
                <w:szCs w:val="18"/>
                <w:color w:val="auto"/>
              </w:rPr>
              <w:t>Common stock – Class B, with par value $0.0001: 7,303,533 shares authorized and</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20" w:type="dxa"/>
            <w:vAlign w:val="bottom"/>
          </w:tcPr>
          <w:p>
            <w:pPr>
              <w:ind w:left="540"/>
              <w:spacing w:after="0"/>
              <w:rPr>
                <w:sz w:val="20"/>
                <w:szCs w:val="20"/>
                <w:color w:val="auto"/>
              </w:rPr>
            </w:pPr>
            <w:r>
              <w:rPr>
                <w:rFonts w:ascii="Arial" w:cs="Arial" w:eastAsia="Arial" w:hAnsi="Arial"/>
                <w:sz w:val="18"/>
                <w:szCs w:val="18"/>
                <w:color w:val="auto"/>
              </w:rPr>
              <w:t>2,409,738 shares issued and outstanding as of September 30, 2017 and December 31,</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tcPr>
          <w:p>
            <w:pPr>
              <w:ind w:left="540"/>
              <w:spacing w:after="0"/>
              <w:rPr>
                <w:sz w:val="20"/>
                <w:szCs w:val="20"/>
                <w:color w:val="auto"/>
              </w:rPr>
            </w:pPr>
            <w:r>
              <w:rPr>
                <w:rFonts w:ascii="Arial" w:cs="Arial" w:eastAsia="Arial" w:hAnsi="Arial"/>
                <w:sz w:val="18"/>
                <w:szCs w:val="18"/>
                <w:color w:val="auto"/>
                <w:w w:val="97"/>
              </w:rPr>
              <w:t>2016; and 7,303,533 shares authorized and 2,409,738 shares issued and outstanding pro</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520" w:type="dxa"/>
            <w:vAlign w:val="bottom"/>
          </w:tcPr>
          <w:p>
            <w:pPr>
              <w:ind w:left="540"/>
              <w:spacing w:after="0"/>
              <w:rPr>
                <w:sz w:val="20"/>
                <w:szCs w:val="20"/>
                <w:color w:val="auto"/>
              </w:rPr>
            </w:pPr>
            <w:r>
              <w:rPr>
                <w:rFonts w:ascii="Arial" w:cs="Arial" w:eastAsia="Arial" w:hAnsi="Arial"/>
                <w:sz w:val="18"/>
                <w:szCs w:val="18"/>
                <w:color w:val="auto"/>
              </w:rPr>
              <w:t>forma as of September 30, 2017 (note 14)</w:t>
            </w:r>
          </w:p>
        </w:tc>
        <w:tc>
          <w:tcPr>
            <w:tcW w:w="2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 in capital</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19,244</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7,620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43,078</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(13,344)</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(9,643)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(13,344)</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r>
      <w:tr>
        <w:trPr>
          <w:trHeight w:val="223"/>
        </w:trPr>
        <w:tc>
          <w:tcPr>
            <w:tcW w:w="7520" w:type="dxa"/>
            <w:vAlign w:val="bottom"/>
          </w:tcPr>
          <w:p>
            <w:pPr>
              <w:ind w:left="720"/>
              <w:spacing w:after="0"/>
              <w:rPr>
                <w:sz w:val="20"/>
                <w:szCs w:val="20"/>
                <w:color w:val="auto"/>
              </w:rPr>
            </w:pPr>
            <w:r>
              <w:rPr>
                <w:rFonts w:ascii="Arial" w:cs="Arial" w:eastAsia="Arial" w:hAnsi="Arial"/>
                <w:sz w:val="18"/>
                <w:szCs w:val="18"/>
                <w:b w:val="1"/>
                <w:bCs w:val="1"/>
                <w:color w:val="auto"/>
              </w:rPr>
              <w:t>Total ACM Research, Inc. stockholders’ equity (deficit)</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29,627</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4,181</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4,919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w:t>
            </w:r>
          </w:p>
        </w:tc>
      </w:tr>
      <w:tr>
        <w:trPr>
          <w:trHeight w:val="230"/>
        </w:trPr>
        <w:tc>
          <w:tcPr>
            <w:tcW w:w="7520" w:type="dxa"/>
            <w:vAlign w:val="bottom"/>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33,808</w:t>
            </w:r>
          </w:p>
        </w:tc>
        <w:tc>
          <w:tcPr>
            <w:tcW w:w="100" w:type="dxa"/>
            <w:vAlign w:val="bottom"/>
          </w:tcPr>
          <w:p>
            <w:pPr>
              <w:spacing w:after="0"/>
              <w:rPr>
                <w:sz w:val="20"/>
                <w:szCs w:val="20"/>
                <w:color w:val="auto"/>
              </w:rPr>
            </w:pP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w w:val="98"/>
              </w:rPr>
              <w:t>Total liabilities, redeemable convertible preferred stock and stockholders’ equity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61,056</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44,467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61,056</w:t>
            </w:r>
          </w:p>
        </w:tc>
      </w:tr>
      <w:tr>
        <w:trPr>
          <w:trHeight w:val="20"/>
        </w:trPr>
        <w:tc>
          <w:tcPr>
            <w:tcW w:w="7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4"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1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21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4"/>
          </w:tcPr>
          <w:p>
            <w:pPr>
              <w:jc w:val="center"/>
              <w:ind w:right="11"/>
              <w:spacing w:after="0" w:line="142" w:lineRule="exact"/>
              <w:rPr>
                <w:sz w:val="20"/>
                <w:szCs w:val="20"/>
                <w:color w:val="auto"/>
              </w:rPr>
            </w:pPr>
            <w:r>
              <w:rPr>
                <w:rFonts w:ascii="Arial" w:cs="Arial" w:eastAsia="Arial" w:hAnsi="Arial"/>
                <w:sz w:val="14"/>
                <w:szCs w:val="14"/>
                <w:i w:val="1"/>
                <w:iCs w:val="1"/>
                <w:color w:val="auto"/>
                <w:w w:val="95"/>
              </w:rPr>
              <w:t>(in thousand)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jc w:val="center"/>
              <w:ind w:right="11"/>
              <w:spacing w:after="0" w:line="142" w:lineRule="exact"/>
              <w:rPr>
                <w:sz w:val="20"/>
                <w:szCs w:val="20"/>
                <w:color w:val="auto"/>
              </w:rPr>
            </w:pPr>
            <w:r>
              <w:rPr>
                <w:rFonts w:ascii="Arial" w:cs="Arial" w:eastAsia="Arial" w:hAnsi="Arial"/>
                <w:sz w:val="14"/>
                <w:szCs w:val="14"/>
                <w:i w:val="1"/>
                <w:iCs w:val="1"/>
                <w:color w:val="auto"/>
                <w:w w:val="92"/>
              </w:rPr>
              <w:t>(in thousand)</w:t>
            </w:r>
          </w:p>
        </w:tc>
        <w:tc>
          <w:tcPr>
            <w:tcW w:w="10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11,262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7,281</w:t>
            </w: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Operating expenses, net:</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2,299</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r>
      <w:tr>
        <w:trPr>
          <w:trHeight w:val="230"/>
        </w:trPr>
        <w:tc>
          <w:tcPr>
            <w:tcW w:w="6360" w:type="dxa"/>
            <w:vAlign w:val="bottom"/>
          </w:tcPr>
          <w:p>
            <w:pPr>
              <w:ind w:left="720"/>
              <w:spacing w:after="0"/>
              <w:rPr>
                <w:sz w:val="20"/>
                <w:szCs w:val="20"/>
                <w:color w:val="auto"/>
              </w:rPr>
            </w:pPr>
            <w:r>
              <w:rPr>
                <w:rFonts w:ascii="Arial" w:cs="Arial" w:eastAsia="Arial" w:hAnsi="Arial"/>
                <w:sz w:val="18"/>
                <w:szCs w:val="18"/>
                <w:b w:val="1"/>
                <w:bCs w:val="1"/>
                <w:color w:val="auto"/>
              </w:rPr>
              <w:t>Total operating expenses, net</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6,520</w:t>
            </w:r>
          </w:p>
        </w:tc>
        <w:tc>
          <w:tcPr>
            <w:tcW w:w="100" w:type="dxa"/>
            <w:vAlign w:val="bottom"/>
          </w:tcPr>
          <w:p>
            <w:pPr>
              <w:spacing w:after="0"/>
              <w:rPr>
                <w:sz w:val="20"/>
                <w:szCs w:val="20"/>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Income (loss) from operations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Equity in net income of affiliates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r>
      <w:tr>
        <w:trPr>
          <w:trHeight w:val="223"/>
        </w:trPr>
        <w:tc>
          <w:tcPr>
            <w:tcW w:w="6360" w:type="dxa"/>
            <w:vAlign w:val="bottom"/>
          </w:tcPr>
          <w:p>
            <w:pPr>
              <w:ind w:left="72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(note 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23"/>
        </w:trPr>
        <w:tc>
          <w:tcPr>
            <w:tcW w:w="6360" w:type="dxa"/>
            <w:vAlign w:val="bottom"/>
          </w:tcPr>
          <w:p>
            <w:pPr>
              <w:ind w:left="7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r>
      <w:tr>
        <w:trPr>
          <w:trHeight w:val="223"/>
        </w:trPr>
        <w:tc>
          <w:tcPr>
            <w:tcW w:w="6360" w:type="dxa"/>
            <w:vAlign w:val="bottom"/>
          </w:tcPr>
          <w:p>
            <w:pPr>
              <w:ind w:left="72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(1,282)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r>
      <w:tr>
        <w:trPr>
          <w:trHeight w:val="223"/>
        </w:trPr>
        <w:tc>
          <w:tcPr>
            <w:tcW w:w="6360" w:type="dxa"/>
            <w:vAlign w:val="bottom"/>
          </w:tcPr>
          <w:p>
            <w:pPr>
              <w:ind w:left="72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r>
      <w:tr>
        <w:trPr>
          <w:trHeight w:val="223"/>
        </w:trPr>
        <w:tc>
          <w:tcPr>
            <w:tcW w:w="6360" w:type="dxa"/>
            <w:vAlign w:val="bottom"/>
          </w:tcPr>
          <w:p>
            <w:pPr>
              <w:ind w:left="720"/>
              <w:spacing w:after="0"/>
              <w:rPr>
                <w:sz w:val="20"/>
                <w:szCs w:val="20"/>
                <w:color w:val="auto"/>
              </w:rPr>
            </w:pPr>
            <w:r>
              <w:rPr>
                <w:rFonts w:ascii="Arial" w:cs="Arial" w:eastAsia="Arial" w:hAnsi="Arial"/>
                <w:sz w:val="18"/>
                <w:szCs w:val="18"/>
                <w:b w:val="1"/>
                <w:bCs w:val="1"/>
                <w:color w:val="auto"/>
                <w:w w:val="93"/>
              </w:rPr>
              <w:t>Total comprehensive income (loss) attributable to ACM Research, Inc.</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shares (note 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r>
      <w:tr>
        <w:trPr>
          <w:trHeight w:val="202"/>
        </w:trPr>
        <w:tc>
          <w:tcPr>
            <w:tcW w:w="6360" w:type="dxa"/>
            <w:vAlign w:val="bottom"/>
          </w:tcPr>
          <w:p>
            <w:pPr>
              <w:spacing w:after="0" w:line="201" w:lineRule="exact"/>
              <w:rPr>
                <w:sz w:val="20"/>
                <w:szCs w:val="20"/>
                <w:color w:val="auto"/>
              </w:rPr>
            </w:pPr>
            <w:r>
              <w:rPr>
                <w:rFonts w:ascii="Arial" w:cs="Arial" w:eastAsia="Arial" w:hAnsi="Arial"/>
                <w:sz w:val="18"/>
                <w:szCs w:val="18"/>
                <w:color w:val="auto"/>
                <w:w w:val="93"/>
              </w:rPr>
              <w:t>Weighted average common stocks outstanding used in computing per share amounts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(note 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5,581,637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2,108,324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5,148,255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2,077,115</w:t>
            </w: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5,581,637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3,372,505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5,148,255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2,077,115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Nine Months Ended</w:t>
      </w:r>
    </w:p>
    <w:p>
      <w:pPr>
        <w:jc w:val="center"/>
        <w:ind w:left="97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5"/>
          </w:tcPr>
          <w:p>
            <w:pPr>
              <w:ind w:left="240"/>
              <w:spacing w:after="0" w:line="155"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(4,237)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r>
      <w:tr>
        <w:trPr>
          <w:trHeight w:val="202"/>
        </w:trPr>
        <w:tc>
          <w:tcPr>
            <w:tcW w:w="20" w:type="dxa"/>
            <w:vAlign w:val="bottom"/>
          </w:tcPr>
          <w:p>
            <w:pPr>
              <w:spacing w:after="0"/>
              <w:rPr>
                <w:sz w:val="17"/>
                <w:szCs w:val="17"/>
                <w:color w:val="auto"/>
              </w:rPr>
            </w:pPr>
          </w:p>
        </w:tc>
        <w:tc>
          <w:tcPr>
            <w:tcW w:w="9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loss from operations to net cash provided by (used in) operating</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Undistributed earnings from investments in equity method affiliates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Loss on disposals of fixed assets, intangible assets and other long-term assets</w:t>
            </w:r>
          </w:p>
        </w:tc>
        <w:tc>
          <w:tcPr>
            <w:tcW w:w="10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7,828</w:t>
            </w:r>
          </w:p>
        </w:tc>
      </w:tr>
      <w:tr>
        <w:trPr>
          <w:trHeight w:val="216"/>
        </w:trPr>
        <w:tc>
          <w:tcPr>
            <w:tcW w:w="20" w:type="dxa"/>
            <w:vAlign w:val="bottom"/>
          </w:tcPr>
          <w:p>
            <w:pPr>
              <w:spacing w:after="0"/>
              <w:rPr>
                <w:sz w:val="18"/>
                <w:szCs w:val="18"/>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(5,933)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(1,925)</w:t>
            </w:r>
          </w:p>
        </w:tc>
      </w:tr>
      <w:tr>
        <w:trPr>
          <w:trHeight w:val="216"/>
        </w:trPr>
        <w:tc>
          <w:tcPr>
            <w:tcW w:w="20" w:type="dxa"/>
            <w:vAlign w:val="bottom"/>
          </w:tcPr>
          <w:p>
            <w:pPr>
              <w:spacing w:after="0"/>
              <w:rPr>
                <w:sz w:val="18"/>
                <w:szCs w:val="18"/>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Advances from customers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(4,487)</w:t>
            </w:r>
          </w:p>
        </w:tc>
      </w:tr>
      <w:tr>
        <w:trPr>
          <w:trHeight w:val="216"/>
        </w:trPr>
        <w:tc>
          <w:tcPr>
            <w:tcW w:w="20" w:type="dxa"/>
            <w:vAlign w:val="bottom"/>
          </w:tcPr>
          <w:p>
            <w:pPr>
              <w:spacing w:after="0"/>
              <w:rPr>
                <w:sz w:val="18"/>
                <w:szCs w:val="18"/>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r>
      <w:tr>
        <w:trPr>
          <w:trHeight w:val="230"/>
        </w:trPr>
        <w:tc>
          <w:tcPr>
            <w:tcW w:w="20" w:type="dxa"/>
            <w:vAlign w:val="bottom"/>
          </w:tcPr>
          <w:p>
            <w:pPr>
              <w:spacing w:after="0"/>
              <w:rPr>
                <w:sz w:val="20"/>
                <w:szCs w:val="20"/>
                <w:color w:val="auto"/>
              </w:rPr>
            </w:pPr>
          </w:p>
        </w:tc>
        <w:tc>
          <w:tcPr>
            <w:tcW w:w="980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(4,661)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Proceed from disposal of property and equipment</w:t>
            </w:r>
          </w:p>
        </w:tc>
        <w:tc>
          <w:tcPr>
            <w:tcW w:w="10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Loan to related party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Purchase of non-controlling interest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(6,154)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equity method affiliates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800" w:type="dxa"/>
            <w:vAlign w:val="bottom"/>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(8,486)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8,153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3,795</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short-term borrowings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(9,643)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(7,398)</w:t>
            </w: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Proceeds from stock option exercise to common stock</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Proceed from issuance of Series E convertible preferred stock</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Investor deposits for Series F convertible preferred stock</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4,328</w:t>
            </w:r>
          </w:p>
        </w:tc>
      </w:tr>
      <w:tr>
        <w:trPr>
          <w:trHeight w:val="230"/>
        </w:trPr>
        <w:tc>
          <w:tcPr>
            <w:tcW w:w="20" w:type="dxa"/>
            <w:vAlign w:val="bottom"/>
          </w:tcPr>
          <w:p>
            <w:pPr>
              <w:spacing w:after="0"/>
              <w:rPr>
                <w:sz w:val="20"/>
                <w:szCs w:val="20"/>
                <w:color w:val="auto"/>
              </w:rPr>
            </w:pPr>
          </w:p>
        </w:tc>
        <w:tc>
          <w:tcPr>
            <w:tcW w:w="980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20,006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23"/>
        </w:trPr>
        <w:tc>
          <w:tcPr>
            <w:tcW w:w="98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w:t>
            </w:r>
          </w:p>
        </w:tc>
      </w:tr>
      <w:tr>
        <w:trPr>
          <w:trHeight w:val="223"/>
        </w:trPr>
        <w:tc>
          <w:tcPr>
            <w:tcW w:w="9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ACM Research, Inc. (“ACM”) and its subsidiaries (collectively with ACM, the “Company”) develop, manufacture and sell single-wafer wet cleaning equipment used to improve the manufacturing process and yield for advanced integrated chips. The Company markets and sells, under the brand name “Ultra C,” lines of equipment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81"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financed its Shanghai operations in part through sales of non-controlling equity interests in ACM Shanghai.</w:t>
      </w:r>
    </w:p>
    <w:p>
      <w:pPr>
        <w:spacing w:after="0" w:line="14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The Company also offers a range of custom-made equipment, including cleaners, coaters and developers, to back-end wafer assembly and packaging factories, principally in the PRC.</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2011 ACM Shanghai formed a wholly owned subsidiary in the PRC, ACM Research (Wuxi), Inc. (“ACM Wuxi”), to manage sales and service operations.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August 2017 ACM purchased 18.77% of ACM Shanghai’s equity interests held by Shanghai Science and Technology Venture Capital Co., Ltd. (“SSTVC”). As of September 30, 2017, and December 31, 2016, respectively, ACM owned 81.64% and 62.87% of the outstanding equity interests of ACM Shanghai, and indirectly through ACM Shanghai, owned 81.64% and 62.87% of the outstanding equity interests of ACM Wuxi, respectively. In August 2017 ACM entered into securities purchase agreements pursuant to which ACM proposes to acquire the remaining outstanding non-controlling equity interests of ACM Shanghai (see note 14).</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September 13, 2017, ACM effectuated a 1-for-3 reverse stock split (the “Reverse Split”) of Class A and Class B common stock. Unless otherwise indicated, all share numbers, per share amount, share prices, exercise prices and conversion rates set forth in those notes and the accompanying condensed consolidated financial statements have been adjusted retrospectively to reflect the Reverse Split.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of the Company have been prepared in accordance with accounting principles generally accepted in the United States of America (“GAAP”). The consolidated accounts include ACM and its subsidiaries, ACM Shanghai, ACM Wuxi and CleanChip. Subsidiaries are those entities in which ACM, directly and indirectly, controls more than one half of the voting power. All significant intercompany transactions and balances have been eliminated upon consolidation.</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condensed consolidated balance sheet as of September 30, 2017, the condensed consolidated statements of comprehensive income (loss) for the three and nine months ended September 30, 2017 and 2016, and the condensed consolidated statements of cash flows for the nine months ended September 30, 2017 and 2016 are unaudited. In the opinion of management, the unaudited condensed consolidated financial statements of the Company reflect all adjustments, which are necessary for a fair presentation of the Company’s financial position and results of operations. Such adjustments are of a normal recurring nature, unless otherwise noted. The balance sheet as of September 30, 2017 and the results of operations for the three and nine months ended September 30, 2017 are not necessarily indicative of the results to be expected for any future period. The condensed consolidated financial statements herein should be read in conjunction with the historical consolidated financial statements of the Company for the year ended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Balance Sheet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unaudited pro forma condensed consolidated balance sheet as of September 30, 2017 gives effect to the automatic conversion of all of the Company’s outstanding redeemable convertible preferred stock into shares of Class A common stock, which occurred upon completion of an IPO of common stock on November 7,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 Management of the Company believes that the estimates, judgments and assumptions are reasonable, based on information available at the time they are made. Actual results could differ materially from those estimates.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Cash</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Restricted cash is money that is reserved for a specific purpose and therefore not available for immediate or general business use. At September 30, 2017 and December 31, 2016, restricted cash was $433 and $0, respectively. The restricted cash represents a deposit for a letter of credit issued for international purchase.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Initial Public Offering (“IPO”) Costs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Direct costs incurred by the Company attributable to its IPO of Class A common stock in the United States were deferred and recorded in other current assets and will be offset against the gross proceeds received from the IPO. At September 30, 2017 and December 31, 2016, deferred IPO costs were $819 and $41,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Net Income (Loss) per Common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income (loss) per common share is calculated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(1,282)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(4,237)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non-controlling interest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Net income allocated to participating securities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(loss) available to common stockholders, basic and</w:t>
            </w: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 basic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5,581,637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2,108,324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5,148,255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2,077,115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1,264,181</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 diluted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5,581,637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3,372,505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5,148,255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2,077,115</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Diluted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(0.72)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Basic and diluted net income (loss) per common share is presented using the two-class method, which allocates undistributed earnings to common stock and any participating securities according to dividend rights and participation rights on a proportionate basis. Under the two-class method, basic net income (loss) per common share is computed by dividing the sum of distributed and undistributed earnings attributable to common stockholders by the weighted average number of shares of common stock outstanding during the period. Shares of ACM’s Series A, B, C, D, E and F convertible preferred stock are participating securities, as the holders are entitled to participate in and receive the same dividends as may be declared for common stockholders on a pro-rata, if-converted basis.</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for the three and nine months ended September 30, 2017 and 2016, the net income (loss) per common share attributable to each class is the same under the “two-class” method. As such, the two classes of common stock have been presented on a combined basis in the consolidated statements of operations and comprehensive income (loss) and in the above computation of net income (loss) per common share.</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Diluted net income (loss) per common share reflects the potential dilution from securities that could share in ACM’s earnings. ACM’s potential dilutive securities consist of convertible preferred stocks, stock options and warrants for the three and nine months ended September 30, 2017 and 2016. Certain potential dilutive securities were excluded from the net income (loss) per share calculation because the impact would be anti-dilutive.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Under the authoritative guidance of the Financial Accounting Standards Board (“FASB”)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4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198" w:lineRule="exact"/>
        <w:rPr>
          <w:sz w:val="20"/>
          <w:szCs w:val="20"/>
          <w:color w:val="auto"/>
        </w:rPr>
      </w:pPr>
    </w:p>
    <w:p>
      <w:pPr>
        <w:ind w:left="1460" w:right="140" w:hanging="877"/>
        <w:spacing w:after="0" w:line="277" w:lineRule="auto"/>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Valuations for assets and liabilities traded in active exchange markets. Valuations are obtained from readily available pricing sources for market transactions involving identical assets or liabilities.</w:t>
      </w:r>
    </w:p>
    <w:p>
      <w:pPr>
        <w:spacing w:after="0" w:line="62" w:lineRule="exact"/>
        <w:rPr>
          <w:sz w:val="20"/>
          <w:szCs w:val="20"/>
          <w:color w:val="auto"/>
        </w:rPr>
      </w:pPr>
    </w:p>
    <w:p>
      <w:pPr>
        <w:ind w:left="1460" w:hanging="877"/>
        <w:spacing w:after="0" w:line="277" w:lineRule="auto"/>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Valuations for assets and liabilities traded in less active dealer or broker markets. Valuations are obtained from third party pricing services for identical or similar assets or liabilities.</w:t>
      </w:r>
    </w:p>
    <w:p>
      <w:pPr>
        <w:spacing w:after="0" w:line="62" w:lineRule="exact"/>
        <w:rPr>
          <w:sz w:val="20"/>
          <w:szCs w:val="20"/>
          <w:color w:val="auto"/>
        </w:rPr>
      </w:pPr>
    </w:p>
    <w:p>
      <w:pPr>
        <w:ind w:left="1460" w:right="20" w:hanging="877"/>
        <w:spacing w:after="0" w:line="286" w:lineRule="auto"/>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or Disclosed on a Recurring Basis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i w:val="1"/>
          <w:iCs w:val="1"/>
          <w:color w:val="auto"/>
        </w:rPr>
        <w:t>Short-term borrowings</w:t>
      </w:r>
      <w:r>
        <w:rPr>
          <w:rFonts w:ascii="Arial" w:cs="Arial" w:eastAsia="Arial" w:hAnsi="Arial"/>
          <w:sz w:val="17"/>
          <w:szCs w:val="17"/>
          <w:color w:val="auto"/>
        </w:rPr>
        <w:t>—Interest rates under the borrowing agreements with the lending parties were determined based on the prevailing interest rates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market. The Company classifies the valuation techniques that use these inputs as Level 2 fair value measurement.</w:t>
      </w:r>
    </w:p>
    <w:p>
      <w:pPr>
        <w:spacing w:after="0" w:line="147"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i w:val="1"/>
          <w:iCs w:val="1"/>
          <w:color w:val="auto"/>
        </w:rPr>
        <w:t>Warrant liability</w:t>
      </w:r>
      <w:r>
        <w:rPr>
          <w:rFonts w:ascii="Arial" w:cs="Arial" w:eastAsia="Arial" w:hAnsi="Arial"/>
          <w:sz w:val="17"/>
          <w:szCs w:val="17"/>
          <w:color w:val="auto"/>
        </w:rPr>
        <w:t>—The fair value of the warrant liability derives from the Black-Scholes valuation model which incorporates certain unobservable</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(note 9). The Company classifies the valuation techniques that use these inputs as Level 3 fair value measurement.</w:t>
      </w:r>
    </w:p>
    <w:p>
      <w:pPr>
        <w:spacing w:after="0" w:line="14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i w:val="1"/>
          <w:iCs w:val="1"/>
          <w:color w:val="auto"/>
        </w:rPr>
        <w:t>Other financial items for disclosure purpose</w:t>
      </w:r>
      <w:r>
        <w:rPr>
          <w:rFonts w:ascii="Arial" w:cs="Arial" w:eastAsia="Arial" w:hAnsi="Arial"/>
          <w:sz w:val="16"/>
          <w:szCs w:val="16"/>
          <w:color w:val="auto"/>
        </w:rPr>
        <w:t>—The fair value of other financial items of the Company for disclosure purpose, including cash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accounts receivable, other receivables, prepaid expenses, other current assets, notes payable, investors’ deposits, accounts payable, advances from customers, income taxes payable, and other payables and accrued expenses, approximate their carrying value due to their short-term nature.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43"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September 30, 2017 and December 31, 2016, information about inputs into the fair value measurement of the Company’s liabilities that are measured and recorded at fair value on a recurring basis in periods subsequent to their initial recognition is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9"/>
          </w:tcPr>
          <w:p>
            <w:pPr>
              <w:ind w:left="86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640" w:type="dxa"/>
            <w:vAlign w:val="bottom"/>
          </w:tcPr>
          <w:p>
            <w:pPr>
              <w:spacing w:after="0"/>
              <w:rPr>
                <w:sz w:val="10"/>
                <w:szCs w:val="10"/>
                <w:color w:val="auto"/>
              </w:rPr>
            </w:pPr>
          </w:p>
        </w:tc>
        <w:tc>
          <w:tcPr>
            <w:tcW w:w="102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64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20" w:type="dxa"/>
            <w:vAlign w:val="bottom"/>
          </w:tcPr>
          <w:p>
            <w:pPr>
              <w:spacing w:after="0"/>
              <w:rPr>
                <w:sz w:val="12"/>
                <w:szCs w:val="12"/>
                <w:color w:val="auto"/>
              </w:rPr>
            </w:pPr>
          </w:p>
        </w:tc>
        <w:tc>
          <w:tcPr>
            <w:tcW w:w="12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Liabilities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(Level 3)</w:t>
            </w:r>
          </w:p>
        </w:tc>
        <w:tc>
          <w:tcPr>
            <w:tcW w:w="2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September 30:</w:t>
            </w:r>
          </w:p>
        </w:tc>
        <w:tc>
          <w:tcPr>
            <w:tcW w:w="1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Liabilities: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rPr>
              <w:t>Warrant liability</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3,033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3,033</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2016:</w:t>
            </w: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Short-term borrowings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4,761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Non-Recurring Basis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 reviews long-lived assets for impairment annually or more frequently if events or changes in circumstances indicate the possibility of impairment. Long-lived assets are measured at fair value on a nonrecurring basis when there is an indicator of impairment, and they are recorded at fair value only when impairment is recognized. In determining the fair value, the Company used projections of cash flows directly associated with, and which are expected to arise as a direct result of, the use and eventual disposition of the assets. This approach required significant judgments including the Company’s projected net cash flows, which were derived using the most recent available estimate for the reporting unit containing the assets tested. Several key assumptions included periods of operation, projections of product pricing, production levels, product costs, market supply and demand, and inflation.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Recently Adopted in the Consolidated Financial Statements for the Nine Months Ended September 30, 2017</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In April 2016, the FASB issued Accounting Standards Update (“ASU”) No. 2016-09, </w:t>
      </w:r>
      <w:r>
        <w:rPr>
          <w:rFonts w:ascii="Arial" w:cs="Arial" w:eastAsia="Arial" w:hAnsi="Arial"/>
          <w:sz w:val="16"/>
          <w:szCs w:val="16"/>
          <w:i w:val="1"/>
          <w:iCs w:val="1"/>
          <w:color w:val="auto"/>
        </w:rPr>
        <w:t>Compensation—Stock Compensation (Topic 718):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to Employee Share-Based Payment Accounting</w:t>
      </w:r>
      <w:r>
        <w:rPr>
          <w:rFonts w:ascii="Arial" w:cs="Arial" w:eastAsia="Arial" w:hAnsi="Arial"/>
          <w:sz w:val="16"/>
          <w:szCs w:val="16"/>
          <w:color w:val="auto"/>
        </w:rPr>
        <w:t>, which simplifies several aspects of the accounting for employee stock-based payment transactions. The areas</w:t>
      </w:r>
      <w:r>
        <w:rPr>
          <w:rFonts w:ascii="Arial" w:cs="Arial" w:eastAsia="Arial" w:hAnsi="Arial"/>
          <w:sz w:val="16"/>
          <w:szCs w:val="16"/>
          <w:i w:val="1"/>
          <w:iCs w:val="1"/>
          <w:color w:val="auto"/>
        </w:rPr>
        <w:t xml:space="preserve"> </w:t>
      </w:r>
      <w:r>
        <w:rPr>
          <w:rFonts w:ascii="Arial" w:cs="Arial" w:eastAsia="Arial" w:hAnsi="Arial"/>
          <w:sz w:val="16"/>
          <w:szCs w:val="16"/>
          <w:color w:val="auto"/>
        </w:rPr>
        <w:t>for simplification in ASU No. 2016-09 include the income tax consequences, classification of awards as either equity or liabilities, and classification on the statement of cash flows. The amendments in this ASU were effective for annual periods beginning after December 15, 2016 and interim periods within those annual periods. The adoption of ASU No. 2016-09 did not have a material impact on the Company’s consolidated financial statements.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requires an entity to separate deferred income tax liabilities and assets into current and noncurrent amounts in a classified statement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 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adoption of ASU No. 2015-17 did not have a material impact on the Company’s consolidated financial statements.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July 2015, the FASB issued ASU No.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adoption of ASU No. 2015-11 did not have a material impact on the Company’s consolidated financial statements. The relevant descriptions have been included in the inventory accounting policy.</w:t>
      </w:r>
    </w:p>
    <w:p>
      <w:pPr>
        <w:spacing w:after="0" w:line="1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xml:space="preserve">. The amendments in this update require management to evaluate whether there are conditions and events that raise substantial doubt about an entity’s ability to continue as a going concern for both annual and interim reporting. The guidance is effective for the Company for the annual period ended after December 15, 2016 and interim periods thereafter. Management performed an evaluation of the Company’s ability to fund operations and to continue as a going concern according to the FASB Accounting Standards Codification (“ASC”) Topic 205-40,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The adoption of ASU No. 2014-15 did not have a material impact on the Company’s consolidated financial statements.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which addresses the complexity of accounting for certain financial instruments with down round features. Down round features are features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The Company is evaluating the impact of the adoption of ASU No. 2017-11 on its consolidated financial statements.</w:t>
      </w:r>
    </w:p>
    <w:p>
      <w:pPr>
        <w:spacing w:after="0" w:line="16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which provides guidance on determining which changes to the terms and 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The Company does not expect the adoption of ASU No. 2017-09 to have a material impact on its consolidated financial statements.</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In February 2017, the FASB issued ASU No. 2017-05, </w:t>
      </w:r>
      <w:r>
        <w:rPr>
          <w:rFonts w:ascii="Arial" w:cs="Arial" w:eastAsia="Arial" w:hAnsi="Arial"/>
          <w:sz w:val="18"/>
          <w:szCs w:val="18"/>
          <w:i w:val="1"/>
          <w:iCs w:val="1"/>
          <w:color w:val="auto"/>
        </w:rPr>
        <w:t>Other Income—Gains and Losses from the Derecognition of Nonfinancial Assets (Subtopic</w:t>
      </w:r>
      <w:r>
        <w:rPr>
          <w:rFonts w:ascii="Arial" w:cs="Arial" w:eastAsia="Arial" w:hAnsi="Arial"/>
          <w:sz w:val="18"/>
          <w:szCs w:val="18"/>
          <w:color w:val="auto"/>
        </w:rPr>
        <w:t xml:space="preserve"> </w:t>
      </w:r>
      <w:r>
        <w:rPr>
          <w:rFonts w:ascii="Arial" w:cs="Arial" w:eastAsia="Arial" w:hAnsi="Arial"/>
          <w:sz w:val="18"/>
          <w:szCs w:val="18"/>
          <w:i w:val="1"/>
          <w:iCs w:val="1"/>
          <w:color w:val="auto"/>
        </w:rPr>
        <w:t>610-20): Clarifying the Scope of Asset Derecognition Guidance and Accounting for Partial Sales of Nonfinancial Assets</w:t>
      </w:r>
      <w:r>
        <w:rPr>
          <w:rFonts w:ascii="Arial" w:cs="Arial" w:eastAsia="Arial" w:hAnsi="Arial"/>
          <w:sz w:val="18"/>
          <w:szCs w:val="18"/>
          <w:color w:val="auto"/>
        </w:rPr>
        <w:t>, which clarifies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nonfinancial asset guidance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4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Company does not expect the adoption of ASU No. 2017-05 to have a material impact on its consolidated financial statements.</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The Company is evaluating the impact of the adoption of ASU 2017-04 on its consolidated financial statements.</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Company does not expect the adoption of ASU No. 2016-18 to have a material impact on its consolidated financial statements.</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which addresses the following cash flow issues: (1) debt prepayment or debt extinguishment costs; (2) settlement of zero-coupon 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Company is evaluating the impact of the adoption of ASU No. 2016-15 on its consolidated financial statements.</w:t>
      </w:r>
    </w:p>
    <w:p>
      <w:pPr>
        <w:spacing w:after="0" w:line="19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amendments in this update create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supersede the leases requirements in Topic 840, </w:t>
      </w:r>
      <w:r>
        <w:rPr>
          <w:rFonts w:ascii="Arial" w:cs="Arial" w:eastAsia="Arial" w:hAnsi="Arial"/>
          <w:sz w:val="16"/>
          <w:szCs w:val="16"/>
          <w:i w:val="1"/>
          <w:iCs w:val="1"/>
          <w:color w:val="auto"/>
        </w:rPr>
        <w:t>Leases</w:t>
      </w:r>
      <w:r>
        <w:rPr>
          <w:rFonts w:ascii="Arial" w:cs="Arial" w:eastAsia="Arial" w:hAnsi="Arial"/>
          <w:sz w:val="16"/>
          <w:szCs w:val="16"/>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4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amendments in ASU No. 2016-02 are effective for fiscal years beginning after December 15, 2018, including interim periods within those fiscal years for public business entities. Early application of the amendments in ASU No. 2016-02 is permitted. The Company is in the process of evaluating the impact of the adoption of ASU No. 2016-02 on its consolidated financial statements.</w:t>
      </w:r>
    </w:p>
    <w:p>
      <w:pPr>
        <w:spacing w:after="0" w:line="18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No. 2014-09 supersedes the revenue recognition requirements in “</w:t>
      </w:r>
      <w:r>
        <w:rPr>
          <w:rFonts w:ascii="Arial" w:cs="Arial" w:eastAsia="Arial" w:hAnsi="Arial"/>
          <w:sz w:val="16"/>
          <w:szCs w:val="16"/>
          <w:i w:val="1"/>
          <w:iCs w:val="1"/>
          <w:color w:val="auto"/>
        </w:rPr>
        <w:t>Revenue Recognition (Topic 605)</w:t>
      </w:r>
      <w:r>
        <w:rPr>
          <w:rFonts w:ascii="Arial" w:cs="Arial" w:eastAsia="Arial" w:hAnsi="Arial"/>
          <w:sz w:val="16"/>
          <w:szCs w:val="16"/>
          <w:color w:val="auto"/>
        </w:rPr>
        <w:t xml:space="preserve">”, and requires entities to recognize revenue when it transfers promised goods or services to customers in an amount that reflects the consideration to which the entity expects to be entitled to in exchange for those goods or services. The FASB issued 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in August 2015. The amendments in ASU</w:t>
      </w:r>
    </w:p>
    <w:p>
      <w:pPr>
        <w:spacing w:after="0" w:line="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No. 2015-14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 Further to ASU No. 2014-09 and ASU No. 2015-14, the FASB issued ASU No. 2016-08,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Principal versus Agent Considerations (Reporting Revenue Gross versus Net) </w:t>
      </w:r>
      <w:r>
        <w:rPr>
          <w:rFonts w:ascii="Arial" w:cs="Arial" w:eastAsia="Arial" w:hAnsi="Arial"/>
          <w:sz w:val="16"/>
          <w:szCs w:val="16"/>
          <w:color w:val="auto"/>
        </w:rPr>
        <w:t>in March 2016,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in April 2016,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respectively. The amendments in ASU No. 2016-08 clarify the implementation guidance on principal versus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 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represents changes to make minor corrections or minor improvements to the Codification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The Company will adopt ASU No. 2014-09, ASU No. 2016-08, ASU No. 2016-10, ASU No. 2016-12 and ASU No. 2016-20 at January 1, 2018 if the IPO is completed by December 31, 2017. The Company is in the process of assessing the potential effects of these ASUs on its consolidated financial statements, business processes, systems and controls. While the assessment process is ongoing, the Company anticipates adopting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using the modified retrospective transition approach. Under this approach, ASC Topic 606 would apply to all new contracts initiated on or after January 1, 2018. For existing contracts that have remaining obligations as of January 1, 2018, any difference between the recognition criteria in these ASUs and the Company’s current revenue recognition practices would be recognized using a cumulative effect adjustment to the opening balance of accumulated deficit. The Company does not expect the adoption of these ASUs to have a material impact on its consolidated financial statements.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2017 and December 31, 2016, accounts receivable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5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16,026</w:t>
            </w:r>
          </w:p>
        </w:tc>
        <w:tc>
          <w:tcPr>
            <w:tcW w:w="6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9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15,784</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16,026</w:t>
            </w:r>
          </w:p>
        </w:tc>
        <w:tc>
          <w:tcPr>
            <w:tcW w:w="6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Company reviews accounts receivable on a periodic basis and makes general and specific allowances when there is doubt as to the collectability of individual balances. No allowance for doubtful accounts was considered necessary at September 30, 2017 or December 31, 2016. At September 30, 2017 and December 31, 2016, no accounts receivable were pledged as collateral for borrowings from financial institutions.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2017 and December 31, 2016, inventory consisted of the following: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8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3,425</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1,260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7,309</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2,708</w:t>
            </w:r>
          </w:p>
        </w:tc>
      </w:tr>
      <w:tr>
        <w:trPr>
          <w:trHeight w:val="223"/>
        </w:trPr>
        <w:tc>
          <w:tcPr>
            <w:tcW w:w="8000" w:type="dxa"/>
            <w:vAlign w:val="bottom"/>
          </w:tcPr>
          <w:p>
            <w:pPr>
              <w:ind w:left="360"/>
              <w:spacing w:after="0"/>
              <w:rPr>
                <w:sz w:val="20"/>
                <w:szCs w:val="20"/>
                <w:color w:val="auto"/>
              </w:rPr>
            </w:pPr>
            <w:r>
              <w:rPr>
                <w:rFonts w:ascii="Arial" w:cs="Arial" w:eastAsia="Arial" w:hAnsi="Arial"/>
                <w:sz w:val="18"/>
                <w:szCs w:val="18"/>
                <w:color w:val="auto"/>
              </w:rPr>
              <w:t>Total inventory, gross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18,077</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60" w:type="dxa"/>
            <w:vAlign w:val="bottom"/>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000" w:type="dxa"/>
            <w:vAlign w:val="bottom"/>
          </w:tcPr>
          <w:p>
            <w:pPr>
              <w:ind w:left="360"/>
              <w:spacing w:after="0"/>
              <w:rPr>
                <w:sz w:val="20"/>
                <w:szCs w:val="20"/>
                <w:color w:val="auto"/>
              </w:rPr>
            </w:pPr>
            <w:r>
              <w:rPr>
                <w:rFonts w:ascii="Arial" w:cs="Arial" w:eastAsia="Arial" w:hAnsi="Arial"/>
                <w:sz w:val="18"/>
                <w:szCs w:val="18"/>
                <w:color w:val="auto"/>
              </w:rPr>
              <w:t>Total inventory, net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18,077</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6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At September 30, 2017 and December 31, 2016, the Company did not have an inventory reserve and no inventory was pledged as collateral for borrowings from financial institutions.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2017 and December 31, 2016, property, plant and equipment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Office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Leasehold improvement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w:t>
            </w:r>
          </w:p>
        </w:tc>
        <w:tc>
          <w:tcPr>
            <w:tcW w:w="1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Less: Total accumulated depreciation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(8,070)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(7,562)</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8"/>
                <w:szCs w:val="18"/>
                <w:color w:val="auto"/>
              </w:rPr>
            </w:pPr>
          </w:p>
        </w:tc>
      </w:tr>
      <w:tr>
        <w:trPr>
          <w:trHeight w:val="223"/>
        </w:trPr>
        <w:tc>
          <w:tcPr>
            <w:tcW w:w="6100" w:type="dxa"/>
            <w:vAlign w:val="bottom"/>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Depreciation expense was $55 and $31 for the three months ended September 30, 2017 and 2016, respectively, and $162 and $119 for the nine months ended September 30, 2017 and 2016, respectively.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2017 and December 31, 2016, short-term borrowing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82"/>
        </w:trPr>
        <w:tc>
          <w:tcPr>
            <w:tcW w:w="6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Borrowings from Bank of China, due on February 10, 2017 with annual</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of 4.8%, secured by certain of the Company’s intellectual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fully repaid on February 13, 2017</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60" w:type="dxa"/>
            <w:vAlign w:val="bottom"/>
            <w:shd w:val="clear" w:color="auto" w:fill="CCEEFF"/>
          </w:tcPr>
          <w:p>
            <w:pPr>
              <w:spacing w:after="0"/>
              <w:rPr>
                <w:sz w:val="20"/>
                <w:szCs w:val="20"/>
                <w:color w:val="auto"/>
              </w:rPr>
            </w:pPr>
          </w:p>
        </w:tc>
      </w:tr>
      <w:tr>
        <w:trPr>
          <w:trHeight w:val="202"/>
        </w:trPr>
        <w:tc>
          <w:tcPr>
            <w:tcW w:w="6180" w:type="dxa"/>
            <w:vAlign w:val="bottom"/>
          </w:tcPr>
          <w:p>
            <w:pPr>
              <w:spacing w:after="0" w:line="201" w:lineRule="exact"/>
              <w:rPr>
                <w:sz w:val="20"/>
                <w:szCs w:val="20"/>
                <w:color w:val="auto"/>
              </w:rPr>
            </w:pPr>
            <w:r>
              <w:rPr>
                <w:rFonts w:ascii="Arial" w:cs="Arial" w:eastAsia="Arial" w:hAnsi="Arial"/>
                <w:sz w:val="18"/>
                <w:szCs w:val="18"/>
                <w:color w:val="auto"/>
              </w:rPr>
              <w:t>Borrowings from Bank of Shanghai Pudong Branch, due on June 24, 2017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with an annual interest rate of 5.66%, guaranteed by the Company’s CEO</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and fully repaid on June 25, 2017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20"/>
                <w:szCs w:val="20"/>
                <w:color w:val="auto"/>
              </w:rPr>
            </w:pP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Line of credit up to $3,605 from Bank of Shanghai Pudong Branch, due 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July 3, 2017 with an annual interest rate of 5.66%, guaranteed by the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Company’s CEO and fully repaid on June 7, 2017</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60" w:type="dxa"/>
            <w:vAlign w:val="bottom"/>
            <w:shd w:val="clear" w:color="auto" w:fill="CCEEFF"/>
          </w:tcPr>
          <w:p>
            <w:pPr>
              <w:spacing w:after="0"/>
              <w:rPr>
                <w:sz w:val="20"/>
                <w:szCs w:val="20"/>
                <w:color w:val="auto"/>
              </w:rPr>
            </w:pPr>
          </w:p>
        </w:tc>
      </w:tr>
      <w:tr>
        <w:trPr>
          <w:trHeight w:val="202"/>
        </w:trPr>
        <w:tc>
          <w:tcPr>
            <w:tcW w:w="6180" w:type="dxa"/>
            <w:vAlign w:val="bottom"/>
          </w:tcPr>
          <w:p>
            <w:pPr>
              <w:spacing w:after="0" w:line="201" w:lineRule="exact"/>
              <w:rPr>
                <w:sz w:val="20"/>
                <w:szCs w:val="20"/>
                <w:color w:val="auto"/>
              </w:rPr>
            </w:pPr>
            <w:r>
              <w:rPr>
                <w:rFonts w:ascii="Arial" w:cs="Arial" w:eastAsia="Arial" w:hAnsi="Arial"/>
                <w:sz w:val="18"/>
                <w:szCs w:val="18"/>
                <w:color w:val="auto"/>
              </w:rPr>
              <w:t>Line of credit up to $3,670 from Bank of Shanghai Pudong Branch, due 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July 3, 2017 with an annual interest rate of 3.2%, guaranteed by the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Company’s CEO and fully repaid on May 18, 2017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1,803</w:t>
            </w:r>
          </w:p>
        </w:tc>
        <w:tc>
          <w:tcPr>
            <w:tcW w:w="60" w:type="dxa"/>
            <w:vAlign w:val="bottom"/>
          </w:tcPr>
          <w:p>
            <w:pPr>
              <w:spacing w:after="0"/>
              <w:rPr>
                <w:sz w:val="20"/>
                <w:szCs w:val="20"/>
                <w:color w:val="auto"/>
              </w:rPr>
            </w:pP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Line of credit up to $4,521 from Bank of China Pudong Branch, due 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5, 2018 with annual interest rate of 5.69%, secured by certain of</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Company’s intellectual property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2,185</w:t>
            </w: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02"/>
        </w:trPr>
        <w:tc>
          <w:tcPr>
            <w:tcW w:w="6180" w:type="dxa"/>
            <w:vAlign w:val="bottom"/>
          </w:tcPr>
          <w:p>
            <w:pPr>
              <w:spacing w:after="0" w:line="201" w:lineRule="exact"/>
              <w:rPr>
                <w:sz w:val="20"/>
                <w:szCs w:val="20"/>
                <w:color w:val="auto"/>
              </w:rPr>
            </w:pPr>
            <w:r>
              <w:rPr>
                <w:rFonts w:ascii="Arial" w:cs="Arial" w:eastAsia="Arial" w:hAnsi="Arial"/>
                <w:sz w:val="18"/>
                <w:szCs w:val="18"/>
                <w:color w:val="auto"/>
              </w:rPr>
              <w:t>Line of credit up to $3,767 from Bank of Shanghai Pudong Branch, due 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September 22,2018 with an annual interest rate of 5.66%, guaranteed by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the Company’s CEO</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w w:val="86"/>
              </w:rPr>
              <w:t>663</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Line of credit up to $3,767 from Bank of Shanghai Pudong Branch, due 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23,2018 with an annual interest rate of 5.66%, guaranteed by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Company’s CEO</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624</w:t>
            </w: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8"/>
              </w:rPr>
              <w:t>3,472</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6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Interest expense related to short-term borrowings amounted to $33 and $39 for the three months ended September 30, 2017 and 2016, respectively, and $196 and $150 for the nine months ended September 30, 2017 and 2016,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OTHER PAYABLE AND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2017 and December 31, 2016, other payable and accrued expenses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56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Lease expenses and payable for leasehold improvement due to a related</w:t>
            </w: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party (note 12)</w:t>
            </w:r>
          </w:p>
        </w:tc>
        <w:tc>
          <w:tcPr>
            <w:tcW w:w="7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Commissions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Accrued payroll</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Accrued machine testing fee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4240"/>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INVESTORS’ DEPOSITS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December 9, 2016, Shengxin (Shanghai) Management Consulting Limited Partnership (“SMC”), a related party (note 12), delivered RMB 20,124 (approximately $2,981 as of the close of business on such date) in cash (the “SMC Investment”) to ACM Shanghai for potential investment pursuant to terms to be subsequently negotiated. On March 14, 2017, ACM, ACM Shanghai and SMC entered into a securities purchase agreement pursuant to which, in exchange for the SMC Investment, ACM issued to SMC a warrant exercisable to purchase 397,502 shares of ACM’s Class A common stock at a price of $7.50 per share (note 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 LIABILITY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9, 2016, SMC delivered the SMC Investment to ACM Shanghai for potential investment pursuant to terms to be subsequently negotiated.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the terms of the SMC Investment had not yet been negotiated and the SMC Investment was recorded as investors’ deposit.</w:t>
      </w:r>
    </w:p>
    <w:p>
      <w:pPr>
        <w:spacing w:after="0" w:line="22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ACM’s Class A common stock at a price of $7.50 per share. Under the SMC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RMB-to-US dollar exchange rate.</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accordance with FASB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the warrant is classified as a liability as the warrant is conditional puttable. The fair value of the warrant is adjusted for changes in fair value at each reporting period but cannot be lower than the proceeds of the SMC Investment. The corresponding non-cash gain or loss of the changes in fair value is recorded in earnings. The methodology used to value the warrant was the Black-Scholes valuation model with the following assumptions:</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280" w:type="dxa"/>
            <w:vAlign w:val="bottom"/>
            <w:gridSpan w:val="4"/>
          </w:tcPr>
          <w:p>
            <w:pPr>
              <w:ind w:left="220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44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 (1)</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Expected term in years (2)</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Volatility (3)</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Risk-free interest rate (4)</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(5)</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07" w:lineRule="exact"/>
        <w:rPr>
          <w:sz w:val="20"/>
          <w:szCs w:val="20"/>
          <w:color w:val="auto"/>
        </w:rPr>
      </w:pPr>
    </w:p>
    <w:p>
      <w:pPr>
        <w:ind w:left="460" w:right="46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the common stock was not publicly traded as of September 30. 2017, the Company used an independent third-party valuation firm to value the common stock price.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term of the warrant represents the period from the current balance sheet date to the warrant expiration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the warrant.</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warrant.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LONG-TERM LIABILITIES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Other long-term liabilities represent government subsidies received from PRC governmental authorities for development and commercialization of certain technology but not yet recognized. As of September 30, 2017, and December 31, 2016, other long-term liabilities consisted of the following unearned government subsidies: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6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Subsidies to Stress Free Polishing project, commenced in 2008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Subsidies to Electro Copper Plating project, commenced in 2014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4,921</w:t>
            </w:r>
          </w:p>
        </w:tc>
        <w:tc>
          <w:tcPr>
            <w:tcW w:w="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Subsidies to Patent project, commenced in 2017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6,879</w:t>
            </w:r>
          </w:p>
        </w:tc>
        <w:tc>
          <w:tcPr>
            <w:tcW w:w="6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EQUITY METHOD INVESTMENT</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September 6, 2017, ACM and Ninebell Co., Ltd. (“Ninebell”), a Korean company that is one of the Company’s principal materials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 Undistributed earnings attributable to ACM’s equity method investment represented $20 of the consolidated retained earnings at September 30,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PARTY BALANCES AND TRANSACTIONS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On August 18, 2017, ACM and Ninebell, its equity method investment affiliate (note 11), entered into a loan agreement, pursuant to which ACM made an interest-free loan of $946 to Ninebell, payable in 180 days or automatically extended another 180 days if in default. The loan is secured by a pledge of Ninebell’s accounts receivable due from ACM and all money that Ninebell receives from ACM. ACM purchased materials from Ninebell amounting to $807 and $382 during the three months ended September 30, 2017 and 2016, respectively, and $2,624 and $1,446 during the nine months ended September 30, 2017 and 2016, respectively. As of September 30, 2017 and December 31, 2016, accounts payable due to Ninebell was $1,925 and $508, respectively.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2007, ACM Shanghai entered into an operating lease agreement with Shanghai Zhangjiang Group Co., Ltd. (“Zhangjiang Group”), one of the holders of non-controlling interests in ACM Shanghai, to lease manufacturing and office space located in Shanghai, China. Pursuant to the lease agreement, Zhangjiang Group provided $771 to ACM Shanghai for leasehold improvements. In September 2016, the lease agreement was amended to modify payment terms and extend the lease through December 31, 2017. During the three and nine months ended September 30, 2017 and 2016, the Company incurred leasing expenses under the lease agreement of $130, $161, $451 and $491, respectively. As of September 30, 2017, and December 31, 2016, payables to Zhangjiang Group for lease expenses and leasehold improvements recorded as other payables and accrued expenses, amounted to $2,024 and $1,883, respectively (note 7).</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December 9, 2016, ACM Shanghai received the SMC Investment from SMC for potential investment pursuant to terms to be subsequently negotiated (notes 8 and 9). SMC is a limited partnership incorporated in the PRC, whose partners consist of employees of ACM Shanghai. As of September 30, 2017, and December 31, 2016, investors’ deposits from SMC amounted to $0, and $2,902, respectively. 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ACM’s Class A common stock at a price of $7.50 per share, for a total exercise price of $2,981. Under the SMC Agreement, if SMC does not exercise the warrant by May 17, 2023, ACM Shanghai will be obligated, subject to approval of governmental authorities and ACM Shanghai’s equity holders, to deliver an equity interest of 3.6394% (subject to dilution) in satisfaction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RMB-to-US dollar exchange rate.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ACM entered into a two-year lease agreement in March 2015 for office and warehouse space of approximately 3,000 square feet for its headquarters in Fremont, California, at a rate of $2 per month. On March 22, 2017, ACM amended the lease agreement to extend the lease term through September 30, 2018 and increase the base rent to $3 per month.</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ACM Shanghai entered into an operating lease agreement with Zhangjiang Group (a related party, see note 12) in 2007 for manufacturing and office space of approximately 63,510 square feet in Shanghai, China. The lease agreement has been amended several times to modify payment terms and extend the lease term, most recently through December 31, 2017. Monthly rent is $58 during 2017.</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ACM Wuxi leases office space in Wuxi, China, at a rate of less than $1 per month.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lease payments under the non-cancelable lease agreements as of September 30, 2017 and December 31, 2016 were as follows:</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780" w:type="dxa"/>
            <w:vAlign w:val="bottom"/>
            <w:gridSpan w:val="3"/>
          </w:tcPr>
          <w:p>
            <w:pPr>
              <w:ind w:left="2900"/>
              <w:spacing w:after="0"/>
              <w:rPr>
                <w:sz w:val="20"/>
                <w:szCs w:val="20"/>
                <w:color w:val="auto"/>
              </w:rPr>
            </w:pPr>
            <w:r>
              <w:rPr>
                <w:rFonts w:ascii="Arial" w:cs="Arial" w:eastAsia="Arial" w:hAnsi="Arial"/>
                <w:sz w:val="14"/>
                <w:szCs w:val="14"/>
                <w:b w:val="1"/>
                <w:bCs w:val="1"/>
                <w:color w:val="auto"/>
                <w:w w:val="89"/>
              </w:rPr>
              <w:t>September 30,</w:t>
            </w:r>
          </w:p>
        </w:tc>
        <w:tc>
          <w:tcPr>
            <w:tcW w:w="1640" w:type="dxa"/>
            <w:vAlign w:val="bottom"/>
            <w:gridSpan w:val="4"/>
          </w:tcPr>
          <w:p>
            <w:pPr>
              <w:ind w:left="74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2018</w:t>
            </w:r>
          </w:p>
        </w:tc>
        <w:tc>
          <w:tcPr>
            <w:tcW w:w="2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8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Rent expense was $140 and $168 for the three months ended September 30, 2017 and 2016, respectively, and $476 and $437 for the nine months ended September 30, 2017 and 2016,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ACM is authorized to issue 100,000,000 shares of Class A common stock and 7,303,533 shares of Class B common stock, each with a par value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$0.0001. Each share of Class A common stock is entitled to one vote, and each share of Class B common stock is entitled to twenty votes and is convertible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time into one share of Class A common stock. Shares of Class A common stock and Class B common stock are treated equally, identically and ratably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any dividends if declared by the Board of Directors unless the Board of Directors declares different dividends to the Class A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Class B common stock by getting approval from a majority of common stock holders.</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August 2017 ACM entered into a securities purchase agreement with Shanghai Pudong High-Tech Investment Co., Ltd. (“PDHTI”) and its subsidiary Pudong Science and Technology (Cayman) Co., Ltd. (“PST”), in which ACM agreed to bid, in an auction process mandated by PRC regulations, to purchase PDHTI’s 10.78% equity interests in ACM Shanghai and to sell shares of Class A common stock to PST. On September 8, 2017, ACM issued 1,119,576 shares of Class A common stock to PST for a purchase price of $7.50 per share, representing an aggregate purchase price of $8,397. The non-controlling equity interest transfer to ACM is subject to Chinese government’s approval and had not been closed as of September 30, 2017.</w:t>
      </w:r>
    </w:p>
    <w:p>
      <w:pPr>
        <w:spacing w:after="0" w:line="15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August 2017 ACM entered into a securities purchase agreement with Shanghai Zhangjiang Science &amp; Technology Venture Capital Co., Ltd. (“ZSTVC”) and its subsidiary Zhangjiang AJ Company Limited (“ZJAJ”), in which ACM agreed to bid, in an auction process mandated by PRC regulations, to purchase ZSTVC’s 7.58% equity interests in ACM Shanghai and to sell shares of Class A common stock to ZJAJ. On September 8, 2017, ACM issued 787,098 shares of Class A common stock to ZJAJ for a purchase price of $7.50 per share, or an aggregate purchase price of $5,903. The non-controlling equity interest transfer to ACM is subject to Chinese government’s approval and had not been closed as of September 30, 2017.</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4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September 2017 ACM issued 133,334 shares of Class A common stock to Ninebell for a purchase price of $7.50 per share, or an aggregate purchase price of $1,000 (note 11).</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At various dates during the nine months ended September 30, 2017, ACM issued 472,887 shares of Class A common stock for options exercised by certain employee and non-employees.</w:t>
      </w:r>
    </w:p>
    <w:p>
      <w:pPr>
        <w:spacing w:after="0" w:line="17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At September 30, 2017 and December 31, 2016, the number of shares of Class A common stock issued and outstanding was 4,741,635 and 2,228,740, respectively. At September 30, 2017 and December 31, 2016, the number of shares of Class B common stock issued and outstanding was 2,409,738.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REDEEMABLE CONVERTIBLE PREFERRED STOCK</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Upon ACM’s redomestication in Delaware in November 2016, ACM had 22,696,467 authorized shares of preferred stock, of which 385,000, 1,572,000, 1,360,962, 2,659,975, 10,718,530, and 6,000,000 shares were designated as Series A, Series B, Series C, Series D, Series E and Series F preferred stock, respectively.</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March 2017 ACM entered into a securities purchase agreement, amended in July 2017, with Shanghai Science and Technology Venture Capital Co., Ltd. (“SSTVC”) pursuant to which, effective as of August 31, 2017, ACM acquired SSTVC’s equity interests in ACM Shanghai for a purchase price of $6,154 (RMB 40,000) and issued to SSTVC 4,998,508 shares of Series E convertible preferred stock for a purchase price of $5,800.</w:t>
      </w:r>
    </w:p>
    <w:p>
      <w:pPr>
        <w:spacing w:after="0" w:line="166" w:lineRule="exact"/>
        <w:rPr>
          <w:sz w:val="20"/>
          <w:szCs w:val="20"/>
          <w:color w:val="auto"/>
        </w:rPr>
      </w:pPr>
    </w:p>
    <w:p>
      <w:pPr>
        <w:jc w:val="both"/>
        <w:ind w:right="500" w:firstLine="456"/>
        <w:spacing w:after="0" w:line="342" w:lineRule="auto"/>
        <w:rPr>
          <w:sz w:val="20"/>
          <w:szCs w:val="20"/>
          <w:color w:val="auto"/>
        </w:rPr>
      </w:pPr>
      <w:r>
        <w:rPr>
          <w:rFonts w:ascii="Arial" w:cs="Arial" w:eastAsia="Arial" w:hAnsi="Arial"/>
          <w:sz w:val="16"/>
          <w:szCs w:val="16"/>
          <w:color w:val="auto"/>
        </w:rPr>
        <w:t>The number of outstanding shares of Series A, Series B, Series C, Series D, Series E and Series F was 385,000, 1,572,000, 1,360,962, 1,326,642, 4,998,508 and 3,663,254, and 385,000, 1,572,000, 1,360,962, 1,326,642, 0 and 3,663,254, respectively, at September 30, 2017 and December 31, 2016.</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ACM’s convertible preferred stock have rights, preferences and privileges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Each share of Series A through Series F convertible preferred stock is entitled to a number of votes equal to the number of whole shares of common stock into which such share can be converted.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Holders of Series A through Series F convertible preferred stock have a non-cumulative right to participate in and receive the same dividends as may be declared for common stockholders, as and if declared by the Board of Directors, payable out of funds legally available.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Each share of Series A through Series F convertible preferred stock is convertible at any time, at the option of the holder. At September 30, 2017, each share of Series A, B, E and F convertible preferred stock was convertible into one-third share of Class A common stock, each share of Series C convertible preferred stock was convertible into 0.3544 shares of Class A common stock, and each share of Series D convertible preferred stock was convertible into</w:t>
      </w:r>
    </w:p>
    <w:p>
      <w:pPr>
        <w:ind w:right="40"/>
        <w:spacing w:after="0" w:line="254" w:lineRule="auto"/>
        <w:rPr>
          <w:sz w:val="20"/>
          <w:szCs w:val="20"/>
          <w:color w:val="auto"/>
        </w:rPr>
      </w:pPr>
      <w:r>
        <w:rPr>
          <w:rFonts w:ascii="Arial" w:cs="Arial" w:eastAsia="Arial" w:hAnsi="Arial"/>
          <w:sz w:val="18"/>
          <w:szCs w:val="18"/>
          <w:color w:val="auto"/>
        </w:rPr>
        <w:t>0.4562 shares of Class A common stock. The Series A through Series F convertible preferred stock will convert automatically into Class A common stock upon the closing of an initial public offering of Class A common stock with aggregate proceeds of at least $20,000 and a per-share price of at least $15.00. At September 30, 2017 and December 31, 2016, 4,627,577 shares and 2,960,968 shares of Class A common stock were reserved for issuance upon conversion of outstanding Series A through Series F convertible preferred stock.</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Preferences</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Holders of Series A through Series F convertible preferred stock are entitled to receive specified liquidation amounts in the event of a liquidation, dissolution or winding-up of ACM or of certain deemed liquidation events. The deemed liquidation events generally include (a) a merger or stock sale after which new stockholders would own a majority of the voting stock of ACM and (b) a sale of all or substantially all of the assets of the Company.</w:t>
      </w:r>
    </w:p>
    <w:p>
      <w:pPr>
        <w:spacing w:after="0" w:line="14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In the event of a liquidation, dissolution or winding-up of ACM or a deemed liquidation, the holders of Series A through Series F convertible preferred stock shall be entitled to be paid, prior to and in preference to the holders of common stock, an amount equal to $0.80, $1.00, $1.50, $3.75, $1.00 and $2.50 per share of Series A through Series F convertible preferred stock, respectively, plus any accumulated and unpaid dividends as of the redemption date.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ACM’s stock-based compensation awards consisting of employee and non-employee awards were issued under the 1998 Stock Option Plan and 2016 Omnibus Incentive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employee share option activities during the nine months ended September 30, 2017:</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8"/>
              </w:rPr>
              <w:t>Weighted Average</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Weighted</w:t>
            </w: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Option Shares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Price</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2,100,377</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2.03</w:t>
            </w:r>
          </w:p>
        </w:tc>
        <w:tc>
          <w:tcPr>
            <w:tcW w:w="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83,334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7.50</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(174,334)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0.75</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Expired</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(903)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0.55</w:t>
            </w:r>
          </w:p>
        </w:tc>
        <w:tc>
          <w:tcPr>
            <w:tcW w:w="160" w:type="dxa"/>
            <w:vAlign w:val="bottom"/>
          </w:tcPr>
          <w:p>
            <w:pPr>
              <w:spacing w:after="0"/>
              <w:rPr>
                <w:sz w:val="18"/>
                <w:szCs w:val="18"/>
                <w:color w:val="auto"/>
              </w:rPr>
            </w:pP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3.00</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(12,584)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3.00</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Outstanding at September 30, 2017</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1,995,890</w:t>
            </w:r>
          </w:p>
        </w:tc>
        <w:tc>
          <w:tcPr>
            <w:tcW w:w="5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0.63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2.37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September 30, 2017</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902,821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ACM recognized employee stock-based compensation expense of $72 and $22 during the three months ended September 30, 2017 and 2016, respectively, and $200 and $68 during the nine months ended September 30, 2017 and 2016, respectively. As of September 30, 2017, and December 31, 2016, $712 and $726, respectively, of total unrecognized employee stock-based compensation expense, net of estimated forfeitures, related to stock-based awards were expected to be recognized over a weighted-average period of 1.92 years and 2.25 years, respectively. Total recognized compensation cost may be adjusted for future changes in estimated forfeitures.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43"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The fair value of each option granted to an employee during the nine months ended September 30, 2017 was estimated on the grant date using the Black-Scholes valuation model with the following assumptions. No options were granted to employees during the nine months ended September 30, 2016.</w:t>
      </w:r>
    </w:p>
    <w:p>
      <w:pPr>
        <w:spacing w:after="0" w:line="1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280" w:type="dxa"/>
            <w:vAlign w:val="bottom"/>
            <w:gridSpan w:val="4"/>
          </w:tcPr>
          <w:p>
            <w:pPr>
              <w:ind w:left="220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44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 (1)</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Expected term in years (2)</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Volatility (3)</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Risk-free interest rate (4)</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(5)</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the common stock was not publicly traded, the Company used an independent third-party valuation firm to value the common stock.</w:t>
      </w:r>
    </w:p>
    <w:p>
      <w:pPr>
        <w:spacing w:after="0" w:line="23"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20" w:lineRule="exact"/>
        <w:rPr>
          <w:rFonts w:ascii="Arial" w:cs="Arial" w:eastAsia="Arial" w:hAnsi="Arial"/>
          <w:sz w:val="17"/>
          <w:szCs w:val="17"/>
          <w:color w:val="auto"/>
        </w:rPr>
      </w:pPr>
    </w:p>
    <w:p>
      <w:pPr>
        <w:ind w:left="460" w:right="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Company’s non-employee share option activities during the nine months ended September 30, 2017:</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4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5"/>
              </w:rPr>
              <w:t>Weighted</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Option Shares</w:t>
            </w:r>
          </w:p>
        </w:tc>
        <w:tc>
          <w:tcPr>
            <w:tcW w:w="16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2"/>
              </w:rPr>
              <w:t>Date Fair Value</w:t>
            </w:r>
          </w:p>
        </w:tc>
        <w:tc>
          <w:tcPr>
            <w:tcW w:w="15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9"/>
              </w:rPr>
              <w:t>Exercise Price</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1,578,565</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133,335</w:t>
            </w: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7.50</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(298,555)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0.93</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Expired</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(133,336)</w:t>
            </w:r>
          </w:p>
        </w:tc>
        <w:tc>
          <w:tcPr>
            <w:tcW w:w="1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0.75</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1,280,009</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Vested and exercisable at September 30, 2017</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686,875</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recognized non-employee stock-based compensation expense of $272 and $(23) during the three months ended September 30, 2017 and 2016, respectively, and $1,492 and $125 during the nine months ended September 30, 2017 and 2016,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43"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fair value of each option granted to a non-employee during the nine months ended September 30, 2017 was calculated by application of the Black-Scholes valuation model with the following assumptions. No options were granted to any non-employee during the nine months ended September 30, 2016.</w:t>
      </w:r>
    </w:p>
    <w:p>
      <w:pPr>
        <w:spacing w:after="0" w:line="1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6.87-7.59</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Expected term in years (2)</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Volatility (3)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29.18%-29.51%</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Risk-free interest rate (4)</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2.22%-2.43%</w:t>
            </w:r>
          </w:p>
        </w:tc>
        <w:tc>
          <w:tcPr>
            <w:tcW w:w="6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(5)</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the common stock was not publicly traded, the Company used an independent third-party valuation firm to value the common stock.</w:t>
      </w:r>
    </w:p>
    <w:p>
      <w:pPr>
        <w:spacing w:after="0" w:line="23"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20" w:lineRule="exact"/>
        <w:rPr>
          <w:rFonts w:ascii="Arial" w:cs="Arial" w:eastAsia="Arial" w:hAnsi="Arial"/>
          <w:sz w:val="17"/>
          <w:szCs w:val="17"/>
          <w:color w:val="auto"/>
        </w:rPr>
      </w:pPr>
    </w:p>
    <w:p>
      <w:pPr>
        <w:ind w:left="460" w:right="1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in particular the Company’s three-year historical cumulative losses, recent operating losses and U.S. pre-tax loss for the nine months ended September 30, 2017, the Company recorded a valuation allowance against its U.S. net deferred tax assets. In order to fully realize the U.S. deferred tax assets, the Company will need to generate sufficient taxable income in future periods before the expiration of the deferred tax assets governed by the tax code.</w:t>
      </w:r>
    </w:p>
    <w:p>
      <w:pPr>
        <w:spacing w:after="0" w:line="17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each period since inception, the Company has recorded a valuation allowance for the full amount of net deferred tax assets in the US, as the realization of deferred tax assets is uncertain. The China subsidiary has shown a three year historical cumulative profit and has projections of future income. As a result, the Company maintained a partial consolidated valuation allowance for the nine months ended September 30, 2017 and 2016.</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143" w:lineRule="exact"/>
        <w:rPr>
          <w:sz w:val="20"/>
          <w:szCs w:val="20"/>
          <w:color w:val="auto"/>
        </w:rPr>
      </w:pPr>
    </w:p>
    <w:p>
      <w:pPr>
        <w:jc w:val="both"/>
        <w:ind w:right="520" w:firstLine="456"/>
        <w:spacing w:after="0" w:line="286" w:lineRule="auto"/>
        <w:rPr>
          <w:sz w:val="20"/>
          <w:szCs w:val="20"/>
          <w:color w:val="auto"/>
        </w:rPr>
      </w:pPr>
      <w:r>
        <w:rPr>
          <w:rFonts w:ascii="Arial" w:cs="Arial" w:eastAsia="Arial" w:hAnsi="Arial"/>
          <w:sz w:val="17"/>
          <w:szCs w:val="17"/>
          <w:color w:val="auto"/>
        </w:rPr>
        <w:t>The Company’s effective tax rate differs from statutory rates of 34% for U.S. federal income tax purposes and 15%-25% for Chinese income tax purpose due to the effects of the valuation allowance and certain permanent differences as it pertains to book-tax differences. As a result, the company recorded a tax provision of $471 and $59 for the nine months ended September 30, 2017 and 2016.</w:t>
      </w:r>
    </w:p>
    <w:p>
      <w:pPr>
        <w:spacing w:after="0" w:line="166"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As of September 30, 2017, the Company’s total unrecognized tax benefits were approximately $44, which would not affect the effective tax rate if recognized. The Company will recognize interest and penalties, when they occur, related to uncertain tax provisions as a component of tax expense. No interest or penalties were recognized for the nine months ended September 30, 2017.</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2016. To the extent the Company has tax attribute carryforwards, the tax years in which the attribute was generated may be adjusted upon examination by the U.S. Internal Revenue Service, state or foreign tax authorities to the extent utilized in a future period.</w:t>
      </w:r>
    </w:p>
    <w:p>
      <w:pPr>
        <w:spacing w:after="0" w:line="18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 of September 30, 2017 and December 31, 2016, the Company intended that its PRC earnings would be indefinitely reinvested outside of the United States. Thus, deferred taxes were not, for U.S. federal income tax purposes, provided with respect to unremitted earnings from the PRC.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Company leases offices under non-cancelable operating lease agreements. The rental expenses were $473 and $511 for the nine months ended September 30, 2017 and 2016, respectively. See note 13 for future minimum lease payments under non-cancelable operating lease agreements with initial terms of one year or more.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capital commitments during the reported periods.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From time to time the Company is subject to legal proceedings, including claims in the ordinary course of business and claims with respect to patent infringements.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Under PRC regulations, PDHTI and ZSTVC could sell their minority ACM Shanghai equity interests (see note 14) only by means of auction processes. In October 2017 ACM was advised that its bids had won both auctions and that the sales of both of the minority equity interests would be completed by no later than December 31, 2017. Upon completion of the two auction processes, ACM will own all of the outstanding equity interests of ACM Shanghai.</w:t>
      </w:r>
    </w:p>
    <w:p>
      <w:pPr>
        <w:spacing w:after="0" w:line="14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November 2017 ACM issued and sold 2,233,000 shares of Class A common stock in the IPO. Of the shares sold in the IPO, 2,000,000 were sold upon completion of the IPO on November 7, 2017 and 233,000 shares were sold on November 14, 2017 upon exercise of an over-allotment option granted to the underwriters of the IPO. In addition, on November 7, 2017, following the completion of the IPO, ACM issued and sold 1,333,334 shares of Class A common stock in a private placement to two entities (the “Private Placement”). All of the 3,566,334 shares of Class A common stock issued in the IPO and the Private Placement were sold at a price of $5.60 per share, for aggregate gross proceeds of $20.0 million. The Company received approximately $16.5 million in net proceeds after deducting underwriting discounts and commissions, placement fees, and offering costs.</w:t>
      </w:r>
    </w:p>
    <w:p>
      <w:pPr>
        <w:spacing w:after="0" w:line="84" w:lineRule="exact"/>
        <w:rPr>
          <w:sz w:val="20"/>
          <w:szCs w:val="20"/>
          <w:color w:val="auto"/>
        </w:rPr>
      </w:pPr>
    </w:p>
    <w:p>
      <w:pPr>
        <w:jc w:val="both"/>
        <w:ind w:left="900" w:right="44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closing of the IPO on November 7, 2017, all of the outstanding shares of convertible preferred stock automatically converted into 4,627,577 shares of Class A common stock at the respective conversion rates then in effect. Following the closing of the IPO, there were no shares of preferred stock outstanding.</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IPO, ACM amended and restated its certificate of incorporation to change the authorized capital stock to 50,000,000 shares of Class A common stock, 2,409,738 shares of Class B common stock, and 10,000,000 shares designated as preferred stock, all with a par value of $0.0001 per share.</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condensed consolidated financial statements as of September 30, 2017, including share and per share amounts, do not give effect to the IPO, the Private Placement, the conversion of the convertible preferred stock or the amendment and restatement of the certificate of incorporation as all of such events were completed subsequent to September 30, 2017.</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final prospectus filed with the Securities and Exchange Commission on November 3, 2017 pursuant to Rule 424(b) under the Securities Act of 1933.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the section titled “Item 1A. Risk Factors” in Part II. In this discussion, we use financial measures that are considered non-GAAP financial measures under Securities and Exchange Commission rules. These rules require supplemental explanation and reconciliation, which is included elsewhere in this report. Investors should not consider non-GAAP financial measures in isolation from or in substitution for, financial information presented in compliance with U.S. generally accepted accounting principles.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November 2017 we issued and sold 2,233,000 shares of Class A common stock in our initial public offering, or IPO. Of the shares sold in the IPO, 2,000,000 were sold upon completion of the IPO on November 7, 2017 and 233,000 shares were sold on November 14, 2017 upon exercise of an over-allotment option granted to the underwriters of the IPO. In addition, on November 7, 2017, following the completion of the IPO, we issued and sold 1,333,334 shares of Class A common stock in a private placement to two investors, which we refer to as the concurrent private placement. All of the 3,566,334 shares of Class A common stock issued in the IPO and the concurrent private placement were sold at a price of $5.60 per share, for aggregate gross proceeds of $20.0 million. We received $16.5 million in net proceeds from the IPO and the concurrent private placement, after deducting underwriting discounts and commissions, placement fees, and offering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Interests in Our Operating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conduct our business operations principally through ACM Shanghai, a subsidiary of ACM Research. Until August 31, 2017 ACM Research owned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62.87% of the outstanding equity interests in ACM Shanghai. Three third-party investors based in the People’s Republic of China, or PRC, held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37.13% of the ACM Shanghai equity interests, which are reflected as “non-controlling interests” in our consolidated balance sheets.</w:t>
      </w:r>
    </w:p>
    <w:p>
      <w:pPr>
        <w:spacing w:after="0" w:line="211"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6"/>
          <w:szCs w:val="16"/>
          <w:color w:val="auto"/>
        </w:rPr>
        <w:t>On August 31, 2017 we acquired an additional 18.77% of the ACM equity interests, increasing our ownership of ACM equity interests to 81.64%. On that date, Shanghai Science and Technology Venture Capital Co., Ltd. contemporaneously sold to ACM Research, for an aggregate price of $6.2 million, its 18.77% equity interests in ACM Shanghai and purchased from ACM Research, for an aggregate price of $5.8 million, shares of Series E preferred stock that converted, upon completion of the IPO, into 1,666,170 shares of Class A common stock, for an effective purchase price of $3.48 per share.</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PRC regulations, each of the two remaining minority investors could sell its ACM Shanghai equity interests only by means of an auction process. In September 2017 each of the two minority investors commenced an auction process for the sale of its ACM Shanghai equity interests and, pursuant to securities purchase agreements entered into by ACM Research and each of the minority investors in August 2017, ACM Research submitted auction bids for the ACM Shanghai equity interests held by the two minority investors. In October 2017 ACM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Research was advised that its bids for the minority ACM Shanghai equity interests had won both auctions and that the sales of the minority interests would be completed by no later than December 31, 2017:</w:t>
      </w:r>
    </w:p>
    <w:p>
      <w:pPr>
        <w:spacing w:after="0" w:line="76" w:lineRule="exact"/>
        <w:rPr>
          <w:sz w:val="20"/>
          <w:szCs w:val="20"/>
          <w:color w:val="auto"/>
        </w:rPr>
      </w:pPr>
    </w:p>
    <w:p>
      <w:pPr>
        <w:ind w:left="900" w:right="1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Shanghai Pudong High-Tech Investment Co., Ltd. will sell 10.78% of the ACM Shanghai equity interests to ACM Research for an aggregate price of $8.4 million. Its subsidiary Pudong Science and Technology (Cayman) Co., Ltd., pursuant to one of the August 2017 securities purchase agreements, had purchased from ACM Research on September 8, 2017 a total of 1,119,576 shares of Class A common stock at a price of $7.50 per share, representing an aggregate price of $8.4 million.</w:t>
      </w:r>
    </w:p>
    <w:p>
      <w:pPr>
        <w:spacing w:after="0" w:line="92"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Shanghai Zhangjiang Science &amp; Technology Venture Capital Co., Ltd. will sell 7.58% of the ACM Shanghai equity interests to ACM Research for an aggregate price of $5.9 million. Its subsidiary Zhangjiang AJ Company Limited, pursuant to an August 2017 securities purchase agreement, purchased from ACM Research on September 8, 2017 a total of 787,098 shares of Class A common stock at a price of $7.50 per share, representing an aggregate price of $5.9 million.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Upon completion of the two auction processes in the fourth quarter of 2017, ACM will own all of the outstanding equity interests of ACM Shanghai.</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develop, manufacture and sell single-wafer wet cleaning equipment and custom-made wafer assembly and packaging equipment. Because we currently sell our capital equipment, or tools, to a small number of customers and we customize those tools to fulfill the customers’ specific requirements, our revenue generation fluctuates, depending on the length of the sales, development and evaluation phases:</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Sales and Development</w:t>
      </w:r>
      <w:r>
        <w:rPr>
          <w:rFonts w:ascii="Arial" w:cs="Arial" w:eastAsia="Arial" w:hAnsi="Arial"/>
          <w:sz w:val="16"/>
          <w:szCs w:val="16"/>
          <w:color w:val="auto"/>
        </w:rPr>
        <w:t>. During the sale process we may, depending on a prospective customer’s specifications and requirements, need to perform</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research, 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eliminate the need for a demonstration phase and shorten the development cycle.</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Evaluation Periods</w:t>
      </w:r>
      <w:r>
        <w:rPr>
          <w:rFonts w:ascii="Arial" w:cs="Arial" w:eastAsia="Arial" w:hAnsi="Arial"/>
          <w:sz w:val="18"/>
          <w:szCs w:val="18"/>
          <w:color w:val="auto"/>
        </w:rPr>
        <w:t>. When a chip manufacturer proposes to purchase a particular type of tool from us for the first time, we offer the manufacturer an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to evaluate the tool for a period that can extend for 24 months or longer. We do not receive any payment on first-time purchases until the tool is accepted. As a result, we may spend between $1.0 and $2.0 million to produce a tool without receiving payment for more than 24 months or, if the tool is not accepted, without receiving any payment. Please see “Item 1A. Risk Factors—Risks Related to Our Business and Our Industry—We may incur significant expenses long before we can recognize revenue from new products, if at all, due to the costs and length of research, development, manufacturing and customer evaluation process cycles” in Part II below.</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Purchase Orders</w:t>
      </w:r>
      <w:r>
        <w:rPr>
          <w:rFonts w:ascii="Arial" w:cs="Arial" w:eastAsia="Arial" w:hAnsi="Arial"/>
          <w:sz w:val="16"/>
          <w:szCs w:val="16"/>
          <w:color w:val="auto"/>
        </w:rPr>
        <w:t>. In accordance with industry practice, sales of our tools are made pursuant to purchase orders. Each purchase order from a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for one of our tools contains specific technical requirements intended to ensure, among other things, that the tool will be compatible with the customer’s manufacturing process line. Until a purchase order is received, we do not have a binding purchase commitment. Our SAPS and TEBO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Fulfillment</w:t>
      </w:r>
      <w:r>
        <w:rPr>
          <w:rFonts w:ascii="Arial" w:cs="Arial" w:eastAsia="Arial" w:hAnsi="Arial"/>
          <w:sz w:val="18"/>
          <w:szCs w:val="18"/>
          <w:color w:val="auto"/>
        </w:rPr>
        <w:t>. We seek to obtain a purchase order for a tool from three to four months in advance of the expected delivery date. Depending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a customer’s specifications, the lead time for production of a tool generally will extend from two to four months. The lead-time can be as long as six months, however, and in some cases we may need to begin producing a tool based on a customer’s non-binding forecast, rather than waiting to receive a binding purchase order.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expect our sales prices generally to range between $2.5 million and $5.0 million for SAPS tools and between $3.5 million and $6.5 million for TEBO tools. The sales price of a particular tool will vary depending upon the required specifications. We have designed equipment models using a modular configuration that we customize to meet customers’ technical specifications. For example, our Ultra C models for SAPS and TEBO solutions use modular configurations that enable us to create a wet-cleaning tool meeting a customer’s specific requirements, while using pre-existing designs for chamber, electrical, chemical delivery and other modules.</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Because of the relatively large purchase prices of our tools, customers generally pay in installments. For a customer’s repeat purchase of a particular type of tool, the specific payment terms are negotiated in connection with acceptance of a purchase order. Based on our limited experience with repeat sales of SAPS and TEBO tools, we expect that we will receive an initial payment upon delivery of a tool in connection with a repeat purchase, with the balance being paid once the tool has been tested and accepted by the customer. Our sales arrangements for repeat purchases do not include a general right of return.</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Since introducing SAPS technology in 2009, we have focused on selling SAPS-based tools and, beginning in 2016, TEBO-based tools. Our revenue from sales of single-wafer wet cleaning equipment totaled $14.8 million, or 76.8% of our revenue, in the nine months of 2017 (compared with $5.8 million, or 44.6% of revenue, in the first nine months of 2016), $21.5 million, or 78.4% of our revenue, in 2016 and $26.8 million, or 86.0% of our revenue, in 2015.</w:t>
      </w:r>
    </w:p>
    <w:p>
      <w:pPr>
        <w:spacing w:after="0" w:line="14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have generated most of our revenue from a limited number of customers as the result of our strategy of initially placing SAPS- and TEBO-based equipment with a small number of leading chip manufacturers that are driving technology trends and key capability implementation. In 2016 99.3% of our revenue was derived from four customers: Shanghai Huali Microelectronics Corporation, which accounted for 33.7% of our revenue; Semiconductor Manufacturing International Corporation, a leading PRC foundry that accounted for 25.0% of our revenue; SK Hynix Inc., which accounted for 24.0% of our revenue; and JiangYin ChangDian Advanced Packaging Co. Ltd., a leading PRC foundry that accounted for 16.6% of our revenue. In 2015 all of our revenue was derived from three customers, including SK Hynix Inc., which accounted for 86.0% of our revenue, and JiangYin ChangDian Advanced Packaging Co., Ltd., which accounted for 10.1% of our revenue.</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SAPS-based tools following the customer’s completion of its qualification process. We expect that the period from new product introduction to high volume manufacturing will be three years or less in the future. Please see “Item 1A. Risk Factors— 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 in Part II below.</w:t>
      </w:r>
    </w:p>
    <w:p>
      <w:pPr>
        <w:spacing w:after="0" w:line="182"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All of our sales in 2015, 2016 and the first nine months of 2017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81"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We recognize revenue in accordance with the Accounting Standards Codification, or ASC, Topic 605, Revenue Recognition, of the Financial Accounting Standards Board, or FASB, as described below under “—Critical Accounting Policies and Significant Judgments and Estimates—Revenue Recognition.”</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offer extended maintenance service contracts to provide services such as trouble-shooting or fine-tuning tools, and installing spare parts, following expiration of applicable initial warranty coverage periods, which for sales to date have extended from 12 to 36 months as described under “—Critical Accounting Policies and Significant Judgments and Estimates—Warranty.” A limited number of the single-wafer wet cleaning tools we have sold to date are no longer covered by their initial warranties. In 2015, 2016 and the first nine months of 2017, we received payments for parts and labor for service activities provided from time to time, but as of September 30, 2017 we had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not yet entered into extended maintenance service contracts with respect to any of the tools for which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loss or delay of one or more large sale transactions in a quarter could impact our results of operations for that quarter and any future quarters for which revenue from that transaction is lost or delayed, as described under “Item 1A. Risk Factors—Risks Related to Our Business and Our Industry—Our quarterly operating results can be difficult to predict and can fluctuate substantially, which could result in volatility in the price of Class A common stock” in Part II below.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“Item 1A. Risk Factors—Risks Related to Our Business and Our Industry—Difficulties in forecasting demand for our tools may lead to periodic inventory shortages or excess spending on inventory items that may not be used” in Part II below.</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 for capital equipment consists primarily of:</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costs, which consist principally of costs of tool components and subassemblies purchased from third-party vendors;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compensation of personnel associated with our manufacturing operations, including stock-based compensation (“SBC”);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of manufacturing equipment;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of costs of software used for manufacturing purposes;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expenses attributable to our manufacturing department;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are not party to any long-term purchasing agreements with suppliers. Please see “Item 1A. Risk Factors—Risks Related to Our Business and Our Industry—Our customers do not enter into long-term purchase commitments, and they may decrease, cancel or delay their projected purchases at any time” in Part II below. 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gross margin was 41.7% in the first nine months of 2017 (compared with 44.1% in the first nine months of 2016), 48.7% in 2016 and 45.3% in 2015. Gross margin may vary from period to period, primarily related to the level of utilization and the timing and mix of purchase orders. We expect gross margin to be between 40% and 45% for the foreseeable future, with direct manufacturing costs approximating 50% to 55% of revenue and overhead costs totaling approximately 5% of revenue.</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 significant portion of our raw materials are denominated in Renminbi, or RMB, while the majority of our purchase orders are denominated in U.S. dollars. As a result, currency exchange rates may have a significant effect on our gross margin. For further information, please see “Exchange Rate Information.”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experienced, and expect to continue to experience, growth in the dollar amount of our operating expenses, as we make investments to support the anticipated growth of our customer base and the continued development of proprietary technologies. As we continue to grow our business, we expect operating expenses to increase in absolute dollars.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Sales and marketing expense accounted for 18.7% of our revenue in the first nine months of 2017 (compared with 19.4% of revenue in the first nine months of 2016), 14.3% of our revenue in 2016 and 13.5% of our revenue in 2015. Sales and marketing expense consists primarily of:</w:t>
      </w:r>
    </w:p>
    <w:p>
      <w:pPr>
        <w:spacing w:after="0" w:line="52" w:lineRule="exact"/>
        <w:rPr>
          <w:sz w:val="20"/>
          <w:szCs w:val="20"/>
          <w:color w:val="auto"/>
        </w:rPr>
      </w:pPr>
    </w:p>
    <w:p>
      <w:pPr>
        <w:ind w:left="900" w:right="8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compensation of personnel associated with pre- and after-sales support and other sales and marketing activities, including stock-based compensation;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shipping and handling costs for transportation of products to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warranty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181"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Research and development expense accounted for 15.9% of our revenue in the first nine months of 2017 (compared with 17.7% of revenue in the first nine months of 2016), 11.9% of our revenue in 2016 and 9.4% of our revenue in 2015. Research and development expense relates to the development of new products and processes and encompasses our research, development and customer support activities. Research and development expense consists primarily 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Some of our research and development has been funded by grants from the PRC government, as described in “—PRC Government Research and Development Funding” below.</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expect that, for the foreseeable future, research and development expense will increase in absolute dollars and will range between 10% and 12% of revenue, as we continue to invest in research and development to advance our technologies. We intend to continue to invest in research and development to support and enhance our existing single-wafer wet cleaning products and to develop future product offerings to build and maintain our technology leadership position.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General and administrative expense accounted for 22.9% of our revenue in the first nine months of 2017 (compared with 13.0% of revenue in the first nine months of 2016), 9.8% of our revenue in 2016 and 6.7% of our revenue in 2015. General and administrative expense consists primarily of:</w:t>
      </w:r>
    </w:p>
    <w:p>
      <w:pPr>
        <w:spacing w:after="0" w:line="29" w:lineRule="exact"/>
        <w:rPr>
          <w:sz w:val="20"/>
          <w:szCs w:val="20"/>
          <w:color w:val="auto"/>
        </w:rPr>
      </w:pPr>
    </w:p>
    <w:p>
      <w:pPr>
        <w:ind w:left="900" w:right="3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professional fees, including accounting and legal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corporate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expect that, for the foreseeable future, general and administrative expense will increase in absolute dollars, as we incur additional costs associated with growing our business and operating as a public company.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 xml:space="preserve">We grant stock options to employees and non-employee consultants and directors, and we accounts for those stock-based awards in accordance with the FASB’s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and ASC Subtopic 505-50, </w:t>
      </w:r>
      <w:r>
        <w:rPr>
          <w:rFonts w:ascii="Arial" w:cs="Arial" w:eastAsia="Arial" w:hAnsi="Arial"/>
          <w:sz w:val="17"/>
          <w:szCs w:val="17"/>
          <w:i w:val="1"/>
          <w:iCs w:val="1"/>
          <w:color w:val="auto"/>
        </w:rPr>
        <w:t>Equity-Based Payments to Non-Employees</w:t>
      </w:r>
      <w:r>
        <w:rPr>
          <w:rFonts w:ascii="Arial" w:cs="Arial" w:eastAsia="Arial" w:hAnsi="Arial"/>
          <w:sz w:val="17"/>
          <w:szCs w:val="17"/>
          <w:color w:val="auto"/>
        </w:rPr>
        <w:t>.</w:t>
      </w:r>
    </w:p>
    <w:p>
      <w:pPr>
        <w:spacing w:after="0" w:line="5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Stock-based awards granted to employees are measured at the fair value of the awards on the grant date and are recognized as expenses either</w:t>
      </w:r>
    </w:p>
    <w:p>
      <w:pPr>
        <w:spacing w:after="0" w:line="46" w:lineRule="exact"/>
        <w:rPr>
          <w:rFonts w:ascii="Arial" w:cs="Arial" w:eastAsia="Arial" w:hAnsi="Arial"/>
          <w:sz w:val="16"/>
          <w:szCs w:val="16"/>
          <w:color w:val="auto"/>
        </w:rPr>
      </w:pPr>
    </w:p>
    <w:p>
      <w:pPr>
        <w:ind w:left="900" w:right="440"/>
        <w:spacing w:after="0" w:line="254" w:lineRule="auto"/>
        <w:rPr>
          <w:rFonts w:ascii="Arial" w:cs="Arial" w:eastAsia="Arial" w:hAnsi="Arial"/>
          <w:sz w:val="16"/>
          <w:szCs w:val="16"/>
          <w:color w:val="auto"/>
        </w:rPr>
      </w:pPr>
      <w:r>
        <w:rPr>
          <w:rFonts w:ascii="Arial" w:cs="Arial" w:eastAsia="Arial" w:hAnsi="Arial"/>
          <w:sz w:val="18"/>
          <w:szCs w:val="18"/>
          <w:color w:val="auto"/>
        </w:rPr>
        <w:t>(a)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cost of revenue or to the category of operating expense corresponding to the employee’s service function.</w:t>
      </w:r>
    </w:p>
    <w:p>
      <w:pPr>
        <w:spacing w:after="0" w:line="95" w:lineRule="exact"/>
        <w:rPr>
          <w:rFonts w:ascii="Arial" w:cs="Arial" w:eastAsia="Arial" w:hAnsi="Arial"/>
          <w:sz w:val="16"/>
          <w:szCs w:val="16"/>
          <w:color w:val="auto"/>
        </w:rPr>
      </w:pPr>
    </w:p>
    <w:p>
      <w:pPr>
        <w:ind w:left="900" w:right="280" w:hanging="325"/>
        <w:spacing w:after="0" w:line="279"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 and operating expenses during the periods presented below have included stock-based compensation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4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2016</w:t>
            </w:r>
          </w:p>
        </w:tc>
        <w:tc>
          <w:tcPr>
            <w:tcW w:w="4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660"/>
              <w:spacing w:after="0" w:line="142" w:lineRule="exact"/>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Research and development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r>
      <w:tr>
        <w:trPr>
          <w:trHeight w:val="223"/>
        </w:trPr>
        <w:tc>
          <w:tcPr>
            <w:tcW w:w="692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recognized stock-based compensation expense to employees of $72,000 in the third quarter of 2017 (compared to $23,000 in the third quarter of 2016), $200,000 in the first nine months of 2017 (compared to $68,000 in the first nine months of 2016), $92,000 in 2016 and $73,000 in 2015. As of September 30, 2017 and December 31, 2016 and 2015, there was $712,000, $726,000 and $299,000 of total unrecognized employee share-based compensation expense, net of estimated forfeitures, related to unvested share-based awards, which are expected to be recognized over a weighted-average period of 1.92 years, 2.25 years and 1.24 years, respectively.</w:t>
      </w:r>
    </w:p>
    <w:p>
      <w:pPr>
        <w:spacing w:after="0" w:line="188"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We recognized stock-based compensation expense to non-employees of $272,000 in the third quarter of 2017 (compared to ($23,000) in the third quarter of 2016), $1.5 million in the first nine months of 2017 (compared to $125,000 in the first nine months of 2016), $291,000 in 2016 and $350,000 in 2015. The fair value of each option granted to a non-employee is re-measured at each period end until the vesting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 Government Research and Development Funding</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ACM Shanghai has received three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most recent grant was made in 2014 and relates to the development of electro copper-plating technology. PRC governmental authorities provide the majority of the funding, although ACM Shanghai is also required to invest certain amounts in the projects.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87" w:lineRule="exact"/>
        <w:rPr>
          <w:sz w:val="20"/>
          <w:szCs w:val="20"/>
          <w:color w:val="auto"/>
        </w:rPr>
      </w:pPr>
    </w:p>
    <w:p>
      <w:pPr>
        <w:ind w:left="900" w:right="100" w:hanging="325"/>
        <w:spacing w:after="0" w:line="31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Government subsidies relating to current expenses are reflected as reductions of those expenses in the periods in which they are reported. Those reductions totaled $757,000 in the third quarter of 2017 (compared to $3.5 million in the third quarter of 2016), $2.8 million in the first nine months of 2017 (compared to $5.5 million in the first nine months of 2016), $6.2 million in 2016 and $3.8 million in 2015.</w:t>
      </w:r>
    </w:p>
    <w:p>
      <w:pPr>
        <w:spacing w:after="0" w:line="52" w:lineRule="exact"/>
        <w:rPr>
          <w:rFonts w:ascii="Arial" w:cs="Arial" w:eastAsia="Arial" w:hAnsi="Arial"/>
          <w:sz w:val="16"/>
          <w:szCs w:val="16"/>
          <w:color w:val="auto"/>
        </w:rPr>
      </w:pPr>
    </w:p>
    <w:p>
      <w:pPr>
        <w:ind w:left="900" w:right="160" w:hanging="325"/>
        <w:spacing w:after="0" w:line="286"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Government subsidies for interest on short-term borrowings are reported as reductions of interest expense in the periods the interest is accrued. Those reductions totaled $0 in the third quarter of 2017 (compared to an increase of $1,000 in the third quarter of 2016), $0 in the first nine months of 2017 (compared to $100,000 in the first nine months of 2016), $99,000 in 2016 and $303,000 in 2015.</w:t>
      </w:r>
    </w:p>
    <w:p>
      <w:pPr>
        <w:spacing w:after="0" w:line="70" w:lineRule="exact"/>
        <w:rPr>
          <w:rFonts w:ascii="Arial" w:cs="Arial" w:eastAsia="Arial" w:hAnsi="Arial"/>
          <w:sz w:val="17"/>
          <w:szCs w:val="17"/>
          <w:color w:val="auto"/>
        </w:rPr>
      </w:pPr>
    </w:p>
    <w:p>
      <w:pPr>
        <w:ind w:left="900" w:right="80" w:hanging="325"/>
        <w:spacing w:after="0" w:line="30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$34,000 in the third quarter of 2017 (compared to $30,000 in the third quarter of 2016), $99,000 in the first nine months of 2017 (compared to $93,000 in the first nine months of 2016), $127,000 in 2016 and $105,000 in 2015.</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Since 2006 we have conducted our business through our subsidiary ACM Shanghai, and we have financed our operations in part through sale of minority equity interests in ACM Shanghai. From January 1, 2015 to August 31, 2017, ACM Research owned 62.87% of the equity interests of ACM Shanghai and three non-controlling, unrelated investors held the remaining 37.13%. As described above under “—Minority Interests in Our Operating Company,” ACM Research (a) acquired an additional 18.77% of the ACM Shanghai equity interests from one of the minority investors as of August 31, 2017 and (b) entered into agreements with the other two minority investors pursuant to which it will acquire the remaining minority equity interests in the fourth quarter of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present information below with respect to three measures of financial performance:</w:t>
      </w:r>
    </w:p>
    <w:p>
      <w:pPr>
        <w:spacing w:after="0" w:line="131" w:lineRule="exact"/>
        <w:rPr>
          <w:sz w:val="20"/>
          <w:szCs w:val="20"/>
          <w:color w:val="auto"/>
        </w:rPr>
      </w:pPr>
    </w:p>
    <w:p>
      <w:pPr>
        <w:jc w:val="both"/>
        <w:ind w:left="900" w:right="8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less purchases of property and equipment (net of proceeds from disposals) and of intangible assets.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define “adjusted operating income (loss)” as our income (loss) from operations excluding stock-based compensation.</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presented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82"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Adjusted EBITDA, free cash flow and adjusted operating income (loss) are not prepared in accordance with GAAP, and should not be considered in isolation of, or as an alternative to, measures prepared in accordance with GAAP. There are a number of limitations related to the use of adjusted EBITDA rather than net income (loss), which is the nearest GAAP equivalent. Some of these limitations are:</w:t>
      </w:r>
    </w:p>
    <w:p>
      <w:pPr>
        <w:spacing w:after="0" w:line="87" w:lineRule="exact"/>
        <w:rPr>
          <w:sz w:val="20"/>
          <w:szCs w:val="20"/>
          <w:color w:val="auto"/>
        </w:rPr>
      </w:pPr>
    </w:p>
    <w:p>
      <w:pPr>
        <w:ind w:left="900" w:right="180" w:hanging="325"/>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adjusted EBITDA excludes depreciation and amortization and, although these are non-cash expenses, the assets being depreciated or amortized may have to be replaced in the future; the assets being depreciated or amortized may have to be replaced in the future;</w:t>
      </w:r>
    </w:p>
    <w:p>
      <w:pPr>
        <w:spacing w:after="0" w:line="51" w:lineRule="exact"/>
        <w:rPr>
          <w:rFonts w:ascii="Arial" w:cs="Arial" w:eastAsia="Arial" w:hAnsi="Arial"/>
          <w:sz w:val="17"/>
          <w:szCs w:val="17"/>
          <w:color w:val="auto"/>
        </w:rPr>
      </w:pPr>
    </w:p>
    <w:p>
      <w:pPr>
        <w:ind w:left="900" w:right="80" w:hanging="325"/>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w:t>
      </w:r>
    </w:p>
    <w:p>
      <w:pPr>
        <w:ind w:left="900" w:right="200" w:hanging="1"/>
        <w:spacing w:after="0" w:line="261" w:lineRule="auto"/>
        <w:tabs>
          <w:tab w:leader="none" w:pos="11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we did not pay out a portion of our compensation in the form of stock-based compensation, the cash salary expense included in operating expenses would be higher, which would affect our cash position;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142"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spacing w:after="0" w:line="75" w:lineRule="exact"/>
        <w:rPr>
          <w:rFonts w:ascii="Arial" w:cs="Arial" w:eastAsia="Arial" w:hAnsi="Arial"/>
          <w:sz w:val="18"/>
          <w:szCs w:val="18"/>
          <w:color w:val="auto"/>
        </w:rPr>
      </w:pPr>
    </w:p>
    <w:p>
      <w:pPr>
        <w:ind w:left="900" w:right="40" w:hanging="325"/>
        <w:spacing w:after="0" w:line="286"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net income (loss), the most directly comparable GAAP financial measure, to adjusted EBITDA:</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5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5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tcPr>
          <w:p>
            <w:pPr>
              <w:jc w:val="right"/>
              <w:ind w:right="780"/>
              <w:spacing w:after="0" w:line="142"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Data:</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(1,282)</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$ 561</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$(4,237)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132</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343</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580" w:type="dxa"/>
            <w:vAlign w:val="bottom"/>
          </w:tcPr>
          <w:p>
            <w:pPr>
              <w:jc w:val="right"/>
              <w:spacing w:after="0"/>
              <w:rPr>
                <w:sz w:val="20"/>
                <w:szCs w:val="20"/>
                <w:color w:val="auto"/>
              </w:rPr>
            </w:pPr>
            <w:r>
              <w:rPr>
                <w:rFonts w:ascii="Arial" w:cs="Arial" w:eastAsia="Arial" w:hAnsi="Arial"/>
                <w:sz w:val="18"/>
                <w:szCs w:val="18"/>
                <w:color w:val="auto"/>
              </w:rPr>
              <w:t>1,692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(1,121)</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$ 799</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Adjusted EBITDA in the third quarter ended September 30, 2017, as compared with the comparable period in 2016, reflected an increase of</w:t>
      </w:r>
    </w:p>
    <w:p>
      <w:pPr>
        <w:spacing w:after="0" w:line="3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$1.1 million in non-GAAP operating expenses and a decrease of $621,000 in gross profit. Adjusted EBITDA in the nine months ended September 30, 2017, as compared with the comparable period in 2016, reflected an increase of $3.2 million in non-GAAP operating expenses and an increase of $1.0 million in other non-operating expenses, substantially offset by an increase of $2.4 million in gross profit.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reconciles net cash provided by operating activities, the most directly comparable GAAP financial measure, to free cash flow:</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7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5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5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5"/>
          </w:tcPr>
          <w:p>
            <w:pPr>
              <w:jc w:val="right"/>
              <w:ind w:right="620"/>
              <w:spacing w:after="0" w:line="142" w:lineRule="exact"/>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Data:</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$(7,644)</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$(1,770)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$(4,661)</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 of proceeds from disposal</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(149)</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(37)</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(7,768)</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(1,858)</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Free cash flow in the third quarter ended September 30, 2017, as compared with the comparable period in 2016, reflected, in addition to the factors driving net cash provided by operating activities, (a) decreases in accounts receivable offset by increases in accounts payable and (b) increases in stock-based compensation. Free cash flow in the nine months ended September 30, 2017, as compared with the comparable period in 2016, reflected, in addition to the factors driving net cash provided by operating activities, (a) decreases in accounts receivable offset by increases in accounts payable and (b) increases in stock-based compensation. Consistent with our methodology for calculating adjusted EBITDA, we do not adjust free cash flow for the effects of PRC government subsidies, because we take those subsidies into account in incurring expenses and capital expenditures.</w:t>
      </w:r>
    </w:p>
    <w:p>
      <w:pPr>
        <w:spacing w:after="0" w:line="165" w:lineRule="exact"/>
        <w:rPr>
          <w:sz w:val="20"/>
          <w:szCs w:val="20"/>
          <w:color w:val="auto"/>
        </w:rPr>
      </w:pPr>
    </w:p>
    <w:p>
      <w:pPr>
        <w:ind w:right="240" w:firstLine="456"/>
        <w:spacing w:after="0" w:line="270" w:lineRule="auto"/>
        <w:rPr>
          <w:sz w:val="20"/>
          <w:szCs w:val="20"/>
          <w:color w:val="auto"/>
        </w:rPr>
      </w:pPr>
      <w:r>
        <w:rPr>
          <w:rFonts w:ascii="Arial" w:cs="Arial" w:eastAsia="Arial" w:hAnsi="Arial"/>
          <w:sz w:val="17"/>
          <w:szCs w:val="17"/>
          <w:color w:val="auto"/>
        </w:rPr>
        <w:t>Adjusted operating income (loss)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from line items comprising income (loss) from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10"/>
          </w:tcPr>
          <w:p>
            <w:pPr>
              <w:jc w:val="right"/>
              <w:ind w:right="44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Actual</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SBC</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Adjusted</w:t>
            </w:r>
          </w:p>
        </w:tc>
        <w:tc>
          <w:tcPr>
            <w:tcW w:w="300" w:type="dxa"/>
            <w:vAlign w:val="bottom"/>
          </w:tcPr>
          <w:p>
            <w:pPr>
              <w:spacing w:after="0"/>
              <w:rPr>
                <w:sz w:val="10"/>
                <w:szCs w:val="10"/>
                <w:color w:val="auto"/>
              </w:rPr>
            </w:pPr>
          </w:p>
        </w:tc>
        <w:tc>
          <w:tcPr>
            <w:tcW w:w="8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Actual</w:t>
            </w:r>
          </w:p>
        </w:tc>
        <w:tc>
          <w:tcPr>
            <w:tcW w:w="5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SBC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(GAAP)</w:t>
            </w:r>
          </w:p>
        </w:tc>
        <w:tc>
          <w:tcPr>
            <w:tcW w:w="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(GAAP)</w:t>
            </w: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right"/>
              <w:ind w:right="560"/>
              <w:spacing w:after="0" w:line="142" w:lineRule="exact"/>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(Loss):</w:t>
            </w:r>
          </w:p>
        </w:tc>
        <w:tc>
          <w:tcPr>
            <w:tcW w:w="2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Revenue</w:t>
            </w:r>
          </w:p>
        </w:tc>
        <w:tc>
          <w:tcPr>
            <w:tcW w:w="3080" w:type="dxa"/>
            <w:vAlign w:val="bottom"/>
            <w:gridSpan w:val="3"/>
          </w:tcPr>
          <w:p>
            <w:pPr>
              <w:jc w:val="right"/>
              <w:ind w:right="320"/>
              <w:spacing w:after="0"/>
              <w:rPr>
                <w:sz w:val="20"/>
                <w:szCs w:val="20"/>
                <w:color w:val="auto"/>
              </w:rPr>
            </w:pPr>
            <w:r>
              <w:rPr>
                <w:rFonts w:ascii="Arial" w:cs="Arial" w:eastAsia="Arial" w:hAnsi="Arial"/>
                <w:sz w:val="18"/>
                <w:szCs w:val="18"/>
                <w:color w:val="auto"/>
              </w:rPr>
              <w:t>$ 4,891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4,904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2,692</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1,989</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3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2,915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080" w:type="dxa"/>
            <w:vAlign w:val="bottom"/>
            <w:gridSpan w:val="3"/>
          </w:tcPr>
          <w:p>
            <w:pPr>
              <w:jc w:val="right"/>
              <w:ind w:right="260"/>
              <w:spacing w:after="0"/>
              <w:rPr>
                <w:sz w:val="20"/>
                <w:szCs w:val="20"/>
                <w:color w:val="auto"/>
              </w:rPr>
            </w:pPr>
            <w:r>
              <w:rPr>
                <w:rFonts w:ascii="Arial" w:cs="Arial" w:eastAsia="Arial" w:hAnsi="Arial"/>
                <w:sz w:val="18"/>
                <w:szCs w:val="18"/>
                <w:color w:val="auto"/>
              </w:rPr>
              <w:t>(1,036)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(1,209)</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(1,264)</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(1,310)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0" w:type="dxa"/>
            <w:vAlign w:val="bottom"/>
            <w:vMerge w:val="restart"/>
          </w:tcPr>
          <w:p>
            <w:pPr>
              <w:jc w:val="right"/>
              <w:ind w:right="490"/>
              <w:spacing w:after="0"/>
              <w:rPr>
                <w:sz w:val="20"/>
                <w:szCs w:val="20"/>
                <w:color w:val="auto"/>
              </w:rPr>
            </w:pPr>
            <w:r>
              <w:rPr>
                <w:rFonts w:ascii="Arial" w:cs="Arial" w:eastAsia="Arial" w:hAnsi="Arial"/>
                <w:sz w:val="18"/>
                <w:szCs w:val="18"/>
                <w:color w:val="auto"/>
              </w:rPr>
              <w:t>34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7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Actual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SBC</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Adjusted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Actual</w:t>
            </w:r>
          </w:p>
        </w:tc>
        <w:tc>
          <w:tcPr>
            <w:tcW w:w="5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SBC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100" w:type="dxa"/>
            <w:vAlign w:val="bottom"/>
          </w:tcPr>
          <w:p>
            <w:pPr>
              <w:spacing w:after="0"/>
              <w:rPr>
                <w:sz w:val="14"/>
                <w:szCs w:val="14"/>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(GAAP)</w:t>
            </w:r>
          </w:p>
        </w:tc>
        <w:tc>
          <w:tcPr>
            <w:tcW w:w="5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6"/>
          </w:tcPr>
          <w:p>
            <w:pPr>
              <w:jc w:val="right"/>
              <w:ind w:right="700"/>
              <w:spacing w:after="0" w:line="142" w:lineRule="exact"/>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(Loss):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Revenue</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$19,314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19,314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13,026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(2,527)</w:t>
            </w: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(2,299)</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1,604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(1,694)</w:t>
            </w: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177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(3,065)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1,692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193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Adjusted operating loss in the third quarter ended September 30, 2017, as compared with the comparable period in 2016, reflected an increase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$343,000 in stock-based compensation expense. Adjusted operating loss in the nine months ended September 30, 2017, as compared with the comparable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in 2016, reflected an increase of $1.5 million in stock-based compensation expense.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 Actual results could differ from those estimates. The accounting policies that reflect our more significant estimates, judgments and assumptions and that we believe are the most critical to aid in fully understanding and evaluating our reported financial results include the following:</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 xml:space="preserve">We utilize the guidance set forth in the FASB’s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regarding the recognition, presentation and disclosure of revenue in our financial statements. We recognize revenue when persuasive evidence of an arrangement exists; delivery has occurred and the major risks and remunerations of ownership have been transferred to the customer; collectability is probable; and the selling price is fixed or determinable.</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the following circumstances, however, we recognize revenue upon shipment or delivery, when legal title to the tool is passed to a customer as follows:</w:t>
      </w:r>
    </w:p>
    <w:p>
      <w:pPr>
        <w:spacing w:after="0" w:line="92" w:lineRule="exact"/>
        <w:rPr>
          <w:sz w:val="20"/>
          <w:szCs w:val="20"/>
          <w:color w:val="auto"/>
        </w:rPr>
      </w:pPr>
    </w:p>
    <w:p>
      <w:pPr>
        <w:ind w:left="900" w:right="1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type of tool with the same specifications and when we can objectively demonstrate that the tool meets all of the required acceptance criteria;</w:t>
      </w:r>
    </w:p>
    <w:p>
      <w:pPr>
        <w:spacing w:after="0" w:line="75"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the sales contract or purchase order does not contain an acceptance agreement or a lapsing acceptance provision and when we can objectively demonstrate that the tool meets all of the required acceptance criteria;</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our sales arrangements do not include a general right of return.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Customization, production, installation and delivery are essential elements of the functionality of our delivered tools, but the related services we offer, principally warranty services, are not essential to tool functionality. We treat the customization, production, installation and delivery of tools, together with the provision of related warranty and other services, as a single unit of accounting in accordance with the FASB’s ASC Subtopic 605-25,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Multiple Element Arrangements. </w:t>
      </w:r>
      <w:r>
        <w:rPr>
          <w:rFonts w:ascii="Arial" w:cs="Arial" w:eastAsia="Arial" w:hAnsi="Arial"/>
          <w:sz w:val="16"/>
          <w:szCs w:val="16"/>
          <w:color w:val="auto"/>
        </w:rPr>
        <w:t>In the first nine months of 2017 and in 2016 and 2015 all of our tools were sold in stand-alone arrangements.</w:t>
      </w:r>
    </w:p>
    <w:p>
      <w:pPr>
        <w:spacing w:after="0" w:line="154"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offer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We do not expect revenue from extended maintenance service contracts to represent a material portion of our revenue in the future.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account for grants of stock options based on their grant date fair value and recognize compensation expense over the vesting periods. We estimate the fair value of stock options as of the date of grant using the Black-Scholes option pricing model. Stock options granted to non-employees are subject to periodic revaluation over their vesting terms.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stock option grants using the Black-Scholes option pricing model, which requires the input of highly subjective assumptions, including (a) the risk-free interest rate, (b) the expected volatility of our stock, (c) the expected term of the award and (d) the expected dividend yield.</w:t>
      </w:r>
    </w:p>
    <w:p>
      <w:pPr>
        <w:spacing w:after="0" w:line="9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risk-free interest rates for periods within the expected life of the option are based on the yields of zero-coupon U.S. Treasury securities.</w:t>
      </w:r>
    </w:p>
    <w:p>
      <w:pPr>
        <w:spacing w:after="0" w:line="142" w:lineRule="exact"/>
        <w:rPr>
          <w:rFonts w:ascii="Arial" w:cs="Arial" w:eastAsia="Arial" w:hAnsi="Arial"/>
          <w:sz w:val="17"/>
          <w:szCs w:val="17"/>
          <w:color w:val="auto"/>
        </w:rPr>
      </w:pPr>
    </w:p>
    <w:p>
      <w:pPr>
        <w:ind w:left="900" w:right="120" w:hanging="325"/>
        <w:spacing w:after="0" w:line="272"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Due to the lack of a public market for the trading of the Class A common stock and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have computed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the price for Class A common stock becomes available.</w:t>
      </w:r>
    </w:p>
    <w:p>
      <w:pPr>
        <w:spacing w:after="0" w:line="83" w:lineRule="exact"/>
        <w:rPr>
          <w:rFonts w:ascii="Arial" w:cs="Arial" w:eastAsia="Arial" w:hAnsi="Arial"/>
          <w:sz w:val="17"/>
          <w:szCs w:val="17"/>
          <w:color w:val="auto"/>
        </w:rPr>
      </w:pPr>
    </w:p>
    <w:p>
      <w:pPr>
        <w:ind w:left="900" w:right="220" w:hanging="325"/>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spacing w:after="0" w:line="51"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expected dividend yield is assumed to be 0%, based on the fact that we have never paid cash dividends and have no present intention to pay cash dividends.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No stock options were granted to employees during the three months ended September 30, 2017 or the nine months ended September 30, 2016. For employee stock option grants made during the nine months ended September 30, 2017, the weighted-average assumptions used in the Black-Scholes option pricing model to determine the fair value of those grants were as follows: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4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780" w:type="dxa"/>
            <w:vAlign w:val="bottom"/>
            <w:tcBorders>
              <w:bottom w:val="single" w:sz="8" w:color="CCEEFF"/>
            </w:tcBorders>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September 30, 2017</w:t>
            </w:r>
          </w:p>
        </w:tc>
        <w:tc>
          <w:tcPr>
            <w:tcW w:w="200" w:type="dxa"/>
            <w:vAlign w:val="bottom"/>
            <w:tcBorders>
              <w:bottom w:val="single" w:sz="8" w:color="CCEEFF"/>
            </w:tcBorders>
          </w:tcPr>
          <w:p>
            <w:pPr>
              <w:spacing w:after="0"/>
              <w:rPr>
                <w:sz w:val="14"/>
                <w:szCs w:val="14"/>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Expected volatility</w:t>
            </w:r>
          </w:p>
        </w:tc>
        <w:tc>
          <w:tcPr>
            <w:tcW w:w="4980" w:type="dxa"/>
            <w:vAlign w:val="bottom"/>
            <w:gridSpan w:val="3"/>
          </w:tcPr>
          <w:p>
            <w:pPr>
              <w:jc w:val="right"/>
              <w:ind w:right="60"/>
              <w:spacing w:after="0"/>
              <w:rPr>
                <w:sz w:val="20"/>
                <w:szCs w:val="20"/>
                <w:color w:val="auto"/>
              </w:rPr>
            </w:pPr>
            <w:r>
              <w:rPr>
                <w:rFonts w:ascii="Arial" w:cs="Arial" w:eastAsia="Arial" w:hAnsi="Arial"/>
                <w:sz w:val="18"/>
                <w:szCs w:val="18"/>
                <w:color w:val="auto"/>
              </w:rPr>
              <w:t>29.18%</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9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350"/>
        </w:trPr>
        <w:tc>
          <w:tcPr>
            <w:tcW w:w="2780" w:type="dxa"/>
            <w:vAlign w:val="bottom"/>
          </w:tcPr>
          <w:p>
            <w:pPr>
              <w:spacing w:after="0"/>
              <w:rPr>
                <w:sz w:val="24"/>
                <w:szCs w:val="24"/>
                <w:color w:val="auto"/>
              </w:rPr>
            </w:pPr>
          </w:p>
        </w:tc>
        <w:tc>
          <w:tcPr>
            <w:tcW w:w="3540" w:type="dxa"/>
            <w:vAlign w:val="bottom"/>
          </w:tcPr>
          <w:p>
            <w:pPr>
              <w:jc w:val="right"/>
              <w:ind w:right="2274"/>
              <w:spacing w:after="0"/>
              <w:rPr>
                <w:sz w:val="20"/>
                <w:szCs w:val="20"/>
                <w:color w:val="auto"/>
              </w:rPr>
            </w:pPr>
            <w:r>
              <w:rPr>
                <w:rFonts w:ascii="Arial" w:cs="Arial" w:eastAsia="Arial" w:hAnsi="Arial"/>
                <w:sz w:val="18"/>
                <w:szCs w:val="18"/>
                <w:color w:val="auto"/>
              </w:rPr>
              <w:t>36</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No stock options were granted to non-employees during the three months ended September 30, 2017 or the nine months ended September 30, 2016. For non-employee stock option grants made during the nine months ended September 30, 2017, the weighted-average assumptions used in the Black-Scholes option pricing model to determine the fair value of those grants were as follows: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04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September 30, 2017</w:t>
            </w:r>
          </w:p>
        </w:tc>
        <w:tc>
          <w:tcPr>
            <w:tcW w:w="200" w:type="dxa"/>
            <w:vAlign w:val="bottom"/>
            <w:tcBorders>
              <w:bottom w:val="single" w:sz="8" w:color="CCEEFF"/>
            </w:tcBorders>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 - 2.43%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volatility</w:t>
            </w:r>
          </w:p>
        </w:tc>
        <w:tc>
          <w:tcPr>
            <w:tcW w:w="3720" w:type="dxa"/>
            <w:vAlign w:val="bottom"/>
            <w:gridSpan w:val="3"/>
          </w:tcPr>
          <w:p>
            <w:pPr>
              <w:jc w:val="right"/>
              <w:ind w:right="60"/>
              <w:spacing w:after="0"/>
              <w:rPr>
                <w:sz w:val="20"/>
                <w:szCs w:val="20"/>
                <w:color w:val="auto"/>
              </w:rPr>
            </w:pPr>
            <w:r>
              <w:rPr>
                <w:rFonts w:ascii="Arial" w:cs="Arial" w:eastAsia="Arial" w:hAnsi="Arial"/>
                <w:sz w:val="18"/>
                <w:szCs w:val="18"/>
                <w:color w:val="auto"/>
              </w:rPr>
              <w:t>29.18% - 29.51%</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7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by grant date the number of shares of common stock underlying stock options granted from January 1, 2016 through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2017, as well as the associated per share exercise price and the estimated fair value per share of common stock on the grant date:</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7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7"/>
              </w:rPr>
              <w:t>Number of</w:t>
            </w:r>
          </w:p>
        </w:tc>
        <w:tc>
          <w:tcPr>
            <w:tcW w:w="16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9"/>
              </w:rPr>
              <w:t>Exercise Price</w:t>
            </w: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16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Dates</w:t>
            </w: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per Common</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per</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17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Options Granted</w:t>
            </w:r>
          </w:p>
        </w:tc>
        <w:tc>
          <w:tcPr>
            <w:tcW w:w="16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Share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Common Share</w:t>
            </w: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December</w:t>
            </w:r>
          </w:p>
        </w:tc>
        <w:tc>
          <w:tcPr>
            <w:tcW w:w="4440" w:type="dxa"/>
            <w:vAlign w:val="bottom"/>
            <w:tcBorders>
              <w:top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91"/>
              </w:rPr>
              <w:t>28, 2016</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1,424,596</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7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9"/>
              </w:rPr>
              <w:t>2.28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March 9, 2017</w:t>
            </w: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33,334</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7.50</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w w:val="96"/>
              </w:rPr>
              <w:t>7.50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183,335</w:t>
            </w:r>
          </w:p>
        </w:tc>
        <w:tc>
          <w:tcPr>
            <w:tcW w:w="7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7.50</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6"/>
              </w:rPr>
              <w:t>7.50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As of September 30, 2017, the unrecognized compensation cost related to outstanding options was $712,000 and is expected to be recognized as expense over a weighted-average of 1.92 years.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of September 30, 2017, we had outstanding stock options to acquire an aggregate of 3,275,899 shares of Class A common stock with an intrinsic value of $7.8 million. Of those outstanding options, (a) 1,589,696 shares had vested, representing an intrinsic value of $2.3 million and (b) 1,686,203 shares were unvested, representing an intrinsic value of $5.5 million.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Determination of Fair Value of Common Stock</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Prior to the pricing of the IPO on November 2, 2017, we were required to estimate the fair value of Class A common stock underlying our stock-based awards when performing fair value calculations. All options to purchase shares of Class A common stock are intended to be granted with an exercise price per share no less than the fair value per share of the Class A common stock underlying those options on the date of grant, based on the information known to us on the date of grant. In the absence of a public trading market for the Class A common stock, on each grant date we developed an estimate of the fair value of the common stock with the assistance of a third-party valuation specialist to determine an exercise price for the option grants.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historically granted stock options at exercise prices equal to the fair value of the Class A common stock as of the date of grant, as determined by the board of directors with input from management. Prior to the pricing of the IPO, the board determined the fair value of the Class A common stock by considering a number of objective and subjective factors, including our financial performance and projections, the relative illiquidity of the Class A common stock, the pricing of sales of convertible preferred stock to third parties, the preferences of our outstanding convertible preferred stock as compared to the Class A common stock, including the liquidation preferences and dividend rights, peer group trading multiples, and trends in the broad semiconductor equipment market.</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On December 28, 2016, March 9, 2017 and May 9, 2017, the compensation committee of the board of directors, acting with the assistance of a third-party valuation specialist, considered the fair value of the Class A common stock. In considering the fair value, the compensation committee took into account the methodologies, approaches and assumptions provided by the </w:t>
      </w:r>
      <w:r>
        <w:rPr>
          <w:rFonts w:ascii="Arial" w:cs="Arial" w:eastAsia="Arial" w:hAnsi="Arial"/>
          <w:sz w:val="18"/>
          <w:szCs w:val="18"/>
          <w:i w:val="1"/>
          <w:iCs w:val="1"/>
          <w:color w:val="auto"/>
        </w:rPr>
        <w:t>Audit and Accounting Practice Aid Series: Valuation of Privately Held 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Issued as Compensation of the American Institute of Certified Public Accountants</w:t>
      </w:r>
      <w:r>
        <w:rPr>
          <w:rFonts w:ascii="Arial" w:cs="Arial" w:eastAsia="Arial" w:hAnsi="Arial"/>
          <w:sz w:val="18"/>
          <w:szCs w:val="18"/>
          <w:color w:val="auto"/>
        </w:rPr>
        <w:t>, or the Practice Aid. There are significant judgments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inherent in the compensation committee’s determination of the fair value of the Class A common stock. These judgments and estimates include assumptions regarding our future operating performance, the time to completing the IPO or other liquidity event, and the determination of the appropriate valuation methods. If we had made different assumptions, our stock-based compensation expense, net loss and net loss per common share could have been significantly different.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December 28, 2016, March 9, 2017 and May 9, 2017, the compensation committee of the board of directors considered the fair value of the Class A common stock. In considering the fair value, the compensation committee took into account the methodologies, approaches and assumptions provided by the Practice Aid. In accordance with the Practice Aid, the compensation committee considered the various methods for allocating the enterprise value across the classes and series of capital stock to determine the fair value of our common stock at each valuation date. The compensation committee considered, but did not use, the liquidation value, single period capitalization, excess earnings, comparative transaction, capital market and discounted cash flow methods. In light of our placement and sale of Series F preferred stock in December 2016, on December 28, 2016 the compensation committee applied the company transaction method, which uses the most recent negotiated arm’s-length transactions involving the sale or transfer of stock or other equity interests. On March 9, 2017 and May 9, 2017, the compensation committee determined that direct evidence of the fair value of the Class A common stock was available and that it was not necessary to apply the company transaction method. Based on the foregoing, the compensation committee determined the fair value of Class A common stock for financial reporting purposes to be $2.28 as of December 28, 2016 and $7.50 as of March 9, 2017 and as of May 9, 2017. As a result, the exercise prices of the stock options granted on December 28, 2016, March 9, 2017 and May 9, 2017 exceeded or equaled the fair value of Class A common stock on that date.</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Inventories consist of finished goods, raw materials, work-in-process and consumable materials. Finished goods are comprised of direct materials, direct labor, depreciation and manufacturing overhead. Inventory is stated at the lower of cost and net realizable value of the inventory at September 30, 2017 and at the lower of cost and market value of the inventory at December 31, 2016 and 2015.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w:t>
      </w:r>
    </w:p>
    <w:p>
      <w:pPr>
        <w:spacing w:after="0" w:line="188"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180" w:firstLine="456"/>
        <w:spacing w:after="0" w:line="285" w:lineRule="auto"/>
        <w:rPr>
          <w:sz w:val="20"/>
          <w:szCs w:val="20"/>
          <w:color w:val="auto"/>
        </w:rPr>
      </w:pPr>
      <w:r>
        <w:rPr>
          <w:rFonts w:ascii="Arial" w:cs="Arial" w:eastAsia="Arial" w:hAnsi="Arial"/>
          <w:sz w:val="16"/>
          <w:szCs w:val="16"/>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 on a quarterly basis to assess the adequacy of the allowance. We take into consideration</w:t>
      </w:r>
    </w:p>
    <w:p>
      <w:pPr>
        <w:spacing w:after="0" w:line="2" w:lineRule="exact"/>
        <w:rPr>
          <w:sz w:val="20"/>
          <w:szCs w:val="20"/>
          <w:color w:val="auto"/>
        </w:rPr>
      </w:pPr>
    </w:p>
    <w:p>
      <w:pPr>
        <w:ind w:right="140" w:firstLine="8"/>
        <w:spacing w:after="0" w:line="295" w:lineRule="auto"/>
        <w:tabs>
          <w:tab w:leader="none" w:pos="2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IPO Costs</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Direct costs attributable to the IPO were deferred and recorded in other current assets and will be offset against the gross proceeds received from the IPO. At September 30, 2017 and December 30, 2016, deferred costs attributable to the IPO were $859,000 and $41,000, respectively.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Assets comprising property, plant and equipment are recorded at cost. Depreciation is recorded on a straight-line basis over the estimated useful lives of the assets and begins when the assets are placed in service. Betterments or renewals are capitalized when incurred. Maintenance and repairs with respect to an asset are expensed as incurred if they neither materially add to the value of the asset nor appreciably prolong its life. Assets comprising plant, property and equipment are reviewed each year to determine whether any events or circumstances indicate that the carrying amount of the asset may not be recoverable.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Intangible assets represent the fair value of separately recognizable intangible assets acquired in connection with our business operations. We evaluate intangibles for impairment on an annual basis or whenever events or circumstances indicate that an impairment may have occurred.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the nine months ended September 30, 2017 or September 30, 2016.</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19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17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We maintained a partial valuation allowance as of December 31, 2016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6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Interest and penalties related to uncertain tax positions are recorded in the provision for income tax expense on the consolidated statements of operations.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Our consolidated financial statements are presented in U.S. dollars, which is our reporting currency, while the functional currency of our subsidiaries in the PRC is RMB.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the FASB’s ASC Topic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182"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provided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actual product performance and field expense profiles may differ, and in those cases we adjust our warranty accruals accordingly.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For a description of recent accounting pronouncements that we have adopted or will be required to adopt in the future, please see the description under the heading “Recent Accounting Pronouncements” in note 2 to our condensed consolidated financial statements included elsewhere in this report.</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Three Months Ended</w:t>
            </w:r>
          </w:p>
        </w:tc>
        <w:tc>
          <w:tcPr>
            <w:tcW w:w="17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gridSpan w:val="5"/>
          </w:tcPr>
          <w:p>
            <w:pPr>
              <w:ind w:left="30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440" w:type="dxa"/>
            <w:vAlign w:val="bottom"/>
            <w:gridSpan w:val="5"/>
          </w:tcPr>
          <w:p>
            <w:pPr>
              <w:jc w:val="right"/>
              <w:ind w:right="5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440" w:type="dxa"/>
            <w:vAlign w:val="bottom"/>
            <w:gridSpan w:val="3"/>
          </w:tcPr>
          <w:p>
            <w:pPr>
              <w:jc w:val="right"/>
              <w:ind w:right="16"/>
              <w:spacing w:after="0" w:line="153"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500" w:type="dxa"/>
            <w:vAlign w:val="bottom"/>
          </w:tcPr>
          <w:p>
            <w:pPr>
              <w:jc w:val="right"/>
              <w:ind w:right="13"/>
              <w:spacing w:after="0" w:line="153"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3"/>
                <w:szCs w:val="13"/>
                <w:color w:val="auto"/>
              </w:rPr>
            </w:pPr>
          </w:p>
        </w:tc>
        <w:tc>
          <w:tcPr>
            <w:tcW w:w="440" w:type="dxa"/>
            <w:vAlign w:val="bottom"/>
            <w:gridSpan w:val="2"/>
          </w:tcPr>
          <w:p>
            <w:pPr>
              <w:jc w:val="right"/>
              <w:ind w:right="80"/>
              <w:spacing w:after="0" w:line="153"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gridSpan w:val="6"/>
          </w:tcPr>
          <w:p>
            <w:pPr>
              <w:jc w:val="right"/>
              <w:ind w:right="580"/>
              <w:spacing w:after="0"/>
              <w:rPr>
                <w:sz w:val="20"/>
                <w:szCs w:val="20"/>
                <w:color w:val="auto"/>
              </w:rPr>
            </w:pPr>
            <w:r>
              <w:rPr>
                <w:rFonts w:ascii="Arial" w:cs="Arial" w:eastAsia="Arial" w:hAnsi="Arial"/>
                <w:sz w:val="14"/>
                <w:szCs w:val="14"/>
                <w:i w:val="1"/>
                <w:iCs w:val="1"/>
                <w:color w:val="auto"/>
                <w:w w:val="90"/>
              </w:rPr>
              <w:t>(percentage of revenue)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960" w:type="dxa"/>
            <w:vAlign w:val="bottom"/>
            <w:gridSpan w:val="2"/>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55.0</w:t>
            </w:r>
          </w:p>
        </w:tc>
        <w:tc>
          <w:tcPr>
            <w:tcW w:w="5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40.6</w:t>
            </w:r>
          </w:p>
        </w:tc>
        <w:tc>
          <w:tcPr>
            <w:tcW w:w="28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color w:val="auto"/>
              </w:rPr>
              <w:t>58.3</w:t>
            </w: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9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41.7</w:t>
            </w: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9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21.2</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18.7</w:t>
            </w: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88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4"/>
          </w:tcPr>
          <w:p>
            <w:pPr>
              <w:jc w:val="right"/>
              <w:ind w:right="520"/>
              <w:spacing w:after="0"/>
              <w:rPr>
                <w:sz w:val="20"/>
                <w:szCs w:val="20"/>
                <w:color w:val="auto"/>
              </w:rPr>
            </w:pPr>
            <w:r>
              <w:rPr>
                <w:rFonts w:ascii="Arial" w:cs="Arial" w:eastAsia="Arial" w:hAnsi="Arial"/>
                <w:sz w:val="18"/>
                <w:szCs w:val="18"/>
                <w:color w:val="auto"/>
              </w:rPr>
              <w:t>24.7</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color w:val="auto"/>
              </w:rPr>
              <w:t>15.9</w:t>
            </w: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9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25.8</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22.9</w:t>
            </w: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420" w:type="dxa"/>
            <w:vAlign w:val="bottom"/>
          </w:tcPr>
          <w:p>
            <w:pPr>
              <w:ind w:left="260"/>
              <w:spacing w:after="0"/>
              <w:rPr>
                <w:sz w:val="20"/>
                <w:szCs w:val="20"/>
                <w:color w:val="auto"/>
              </w:rPr>
            </w:pPr>
            <w:r>
              <w:rPr>
                <w:rFonts w:ascii="Arial" w:cs="Arial" w:eastAsia="Arial" w:hAnsi="Arial"/>
                <w:sz w:val="18"/>
                <w:szCs w:val="18"/>
                <w:color w:val="auto"/>
              </w:rPr>
              <w:t>Total operating expenses, net</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5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57.5</w:t>
            </w:r>
          </w:p>
        </w:tc>
        <w:tc>
          <w:tcPr>
            <w:tcW w:w="54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5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(loss) from operations</w:t>
            </w:r>
          </w:p>
        </w:tc>
        <w:tc>
          <w:tcPr>
            <w:tcW w:w="19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(26.7)</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(15.8)</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960" w:type="dxa"/>
            <w:vAlign w:val="bottom"/>
            <w:gridSpan w:val="4"/>
          </w:tcPr>
          <w:p>
            <w:pPr>
              <w:jc w:val="right"/>
              <w:ind w:right="460"/>
              <w:spacing w:after="0"/>
              <w:rPr>
                <w:sz w:val="20"/>
                <w:szCs w:val="20"/>
                <w:color w:val="auto"/>
              </w:rPr>
            </w:pPr>
            <w:r>
              <w:rPr>
                <w:rFonts w:ascii="Arial" w:cs="Arial" w:eastAsia="Arial" w:hAnsi="Arial"/>
                <w:sz w:val="18"/>
                <w:szCs w:val="18"/>
                <w:color w:val="auto"/>
              </w:rPr>
              <w:t>(0.7)</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(1.0)</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9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0.0</w:t>
            </w: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Equity in net income of affiliates</w:t>
            </w:r>
          </w:p>
        </w:tc>
        <w:tc>
          <w:tcPr>
            <w:tcW w:w="1960" w:type="dxa"/>
            <w:vAlign w:val="bottom"/>
            <w:gridSpan w:val="4"/>
          </w:tcPr>
          <w:p>
            <w:pPr>
              <w:jc w:val="right"/>
              <w:ind w:right="520"/>
              <w:spacing w:after="0"/>
              <w:rPr>
                <w:sz w:val="20"/>
                <w:szCs w:val="20"/>
                <w:color w:val="auto"/>
              </w:rPr>
            </w:pPr>
            <w:r>
              <w:rPr>
                <w:rFonts w:ascii="Arial" w:cs="Arial" w:eastAsia="Arial" w:hAnsi="Arial"/>
                <w:sz w:val="18"/>
                <w:szCs w:val="18"/>
                <w:color w:val="auto"/>
              </w:rPr>
              <w:t>0.4</w:t>
            </w:r>
          </w:p>
        </w:tc>
        <w:tc>
          <w:tcPr>
            <w:tcW w:w="9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540"/>
              <w:spacing w:after="0"/>
              <w:rPr>
                <w:sz w:val="20"/>
                <w:szCs w:val="20"/>
                <w:color w:val="auto"/>
              </w:rPr>
            </w:pPr>
            <w:r>
              <w:rPr>
                <w:rFonts w:ascii="Arial" w:cs="Arial" w:eastAsia="Arial" w:hAnsi="Arial"/>
                <w:sz w:val="18"/>
                <w:szCs w:val="18"/>
                <w:color w:val="auto"/>
              </w:rPr>
              <w:t>0.1</w:t>
            </w:r>
          </w:p>
        </w:tc>
        <w:tc>
          <w:tcPr>
            <w:tcW w:w="7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9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w:t>
            </w: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5420" w:type="dxa"/>
            <w:vAlign w:val="bottom"/>
            <w:vMerge w:val="restart"/>
          </w:tcPr>
          <w:p>
            <w:pPr>
              <w:ind w:left="260"/>
              <w:spacing w:after="0"/>
              <w:rPr>
                <w:sz w:val="20"/>
                <w:szCs w:val="20"/>
                <w:color w:val="auto"/>
              </w:rPr>
            </w:pPr>
            <w:r>
              <w:rPr>
                <w:rFonts w:ascii="Arial" w:cs="Arial" w:eastAsia="Arial" w:hAnsi="Arial"/>
                <w:sz w:val="18"/>
                <w:szCs w:val="18"/>
                <w:color w:val="auto"/>
              </w:rPr>
              <w:t>Income (loss) before income taxes</w:t>
            </w:r>
          </w:p>
        </w:tc>
        <w:tc>
          <w:tcPr>
            <w:tcW w:w="9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vMerge w:val="continue"/>
          </w:tcPr>
          <w:p>
            <w:pPr>
              <w:spacing w:after="0"/>
              <w:rPr>
                <w:sz w:val="19"/>
                <w:szCs w:val="19"/>
                <w:color w:val="auto"/>
              </w:rPr>
            </w:pPr>
          </w:p>
        </w:tc>
        <w:tc>
          <w:tcPr>
            <w:tcW w:w="542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(31.9)</w:t>
            </w: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(19.4)</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5420" w:type="dxa"/>
            <w:vAlign w:val="bottom"/>
            <w:vMerge w:val="restart"/>
          </w:tcPr>
          <w:p>
            <w:pPr>
              <w:ind w:left="260"/>
              <w:spacing w:after="0"/>
              <w:rPr>
                <w:sz w:val="20"/>
                <w:szCs w:val="20"/>
                <w:color w:val="auto"/>
              </w:rPr>
            </w:pPr>
            <w:r>
              <w:rPr>
                <w:rFonts w:ascii="Arial" w:cs="Arial" w:eastAsia="Arial" w:hAnsi="Arial"/>
                <w:sz w:val="18"/>
                <w:szCs w:val="18"/>
                <w:color w:val="auto"/>
              </w:rPr>
              <w:t>Net income (loss)</w:t>
            </w:r>
          </w:p>
        </w:tc>
        <w:tc>
          <w:tcPr>
            <w:tcW w:w="9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vMerge w:val="continue"/>
          </w:tcPr>
          <w:p>
            <w:pPr>
              <w:spacing w:after="0"/>
              <w:rPr>
                <w:sz w:val="19"/>
                <w:szCs w:val="19"/>
                <w:color w:val="auto"/>
              </w:rPr>
            </w:pPr>
          </w:p>
        </w:tc>
        <w:tc>
          <w:tcPr>
            <w:tcW w:w="542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(26.2)</w:t>
            </w: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(21.8)</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9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5420" w:type="dxa"/>
            <w:vAlign w:val="bottom"/>
            <w:vMerge w:val="restart"/>
          </w:tcPr>
          <w:p>
            <w:pPr>
              <w:ind w:left="260"/>
              <w:spacing w:after="0"/>
              <w:rPr>
                <w:sz w:val="20"/>
                <w:szCs w:val="20"/>
                <w:color w:val="auto"/>
              </w:rPr>
            </w:pPr>
            <w:r>
              <w:rPr>
                <w:rFonts w:ascii="Arial" w:cs="Arial" w:eastAsia="Arial" w:hAnsi="Arial"/>
                <w:sz w:val="18"/>
                <w:szCs w:val="18"/>
                <w:color w:val="auto"/>
              </w:rPr>
              <w:t>Net income (loss) attributable to ACM Research, Inc.</w:t>
            </w:r>
          </w:p>
        </w:tc>
        <w:tc>
          <w:tcPr>
            <w:tcW w:w="9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vMerge w:val="continue"/>
          </w:tcPr>
          <w:p>
            <w:pPr>
              <w:spacing w:after="0"/>
              <w:rPr>
                <w:sz w:val="19"/>
                <w:szCs w:val="19"/>
                <w:color w:val="auto"/>
              </w:rPr>
            </w:pPr>
          </w:p>
        </w:tc>
        <w:tc>
          <w:tcPr>
            <w:tcW w:w="542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(19.0)%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2017 and 2016</w:t>
            </w: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8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24"/>
                <w:szCs w:val="24"/>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2016 v 2017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jc w:val="center"/>
              <w:ind w:right="20"/>
              <w:spacing w:after="0" w:line="142" w:lineRule="exact"/>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$ 4,891</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$ 4,904</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decrease in revenue of $13,000 in the three months ended September 30, 2017 reflected decreases in revenue from advanced packaging equipment of $1.3 million substantially offset by increases in revenue from single-wafer cleaning equipment of $1.3 million.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 and Gross Margin</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2016 v 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4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2"/>
              </w:rPr>
              <w:t>(in thousands)</w:t>
            </w: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$ 2,692</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$ 1,989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Gross profit</w:t>
            </w:r>
          </w:p>
        </w:tc>
        <w:tc>
          <w:tcPr>
            <w:tcW w:w="3480" w:type="dxa"/>
            <w:vAlign w:val="bottom"/>
            <w:gridSpan w:val="2"/>
          </w:tcPr>
          <w:p>
            <w:pPr>
              <w:jc w:val="right"/>
              <w:ind w:right="348"/>
              <w:spacing w:after="0"/>
              <w:rPr>
                <w:sz w:val="20"/>
                <w:szCs w:val="20"/>
                <w:color w:val="auto"/>
              </w:rPr>
            </w:pPr>
            <w:r>
              <w:rPr>
                <w:rFonts w:ascii="Arial" w:cs="Arial" w:eastAsia="Arial" w:hAnsi="Arial"/>
                <w:sz w:val="18"/>
                <w:szCs w:val="18"/>
                <w:color w:val="auto"/>
              </w:rPr>
              <w:t>$ 2,199</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$ 2,915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45.0%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revenue increased $703,000, and gross profit decreased $716,000, from the three months ended September 30, 2016 to the comparable period in</w:t>
      </w:r>
    </w:p>
    <w:p>
      <w:pPr>
        <w:spacing w:after="0" w:line="46"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2017. Gross margin decreased 14.4%, primarily due to the sale of one higher-margin single-wafer wet cleaning tool during the three months ended September 30, 2016.</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9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9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2016 v 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560" w:type="dxa"/>
            <w:vAlign w:val="bottom"/>
            <w:gridSpan w:val="5"/>
          </w:tcPr>
          <w:p>
            <w:pPr>
              <w:jc w:val="center"/>
              <w:spacing w:after="0" w:line="142" w:lineRule="exact"/>
              <w:rPr>
                <w:sz w:val="20"/>
                <w:szCs w:val="20"/>
                <w:color w:val="auto"/>
              </w:rPr>
            </w:pPr>
            <w:r>
              <w:rPr>
                <w:rFonts w:ascii="Arial" w:cs="Arial" w:eastAsia="Arial" w:hAnsi="Arial"/>
                <w:sz w:val="14"/>
                <w:szCs w:val="14"/>
                <w:i w:val="1"/>
                <w:iCs w:val="1"/>
                <w:color w:val="auto"/>
                <w:w w:val="94"/>
              </w:rPr>
              <w:t>(in thousands)</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$ 1,036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1,209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813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Total operating expenses, net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$ 3,509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3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increased $327,000 in the three months ended September 30, 2017 as compared to the corresponding period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an increase in service expenses and personnel cost, partially offset by a decrease in sales commissions.</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increased $396,000 in the three months ended September 30, 2017 as compared to the corresponding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principally as a result of increases in testing fees and personnel cost. Research and development expense represented 24.7% and 16.6% of our revenue in the three months ended September 30, 2017 and 2016, respectively. Without reduction by grant amounts received from PRC governmental authorities (see “—Key Components of Results of Operations—PRC Government Research and Development Funding”), gross research and development expense totaled $900,000, or 18.4% of revenue, in the three months ended September 30, 2017 and $4.2 million, or 86.4% of revenue, in the three months ended September 30, 2016.</w:t>
      </w:r>
    </w:p>
    <w:p>
      <w:pPr>
        <w:spacing w:after="0" w:line="193"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increased $659,000 in the three months ended September 30, 2017 as compared to the corresponding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2016, principally resulting from preparations to become a public company. These costs reflected increases of $299,000 in stock-based compensation expense, $103,000 in personnel costs, $78,000 in professional and consulting fees, and $47,000 in travelling expense.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and Expenses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2017</w:t>
            </w:r>
          </w:p>
        </w:tc>
        <w:tc>
          <w:tcPr>
            <w:tcW w:w="70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 v 2017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left="120"/>
              <w:spacing w:after="0" w:line="142" w:lineRule="exact"/>
              <w:rPr>
                <w:sz w:val="20"/>
                <w:szCs w:val="20"/>
                <w:color w:val="auto"/>
              </w:rPr>
            </w:pPr>
            <w:r>
              <w:rPr>
                <w:rFonts w:ascii="Arial" w:cs="Arial" w:eastAsia="Arial" w:hAnsi="Arial"/>
                <w:sz w:val="14"/>
                <w:szCs w:val="14"/>
                <w:i w:val="1"/>
                <w:iCs w:val="1"/>
                <w:color w:val="auto"/>
                <w:w w:val="94"/>
              </w:rPr>
              <w:t>(in thousands)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 in net income of affiliates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8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Interest expense consists of interest incurred from outstanding short-term borrowings and notes payable. Interest expense decreased to $33,000 in the three months ended September 30, 2017 from $66,000 in the three months ended September 30, 2016, principally as a result of decreased borrowings under short-term bank loans. We earn interest income from depositary accounts. Interest income was nominal in the three months ended September 30, 2017 and 2016.</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Non-operating income (expense), net primarily reflects (a) gains or losses recognized from the effect of exchange rates on our foreign currency-denominated asset and liability balances, (b) depreciation of assets acquired with government subsidies, as described under “—Key Components of Results of Operations—PRC Government Research and Development Funding” above, and (c) losses we recognized upon dispositions of fixed assets.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 Benefit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components of income tax (expense) benefit for the indicated periods: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5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156"/>
              <w:spacing w:after="0"/>
              <w:rPr>
                <w:sz w:val="20"/>
                <w:szCs w:val="20"/>
                <w:color w:val="auto"/>
              </w:rPr>
            </w:pPr>
            <w:r>
              <w:rPr>
                <w:rFonts w:ascii="Arial" w:cs="Arial" w:eastAsia="Arial" w:hAnsi="Arial"/>
                <w:sz w:val="14"/>
                <w:szCs w:val="14"/>
                <w:b w:val="1"/>
                <w:bCs w:val="1"/>
                <w:color w:val="auto"/>
                <w:w w:val="89"/>
              </w:rPr>
              <w:t>September 30,</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5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left="156"/>
              <w:spacing w:after="0" w:line="142" w:lineRule="exact"/>
              <w:rPr>
                <w:sz w:val="20"/>
                <w:szCs w:val="20"/>
                <w:color w:val="auto"/>
              </w:rPr>
            </w:pPr>
            <w:r>
              <w:rPr>
                <w:rFonts w:ascii="Arial" w:cs="Arial" w:eastAsia="Arial" w:hAnsi="Arial"/>
                <w:sz w:val="14"/>
                <w:szCs w:val="14"/>
                <w:i w:val="1"/>
                <w:iCs w:val="1"/>
                <w:color w:val="auto"/>
                <w:w w:val="92"/>
              </w:rPr>
              <w:t>(in thousands)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state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23"/>
        </w:trPr>
        <w:tc>
          <w:tcPr>
            <w:tcW w:w="5560" w:type="dxa"/>
            <w:vAlign w:val="bottom"/>
          </w:tcPr>
          <w:p>
            <w:pPr>
              <w:ind w:left="360"/>
              <w:spacing w:after="0"/>
              <w:rPr>
                <w:sz w:val="20"/>
                <w:szCs w:val="20"/>
                <w:color w:val="auto"/>
              </w:rPr>
            </w:pPr>
            <w:r>
              <w:rPr>
                <w:rFonts w:ascii="Arial" w:cs="Arial" w:eastAsia="Arial" w:hAnsi="Arial"/>
                <w:sz w:val="18"/>
                <w:szCs w:val="18"/>
                <w:color w:val="auto"/>
              </w:rPr>
              <w:t>Foreign</w:t>
            </w: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16"/>
        </w:trPr>
        <w:tc>
          <w:tcPr>
            <w:tcW w:w="5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income tax (expense) benefit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Current:</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U.S. state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278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(132)</w:t>
            </w:r>
          </w:p>
        </w:tc>
      </w:tr>
      <w:tr>
        <w:trPr>
          <w:trHeight w:val="230"/>
        </w:trPr>
        <w:tc>
          <w:tcPr>
            <w:tcW w:w="5560" w:type="dxa"/>
            <w:vAlign w:val="bottom"/>
          </w:tcPr>
          <w:p>
            <w:pPr>
              <w:ind w:left="720"/>
              <w:spacing w:after="0"/>
              <w:rPr>
                <w:sz w:val="20"/>
                <w:szCs w:val="20"/>
                <w:color w:val="auto"/>
              </w:rPr>
            </w:pPr>
            <w:r>
              <w:rPr>
                <w:rFonts w:ascii="Arial" w:cs="Arial" w:eastAsia="Arial" w:hAnsi="Arial"/>
                <w:sz w:val="18"/>
                <w:szCs w:val="18"/>
                <w:color w:val="auto"/>
              </w:rPr>
              <w:t>Total deferred income tax (expense) benefit</w:t>
            </w:r>
          </w:p>
        </w:tc>
        <w:tc>
          <w:tcPr>
            <w:tcW w:w="1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278</w:t>
            </w:r>
          </w:p>
        </w:tc>
        <w:tc>
          <w:tcPr>
            <w:tcW w:w="4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6"/>
              </w:rPr>
              <w:t>(132)</w:t>
            </w:r>
          </w:p>
        </w:tc>
        <w:tc>
          <w:tcPr>
            <w:tcW w:w="120" w:type="dxa"/>
            <w:vAlign w:val="bottom"/>
          </w:tcPr>
          <w:p>
            <w:pPr>
              <w:spacing w:after="0"/>
              <w:rPr>
                <w:sz w:val="20"/>
                <w:szCs w:val="20"/>
                <w:color w:val="auto"/>
              </w:rPr>
            </w:pPr>
          </w:p>
        </w:tc>
      </w:tr>
      <w:tr>
        <w:trPr>
          <w:trHeight w:val="216"/>
        </w:trPr>
        <w:tc>
          <w:tcPr>
            <w:tcW w:w="5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income tax (expense) benefit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278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(132)</w:t>
            </w:r>
          </w:p>
        </w:tc>
      </w:tr>
      <w:tr>
        <w:trPr>
          <w:trHeight w:val="20"/>
        </w:trPr>
        <w:tc>
          <w:tcPr>
            <w:tcW w:w="5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effective tax rate differs from statutory rates of 34% for U.S. federal income tax purposes and 15% to 25% for PRC income tax purpose due to the effects of the valuation allowance and certain permanent differences as it pertains to book-tax differences in the value of client equity securities received for services. Our two PRC subsidiaries, ACM Shanghai and ACM Research (Wuxi), Inc.,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with an effective period of three years.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intend to reinvest indefinitely our PRC earnings as of September 30, 2017 outside of the United States, and we therefore have not provided for taxes with respect to the remissions of such earnings from the PRC to the United States.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Nine Months Ended September 30, 2017 and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Nine Months Ended</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2016 v 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76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2"/>
              </w:rPr>
              <w:t>(in thousands)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7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$19,314</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$13,026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increase in revenue of $6.3 million in the nine months ended September 30, 2017 was primarily due to increases in revenue from single-wafer cleaning equipment.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 and Gross Margin</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2016 v 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4"/>
              <w:spacing w:after="0" w:line="142" w:lineRule="exact"/>
              <w:rPr>
                <w:sz w:val="20"/>
                <w:szCs w:val="20"/>
                <w:color w:val="auto"/>
              </w:rPr>
            </w:pPr>
            <w:r>
              <w:rPr>
                <w:rFonts w:ascii="Arial" w:cs="Arial" w:eastAsia="Arial" w:hAnsi="Arial"/>
                <w:sz w:val="14"/>
                <w:szCs w:val="14"/>
                <w:i w:val="1"/>
                <w:iCs w:val="1"/>
                <w:color w:val="auto"/>
                <w:w w:val="92"/>
              </w:rPr>
              <w:t>(in thousands)</w:t>
            </w: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w w:val="87"/>
              </w:rPr>
              <w:t>11,262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0"/>
              <w:spacing w:after="0"/>
              <w:rPr>
                <w:sz w:val="20"/>
                <w:szCs w:val="20"/>
                <w:color w:val="auto"/>
              </w:rPr>
            </w:pPr>
            <w:r>
              <w:rPr>
                <w:rFonts w:ascii="Arial" w:cs="Arial" w:eastAsia="Arial" w:hAnsi="Arial"/>
                <w:sz w:val="18"/>
                <w:szCs w:val="18"/>
                <w:color w:val="auto"/>
              </w:rPr>
              <w:t>8,052</w:t>
            </w:r>
          </w:p>
        </w:tc>
        <w:tc>
          <w:tcPr>
            <w:tcW w:w="720" w:type="dxa"/>
            <w:vAlign w:val="bottom"/>
          </w:tcPr>
          <w:p>
            <w:pPr>
              <w:jc w:val="right"/>
              <w:spacing w:after="0"/>
              <w:rPr>
                <w:sz w:val="20"/>
                <w:szCs w:val="20"/>
                <w:color w:val="auto"/>
              </w:rPr>
            </w:pPr>
            <w:r>
              <w:rPr>
                <w:rFonts w:ascii="Arial" w:cs="Arial" w:eastAsia="Arial" w:hAnsi="Arial"/>
                <w:sz w:val="18"/>
                <w:szCs w:val="18"/>
                <w:color w:val="auto"/>
              </w:rPr>
              <w:t>$5,745</w:t>
            </w:r>
          </w:p>
        </w:tc>
        <w:tc>
          <w:tcPr>
            <w:tcW w:w="6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Cost of revenue increased $4.0 million, and gross profit increased $2.3 million, from the nine months ended September 30, 2016 to the comparable period in 2017, reflecting the growth in sales and the decrease in gross margin. Gross margin decreased (2.4)%, primarily due to the sale of one higher-margin single-wafer wet cleaning tool during the nine months ended September 30, 2016.</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Nine Months Ended</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2016 v 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tcPr>
          <w:p>
            <w:pPr>
              <w:jc w:val="center"/>
              <w:ind w:right="10"/>
              <w:spacing w:after="0" w:line="142" w:lineRule="exact"/>
              <w:rPr>
                <w:sz w:val="20"/>
                <w:szCs w:val="20"/>
                <w:color w:val="auto"/>
              </w:rPr>
            </w:pPr>
            <w:r>
              <w:rPr>
                <w:rFonts w:ascii="Arial" w:cs="Arial" w:eastAsia="Arial" w:hAnsi="Arial"/>
                <w:sz w:val="14"/>
                <w:szCs w:val="14"/>
                <w:i w:val="1"/>
                <w:iCs w:val="1"/>
                <w:color w:val="auto"/>
                <w:w w:val="94"/>
              </w:rPr>
              <w:t>(in thousands)</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3,619</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$2,527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3,076</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2,299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4,422</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1,694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360"/>
              <w:spacing w:after="0"/>
              <w:rPr>
                <w:sz w:val="20"/>
                <w:szCs w:val="20"/>
                <w:color w:val="auto"/>
              </w:rPr>
            </w:pPr>
            <w:r>
              <w:rPr>
                <w:rFonts w:ascii="Arial" w:cs="Arial" w:eastAsia="Arial" w:hAnsi="Arial"/>
                <w:sz w:val="18"/>
                <w:szCs w:val="18"/>
                <w:color w:val="auto"/>
              </w:rPr>
              <w:t>Total operating expenses,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11,117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6,520</w:t>
            </w:r>
          </w:p>
        </w:tc>
        <w:tc>
          <w:tcPr>
            <w:tcW w:w="4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$1.1 million in the nine months ended September 30, 2017 as compared to the corresponding period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in service expenses, personnel cost and shipping cost.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increased $777,000 in the nine months ended September 30, 2017 as compared to the corresponding period in 2016,</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as a result of increases in testing fees and personnel cost. Research and development expense represented 15.9% and 17.7% of our revenue in the nine months ended September 30, 2017 and 2016, respectively. Without reduction by grant amounts received from PRC governmental authorities (see “— Key Components of Results of Operations—PRC Government Research and Development Funding”), gross research and development expense totaled</w:t>
      </w:r>
    </w:p>
    <w:p>
      <w:pPr>
        <w:spacing w:after="0" w:line="2"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$5.9 million, or 30.5% of revenue, in the nine months ended September 30, 2017 and $7.7 million, or 59.1% of revenue, in the nine months ended September 30, 2016.</w:t>
      </w:r>
    </w:p>
    <w:p>
      <w:pPr>
        <w:spacing w:after="0" w:line="18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increased $2.7 million in the nine months ended September 30, 2017 as compared to the corresponding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2016, principally resulting from preparations to become a public company. These costs reflected increases of $1.4 million in stock-based compensation expense, $679,000 in professional and consulting fees, $183,000 in personnel costs, and $118,000 in rental expense.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and Expenses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9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2016 v 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46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2"/>
              </w:rPr>
              <w:t>(in thousands)</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w w:val="94"/>
              </w:rPr>
              <w:t>$ (190)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(105)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Equity in net income of affiliates</w:t>
            </w:r>
          </w:p>
        </w:tc>
        <w:tc>
          <w:tcPr>
            <w:tcW w:w="760" w:type="dxa"/>
            <w:vAlign w:val="bottom"/>
          </w:tcPr>
          <w:p>
            <w:pPr>
              <w:jc w:val="right"/>
              <w:ind w:right="180"/>
              <w:spacing w:after="0"/>
              <w:rPr>
                <w:sz w:val="20"/>
                <w:szCs w:val="20"/>
                <w:color w:val="auto"/>
              </w:rPr>
            </w:pPr>
            <w:r>
              <w:rPr>
                <w:rFonts w:ascii="Arial" w:cs="Arial" w:eastAsia="Arial" w:hAnsi="Arial"/>
                <w:sz w:val="18"/>
                <w:szCs w:val="18"/>
                <w:color w:val="auto"/>
              </w:rPr>
              <w:t>20</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(531)</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Interest expense consists of interest incurred from outstanding short-term borrowings and notes payable. Interest expense increased to $197,000 in the nine months ended September 30, 2017 from $118,000 in the nine months ended September 30, 2016, principally as a result of increased borrowings under short-term bank loans. We earn interest income from depositary accounts. Interest income was nominal in the nine months ended September 30, 2017 and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Other income, net primarily reflects (a) gains or losses recognized from the effect of exchange rates on our foreign currency-denominated asset and liability balances, (b) depreciation of assets acquired with government subsidies, as described under “—Key Components of Results of Operations—PRC Government Research and Development Funding” above, and (c) losses we recognized upon dispositions of fixed assets.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 Benefit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components of income tax (expense) benefit for the indicated periods:</w:t>
      </w:r>
    </w:p>
    <w:p>
      <w:pPr>
        <w:spacing w:after="0" w:line="244"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Nine Months Ended</w:t>
      </w:r>
    </w:p>
    <w:p>
      <w:pPr>
        <w:jc w:val="center"/>
        <w:ind w:left="70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5"/>
          </w:tcPr>
          <w:p>
            <w:pPr>
              <w:jc w:val="right"/>
              <w:ind w:right="232"/>
              <w:spacing w:after="0" w:line="142"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state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Foreign</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income tax (expense) benefit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Current:</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U.S. state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(59)</w:t>
            </w:r>
          </w:p>
        </w:tc>
      </w:tr>
      <w:tr>
        <w:trPr>
          <w:trHeight w:val="230"/>
        </w:trPr>
        <w:tc>
          <w:tcPr>
            <w:tcW w:w="5620" w:type="dxa"/>
            <w:vAlign w:val="bottom"/>
          </w:tcPr>
          <w:p>
            <w:pPr>
              <w:ind w:left="720"/>
              <w:spacing w:after="0"/>
              <w:rPr>
                <w:sz w:val="20"/>
                <w:szCs w:val="20"/>
                <w:color w:val="auto"/>
              </w:rPr>
            </w:pPr>
            <w:r>
              <w:rPr>
                <w:rFonts w:ascii="Arial" w:cs="Arial" w:eastAsia="Arial" w:hAnsi="Arial"/>
                <w:sz w:val="18"/>
                <w:szCs w:val="18"/>
                <w:color w:val="auto"/>
              </w:rPr>
              <w:t>Total deferred income tax (expense) benefit</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center"/>
              <w:ind w:left="13"/>
              <w:spacing w:after="0"/>
              <w:rPr>
                <w:sz w:val="20"/>
                <w:szCs w:val="20"/>
                <w:color w:val="auto"/>
              </w:rPr>
            </w:pPr>
            <w:r>
              <w:rPr>
                <w:rFonts w:ascii="Arial" w:cs="Arial" w:eastAsia="Arial" w:hAnsi="Arial"/>
                <w:sz w:val="18"/>
                <w:szCs w:val="18"/>
                <w:color w:val="auto"/>
                <w:w w:val="80"/>
              </w:rPr>
              <w:t>(471)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color w:val="auto"/>
                <w:w w:val="72"/>
              </w:rPr>
              <w:t>(59)</w:t>
            </w:r>
          </w:p>
        </w:tc>
        <w:tc>
          <w:tcPr>
            <w:tcW w:w="120" w:type="dxa"/>
            <w:vAlign w:val="bottom"/>
          </w:tcPr>
          <w:p>
            <w:pPr>
              <w:spacing w:after="0"/>
              <w:rPr>
                <w:sz w:val="20"/>
                <w:szCs w:val="20"/>
                <w:color w:val="auto"/>
              </w:rPr>
            </w:pPr>
          </w:p>
        </w:tc>
      </w:tr>
      <w:tr>
        <w:trPr>
          <w:trHeight w:val="216"/>
        </w:trPr>
        <w:tc>
          <w:tcPr>
            <w:tcW w:w="5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income tax (expense) benefit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(59)</w:t>
            </w:r>
          </w:p>
        </w:tc>
      </w:tr>
      <w:tr>
        <w:trPr>
          <w:trHeight w:val="20"/>
        </w:trPr>
        <w:tc>
          <w:tcPr>
            <w:tcW w:w="5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Initially we funded our operations principally through issuances of four series of convertible preferred stock from our formation in 1998 through 2001 and issuances of convertible and term promissory notes in 2003 and 2004. We issued additional convertible and term promissory notes in 2005 and 2006 in anticipation of moving our operational center to Shanghai in 2006, and following that transition, our new subsidiary ACM Shanghai raised funds through sales of its non-controlling equity interests in 2007, 2008 and 2009. Prior to 2016, we also funded our operations with (a) subsidies received from PRC governmental authorities pursuant to grants made in 2008, 2009 and 2014, (b) short-term borrowings by ACM Shanghai from local financial institutions in 2009 and each year since 2011 through 2015, (c) additional issuances of term promissory notes in 2013, 2014 and 2015, and (d) operating cash flow in 2015. Since January 1, 2016, we have funded our technology development and operations through:</w:t>
      </w:r>
    </w:p>
    <w:p>
      <w:pPr>
        <w:spacing w:after="0" w:line="83"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issuances of two additional series of convertible preferred stock in 2016 and the third quarter of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investment deposit in 2016 made in connection with issuance of a Class A common stock warrant in March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short-term borrowings by ACM Shanghai from local financial institutions in 2016 and the first nine months of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cash flow in the first nine months of 2017;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IPO and the concurrent private placement in November 2017.</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our existing cash and cash equivalents (including our net proceeds of the IPO and the concurrent private placement),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we may need to raise additional funds through additional bank credit arrangements or public or private debt or equity financings. We also may need to raise additional funds in the event we determine in the future to effect one or more acquisitions of businesses, technologies and products. If additional funding is required, we may not be able to obtain bank credit arrangements or to affect an equity or debt financing on terms acceptable to us or at all.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Funds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Equity and Equity-Related Securities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From January 1, 2016 to December 1, 2017, we received gross proceeds of $54.1 million from sales of common stock, convertible preferred stock and a warrant, as described below.</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In 2016 we received gross proceeds totaling $584,250 upon exercises of common stock options. In 2017 we have sold shares of common stock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Issue Date (2017)</w:t>
            </w:r>
          </w:p>
        </w:tc>
        <w:tc>
          <w:tcPr>
            <w:tcW w:w="7980" w:type="dxa"/>
            <w:vAlign w:val="bottom"/>
            <w:gridSpan w:val="2"/>
          </w:tcPr>
          <w:p>
            <w:pPr>
              <w:ind w:left="3460"/>
              <w:spacing w:after="0"/>
              <w:rPr>
                <w:sz w:val="20"/>
                <w:szCs w:val="20"/>
                <w:color w:val="auto"/>
              </w:rPr>
            </w:pPr>
            <w:r>
              <w:rPr>
                <w:rFonts w:ascii="Arial" w:cs="Arial" w:eastAsia="Arial" w:hAnsi="Arial"/>
                <w:sz w:val="14"/>
                <w:szCs w:val="14"/>
                <w:b w:val="1"/>
                <w:bCs w:val="1"/>
                <w:color w:val="auto"/>
              </w:rPr>
              <w:t>Transaction</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Gross Proceeds</w:t>
            </w:r>
          </w:p>
        </w:tc>
      </w:tr>
      <w:tr>
        <w:trPr>
          <w:trHeight w:val="142"/>
        </w:trPr>
        <w:tc>
          <w:tcPr>
            <w:tcW w:w="1060" w:type="dxa"/>
            <w:vAlign w:val="bottom"/>
            <w:tcBorders>
              <w:top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7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i w:val="1"/>
                <w:iCs w:val="1"/>
                <w:color w:val="auto"/>
                <w:w w:val="96"/>
              </w:rPr>
              <w:t>(in thousands)</w:t>
            </w:r>
          </w:p>
        </w:tc>
        <w:tc>
          <w:tcPr>
            <w:tcW w:w="340" w:type="dxa"/>
            <w:vAlign w:val="bottom"/>
            <w:gridSpan w:val="2"/>
          </w:tcPr>
          <w:p>
            <w:pPr>
              <w:spacing w:after="0"/>
              <w:rPr>
                <w:sz w:val="12"/>
                <w:szCs w:val="12"/>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February-September</w:t>
            </w: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exercises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411</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September 8</w:t>
            </w:r>
          </w:p>
        </w:tc>
        <w:tc>
          <w:tcPr>
            <w:tcW w:w="7980" w:type="dxa"/>
            <w:vAlign w:val="bottom"/>
            <w:gridSpan w:val="2"/>
          </w:tcPr>
          <w:p>
            <w:pPr>
              <w:spacing w:after="0"/>
              <w:rPr>
                <w:sz w:val="20"/>
                <w:szCs w:val="20"/>
                <w:color w:val="auto"/>
              </w:rPr>
            </w:pPr>
            <w:r>
              <w:rPr>
                <w:rFonts w:ascii="Arial" w:cs="Arial" w:eastAsia="Arial" w:hAnsi="Arial"/>
                <w:sz w:val="18"/>
                <w:szCs w:val="18"/>
                <w:color w:val="auto"/>
              </w:rPr>
              <w:t>Private placements (see “—Minority Interests in Our Operating Company”)</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14,300</w:t>
            </w:r>
          </w:p>
        </w:tc>
        <w:tc>
          <w:tcPr>
            <w:tcW w:w="32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11</w:t>
            </w: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placement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November 7 and 14</w:t>
            </w:r>
          </w:p>
        </w:tc>
        <w:tc>
          <w:tcPr>
            <w:tcW w:w="7980" w:type="dxa"/>
            <w:vAlign w:val="bottom"/>
            <w:gridSpan w:val="2"/>
          </w:tcPr>
          <w:p>
            <w:pPr>
              <w:spacing w:after="0"/>
              <w:rPr>
                <w:sz w:val="20"/>
                <w:szCs w:val="20"/>
                <w:color w:val="auto"/>
              </w:rPr>
            </w:pPr>
            <w:r>
              <w:rPr>
                <w:rFonts w:ascii="Arial" w:cs="Arial" w:eastAsia="Arial" w:hAnsi="Arial"/>
                <w:sz w:val="18"/>
                <w:szCs w:val="18"/>
                <w:color w:val="auto"/>
              </w:rPr>
              <w:t>IPO</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12,505</w:t>
            </w:r>
          </w:p>
        </w:tc>
        <w:tc>
          <w:tcPr>
            <w:tcW w:w="32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7</w:t>
            </w: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Concurrent private placement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7,467</w:t>
            </w:r>
          </w:p>
        </w:tc>
        <w:tc>
          <w:tcPr>
            <w:tcW w:w="320" w:type="dxa"/>
            <w:vAlign w:val="bottom"/>
            <w:shd w:val="clear" w:color="auto" w:fill="CCEEFF"/>
          </w:tcPr>
          <w:p>
            <w:pPr>
              <w:spacing w:after="0"/>
              <w:rPr>
                <w:sz w:val="18"/>
                <w:szCs w:val="18"/>
                <w:color w:val="auto"/>
              </w:rPr>
            </w:pPr>
          </w:p>
        </w:tc>
      </w:tr>
      <w:tr>
        <w:trPr>
          <w:trHeight w:val="223"/>
        </w:trPr>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firstLine="456"/>
        <w:spacing w:after="0" w:line="279" w:lineRule="auto"/>
        <w:rPr>
          <w:sz w:val="20"/>
          <w:szCs w:val="20"/>
          <w:color w:val="auto"/>
        </w:rPr>
      </w:pPr>
      <w:r>
        <w:rPr>
          <w:rFonts w:ascii="Arial" w:cs="Arial" w:eastAsia="Arial" w:hAnsi="Arial"/>
          <w:sz w:val="17"/>
          <w:szCs w:val="17"/>
          <w:u w:val="single" w:color="auto"/>
          <w:color w:val="auto"/>
        </w:rPr>
        <w:t>Convertible Preferred Stock</w:t>
      </w:r>
      <w:r>
        <w:rPr>
          <w:rFonts w:ascii="Arial" w:cs="Arial" w:eastAsia="Arial" w:hAnsi="Arial"/>
          <w:sz w:val="17"/>
          <w:szCs w:val="17"/>
          <w:color w:val="auto"/>
        </w:rPr>
        <w:t>. In 2016 we received gross proceeds of $9.0 million from sales of shares of Series F convertible preferred stock that converted, upon completion of the IPO, into 1,205,278 shares of Class A common stock, for an effective purchase price of $7.50 per share. In 2017 we received gross proceeds of $5.8 million from sales of shares of Series E convertible preferred stock that converted, upon completion of the IPO, into 1,666,170 shares of Class A common stock, for an effective purchase price of $3.48 per share.</w:t>
      </w:r>
    </w:p>
    <w:p>
      <w:pPr>
        <w:spacing w:after="0" w:line="17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u w:val="single" w:color="auto"/>
          <w:color w:val="auto"/>
        </w:rPr>
        <w:t>Warrant</w:t>
      </w:r>
      <w:r>
        <w:rPr>
          <w:rFonts w:ascii="Arial" w:cs="Arial" w:eastAsia="Arial" w:hAnsi="Arial"/>
          <w:sz w:val="18"/>
          <w:szCs w:val="18"/>
          <w:color w:val="auto"/>
        </w:rPr>
        <w:t>. In December 2016 SMC delivered to ACM Shanghai 20,123,500 RMB ($3.0 million as of the date of funding) in cash for potential investment pursuant to terms to be subsequently negotiated. In March 2017 we issued to SMC a warrant exercisable to purchase 397,502 shares of Class A common stock at a price of $7.50 per share, for a total exercise price of $3.0 million.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Indebtedness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ACM Shanghai Short-Term Loan Facilities</w:t>
      </w:r>
      <w:r>
        <w:rPr>
          <w:rFonts w:ascii="Arial" w:cs="Arial" w:eastAsia="Arial" w:hAnsi="Arial"/>
          <w:sz w:val="18"/>
          <w:szCs w:val="18"/>
          <w:color w:val="auto"/>
        </w:rPr>
        <w:t>. ACM Shanghai is a party to lines of credit with three banks,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Maximum</w:t>
            </w: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Agreement</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Annual</w:t>
            </w:r>
          </w:p>
        </w:tc>
        <w:tc>
          <w:tcPr>
            <w:tcW w:w="1120" w:type="dxa"/>
            <w:vAlign w:val="bottom"/>
            <w:gridSpan w:val="3"/>
            <w:vMerge w:val="continue"/>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4920" w:type="dxa"/>
            <w:vAlign w:val="bottom"/>
            <w:vMerge w:val="restart"/>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Borrowing</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November 15,</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vMerge w:val="continue"/>
          </w:tcPr>
          <w:p>
            <w:pPr>
              <w:spacing w:after="0"/>
              <w:rPr>
                <w:sz w:val="14"/>
                <w:szCs w:val="14"/>
                <w:color w:val="auto"/>
              </w:rPr>
            </w:pPr>
          </w:p>
        </w:tc>
        <w:tc>
          <w:tcPr>
            <w:tcW w:w="492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Interest Rate</w:t>
            </w: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Amount(1)</w:t>
            </w:r>
          </w:p>
        </w:tc>
        <w:tc>
          <w:tcPr>
            <w:tcW w:w="160" w:type="dxa"/>
            <w:vAlign w:val="bottom"/>
            <w:tcBorders>
              <w:bottom w:val="single" w:sz="8" w:color="CCEEFF"/>
            </w:tcBorders>
            <w:gridSpan w:val="2"/>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2017(1)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Bank</w:t>
            </w: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of China Pudong Branch</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2017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2018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RMB30,000</w:t>
            </w:r>
          </w:p>
        </w:tc>
        <w:tc>
          <w:tcPr>
            <w:tcW w:w="160" w:type="dxa"/>
            <w:vAlign w:val="bottom"/>
            <w:gridSpan w:val="2"/>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RMB14,500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$4,521</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Shanghai Pudong Branch</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August 2017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September 2018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5.66</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RMB25,000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RMB8,540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$3,768</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Rural Commercial Bank</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September 2017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September 2018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5.44-5.66</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RMB5,000</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RMB60,000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RMB23,040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$9,042</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Converted to dollars as of November 15, 2017</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All of the amounts owing under the line of credit with Bank of China Pudong Branch are secured by ACM Shanghai’s intellectual property. All of the amounts owing under the lines of credit with Bank of Shanghai Pudong Branch and Shanghai Rural Commercial Bank are guaranteed by David Wang, our Chair of the Board, Chief Executive Officer and President.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operations used cash flow of $3.7 million in 2016 and $4.7 million in the first nine months of 2017. Our cash flow from operating activities is influenced by (a) the amount of cash we invest in personnel and technology development to support anticipated future growth in our business, (b) increases in the number of customers using our products and services, and (c) the amount and timing of payments by customers.</w:t>
      </w:r>
    </w:p>
    <w:p>
      <w:pPr>
        <w:spacing w:after="0" w:line="27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Government Research and Development Grants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described under “—Key Components of Results of Operations—PRC Government Research and Development Funding,” ACM Shanghai has received research and development grants from local and central PRC governmental authorities. ACM Shanghai received $6.6 million of such grants in 2016 and, as of December 1, 2017, had received $2.6 million of such grants in 2017. Not all grant amounts are received in the year in which a grant is awarded. ACM Shanghai does not expect to receive any additional grants in 2017.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selected working capital information:</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4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September 30, 2017</w:t>
            </w:r>
          </w:p>
        </w:tc>
      </w:tr>
      <w:tr>
        <w:trPr>
          <w:trHeight w:val="142"/>
        </w:trPr>
        <w:tc>
          <w:tcPr>
            <w:tcW w:w="5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i w:val="1"/>
                <w:iCs w:val="1"/>
                <w:color w:val="auto"/>
                <w:w w:val="94"/>
              </w:rPr>
              <w:t>(in thousands)</w:t>
            </w:r>
          </w:p>
        </w:tc>
        <w:tc>
          <w:tcPr>
            <w:tcW w:w="60" w:type="dxa"/>
            <w:vAlign w:val="bottom"/>
          </w:tcPr>
          <w:p>
            <w:pPr>
              <w:spacing w:after="0"/>
              <w:rPr>
                <w:sz w:val="12"/>
                <w:szCs w:val="1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w:t>
            </w: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Accounts receivable, less allowance for doubtful amounts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15,784</w:t>
            </w:r>
          </w:p>
        </w:tc>
        <w:tc>
          <w:tcPr>
            <w:tcW w:w="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18,077</w:t>
            </w:r>
          </w:p>
        </w:tc>
        <w:tc>
          <w:tcPr>
            <w:tcW w:w="60" w:type="dxa"/>
            <w:vAlign w:val="bottom"/>
            <w:shd w:val="clear" w:color="auto" w:fill="CCEEFF"/>
          </w:tcPr>
          <w:p>
            <w:pPr>
              <w:spacing w:after="0"/>
              <w:rPr>
                <w:sz w:val="18"/>
                <w:szCs w:val="18"/>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Working capital</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35,456</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cash and cash equivalents at September 30, 2017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Uses of Funds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Our capital expenditures totaled $795,000 in 2016. Substantially all of the capital expenditures were made to purchase equipment or improve infrastructure for our research and development and manufacturing facilities.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2017 we are continuing to invest in equipment and infrastructure improvements for our manufacturing and research and development facilities and, to a lesser extent, leasehold improvements for our administrative facilities. The extent of these investments may be affected by the pace with which we add new customers and obtain additional purchase orders. Our capital expenditures totaled $186,000 in the nine months ended September 30, 2017. We are not currently party to any purchase contracts related to future capital expenditures.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Contractual Obligations and Requirements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sets forth our commitments to settle contractual obligations as of December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Less than</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1 to 3</w:t>
            </w:r>
          </w:p>
        </w:tc>
        <w:tc>
          <w:tcPr>
            <w:tcW w:w="2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3 to 5</w:t>
            </w:r>
          </w:p>
        </w:tc>
        <w:tc>
          <w:tcPr>
            <w:tcW w:w="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5"/>
              </w:rPr>
              <w:t>More than</w:t>
            </w:r>
          </w:p>
        </w:tc>
        <w:tc>
          <w:tcPr>
            <w:tcW w:w="360" w:type="dxa"/>
            <w:vAlign w:val="bottom"/>
          </w:tcPr>
          <w:p>
            <w:pPr>
              <w:spacing w:after="0"/>
              <w:rPr>
                <w:sz w:val="14"/>
                <w:szCs w:val="14"/>
                <w:color w:val="auto"/>
              </w:rPr>
            </w:pP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5 Years</w:t>
            </w:r>
          </w:p>
        </w:tc>
        <w:tc>
          <w:tcPr>
            <w:tcW w:w="3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i w:val="1"/>
                <w:iCs w:val="1"/>
                <w:color w:val="auto"/>
                <w:w w:val="92"/>
              </w:rPr>
              <w:t>(in thousands)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9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$ 2,538</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Operating lease obligations with respect to office space consisted of amounts arising under lease agreements for our headquarters in Fremont, California, our operation center in Shanghai, PRC, and other small regional office locations. For additional information about these lease agreements, see “Business—Facilities.” 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7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Other than changes that occurred in the normal course of business, as of September 30, 2017 there were no significant changes to the contractual obligations reported at December 31, 2016.</w:t>
      </w:r>
    </w:p>
    <w:p>
      <w:pPr>
        <w:spacing w:after="0" w:line="170"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As of September 30, 2017, we did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trading activities involving non-exchange traded contracts. We therefore believe we are not materially exposed to any financing, liquidity, market or credit risk that could arise if we had engaged in these relationships.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September 30, 2017 and December 31, 2016, we did not have any significant off-balance sheet arrangements, as defined in Item 303(a)(4)(ii) of Regulation S-K of the Securities and Exchange Commission.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the result of fluctuations in foreign exchange rates and interest rates. We do not hold or issue financial instruments for trading purposes.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Although our financial statements are denominated in U.S. dollars, a sizable portion of our revenues and costs are denominated in other currencies, primarily the Renminbi. The Renminbi is not freely convertible into foreign currencies for capital account transactions. The value of the Renminbi against the U.S. dollar and other currencies is affected by changes in the PRC’s political and economic conditions and by the PRC’s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 in the future. To date, we have not entered into any hedging transactions in an effort to reduce our exposure to foreign currency exchange risk.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At September 30, 2017, we had unrestricted cash and cash equivalents totaling $17.1 million. These amounts were held for working capital purposes and were held primarily in checking accounts of various banks. We believe we do not have any material exposure to changes in our cash balance as a result of changes in interest rates. Declines in interest rates, however, would reduce future interest income.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2017. The term “disclosure controls and procedures,” as defined in Rules 13a-15(e) and 15d-15(e) under the Securities Exchange Act, means controls and other procedures of a company that are designed to ensure that information required to be disclosed by a company in the reports that it files or submits under the Securities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Securities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2017, and due to the material weakness in our internal control over financial reporting described in “Item 1A. Risk Factors—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 in Part II below, our chief executive officer and chief financial officer concluded that, as of such date, our disclosure controls and procedures over financial reporting were not effective during reporting the period ended September 30, 2017 as discussed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 and Remediation Efforts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During the nine months ended September 30, 2017, no changes, other than those in conjunction with certain remediation efforts described below, were identified to our internal control over financial reporting that materially affected, or were reasonably likely to materially affect, our internal control over financial reporting.</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connection with its audits of our consolidated financial statements as of, and for the years ended, December 31, 2016 and 2015, BDO China Shu Lun Pan Certified Public Accountants LLP informed us that it had identified a material weakness in our internal control over financial reporting relating to our lack of sufficient qualified financial reporting and accounting personnel with an appropriate level of expertise to properly address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complex accounting issues under accounting principles generally accepted in the United States, or GAAP, and to prepare and review our consolidated financial statements and related disclosures to fulfill GAAP and Securities and Exchange Commission financial reporting requirements.</w:t>
      </w:r>
    </w:p>
    <w:p>
      <w:pPr>
        <w:spacing w:after="0" w:line="12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the nine months ended September 30, 2017, we hired additional accounting and finance personnel and engaged outside consulting firms in order to improve our internal control over the financial reporting process. We will continue to monitor the effectiveness of our internal control over financial reporting and will seek to employ any additional tools and resources deemed necessary to ensure that our financial statements are fairly stated in all material respects.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Investing in Class A common stock involves a high degree of risk. You should consider and read carefully all of the risks and uncertainties described below, as well as other information contained in this report, including the consolidated financial statements and related notes set forth in “Item 1. Financial Statements” of Part I above,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incurred significant losses since our inception and we are uncertain about our future profitability.</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have incurred significant losses since our inception in 1998, and as of September 30, 2017 we had an accumulated deficit of $13.6 million. We may not be able to generate sufficient revenue to achieve and sustain profitability. We expect our costs to increase in future periods, which could negatively affect our future operating results if our revenue does not increase. In particular, we expect to continue to expend substantial financial and other resources on:</w:t>
      </w:r>
    </w:p>
    <w:p>
      <w:pPr>
        <w:spacing w:after="0" w:line="5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including continued investments in our research and development team;</w:t>
      </w:r>
    </w:p>
    <w:p>
      <w:pPr>
        <w:spacing w:after="0" w:line="130" w:lineRule="exact"/>
        <w:rPr>
          <w:rFonts w:ascii="Arial" w:cs="Arial" w:eastAsia="Arial" w:hAnsi="Arial"/>
          <w:sz w:val="18"/>
          <w:szCs w:val="18"/>
          <w:color w:val="auto"/>
        </w:rPr>
      </w:pPr>
    </w:p>
    <w:p>
      <w:pPr>
        <w:ind w:left="900" w:right="200" w:hanging="325"/>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sales and marketing, including a significant expansion of our sales organization, both domestically and internationally, building our brand, and providing our single-wafer wet cleaning equipment and other capital equipment, or tools, for evaluation by customers;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goods being manufactured and sold for our installed base;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field service;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and administrative expenses, including legal and accounting expenses related to being a public company.</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then our business, financial position and results of operations will be harmed and we may not be able to achieve or maintain profitability over the long term. Additionally, we may encounter unforeseen operating expenses, difficulties, complications, delays and other factors that may result in losses in future periods. If our revenue growth does not meet our expectations in future periods, our financial performance may be harmed and we may not achieve or maintain profitability in the future.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currently have limited revenue and may not be able to regain or maintain profitability.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date we have only generated limited revenue from sales of our products. Our revenue totaled $31.2 million in 2015, $27.4 million in 2016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$19.3 million in the first nine months of 2017. Our revenue was not sufficient to cover our operating expenses prior to 2015, and our net income decreased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 million in 2016 from $7.9 million in 2015. In the first nine months of 2017, we incurred an operating loss of $3.1 million, which was an increase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operating loss of $775,000 in the first nine months of 2016, and a net loss of $3.7 million, which was an increase from a net loss of $191,000 in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of 2016. Our ability to generate significant revenue and operate profitably depends upon our ability to commercialize our Ultra C single-wafer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wet cleaning equipment based on our Space Alternated Phase Shift, or SAPS, and Timely Energized Bubble Oscillation, or TEBO, technologies. Our 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generate significant product revenue from our current tools or future tool candidates also depends on a number of additional factors, including our 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achieve market acceptance of Ultra C equipment based on SAPS technology as well as Ultra C equipment based on TEBO technology;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customer base, including the establishment of relationships with companies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expand our supplier relationships with third parties;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and maintain our reputation for providing efficient on-time delivery of high quality products.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we fail to regain and sustain profitability on a continuing basis, we may be unable to continue our operations at planned levels and be forced to reduce our operations or even shut down.</w:t>
      </w:r>
    </w:p>
    <w:p>
      <w:pPr>
        <w:spacing w:after="0" w:line="279"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need to raise funds in the future, depending on many factors, including:</w:t>
      </w:r>
    </w:p>
    <w:p>
      <w:pPr>
        <w:spacing w:after="0" w:line="13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sales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applying our existing technologies to new or enhanced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developing new technologies and introducing new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our expansion, including capital expenditures, increasing our sales and marketing and service and support efforts, and expanding our geographic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continue to obtain governmental subsidies for developmental projects in the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debt repayment obligations;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timing of any future acquisitions.</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the extent that our existing sources of cash, together with any cash generated from operations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can be difficult to predict and can fluctuate substantially, which could result in volatility in the price of Class A common stock.</w:t>
      </w:r>
    </w:p>
    <w:p>
      <w:pPr>
        <w:spacing w:after="0" w:line="62" w:lineRule="exact"/>
        <w:rPr>
          <w:sz w:val="20"/>
          <w:szCs w:val="20"/>
          <w:color w:val="auto"/>
        </w:rPr>
      </w:pPr>
    </w:p>
    <w:p>
      <w:pPr>
        <w:jc w:val="both"/>
        <w:ind w:right="580" w:firstLine="456"/>
        <w:spacing w:after="0" w:line="312" w:lineRule="auto"/>
        <w:rPr>
          <w:sz w:val="20"/>
          <w:szCs w:val="20"/>
          <w:color w:val="auto"/>
        </w:rPr>
      </w:pPr>
      <w:r>
        <w:rPr>
          <w:rFonts w:ascii="Arial" w:cs="Arial" w:eastAsia="Arial" w:hAnsi="Arial"/>
          <w:sz w:val="16"/>
          <w:szCs w:val="16"/>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cyclicality of the semiconductor industry and the related impact on the purchase of equipment used in the manufacture of integrated circuits, or chips;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purchases of our tools by chip fabricators, which order types of tools based on multi-year capital plans under which the number and dollar amount of tool purchases can vary significantly from year to year;</w:t>
      </w:r>
    </w:p>
    <w:p>
      <w:pPr>
        <w:spacing w:after="0" w:line="75"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significant expenditures required to customize our products often exceed the deposits received from our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lead time required to manufacture our tools;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recognizing revenue due to the timing of shipment and acceptance of our tools;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sell additional tools to existing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changes in customer specifications or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length of our product sales cycle;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product mix, including the mix of systems, upgrades, spare parts and service;</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our product releases or upgrades or announcements of product releases or upgrades by us or our competitors, including changes in customer orders in anticipation of new products or product enhancements;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enhance our tools with new and better functionality that meet customer requirements and changing industry trends;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constraints on our suppliers’ capacity;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investments in research and development related to releasing new applications of our technologies and new products;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the development and manufacture of our new products and upgraded versions of our products and the market acceptance of these products when introduced;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control costs, including operating expenses and the costs of the components and subassemblies used in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related to the acquisition and integration of product lines, technologies or businesses;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 including defending our intellectual property against third-party claims or litigation.</w:t>
      </w:r>
    </w:p>
    <w:p>
      <w:pPr>
        <w:spacing w:after="0" w:line="24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29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62"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14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17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government of the People’s Republic of China, or the PRC,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success will depend on industry chip manufacturers adopting our SAPS and TEBO technologies.</w:t>
      </w:r>
    </w:p>
    <w:p>
      <w:pPr>
        <w:spacing w:after="0" w:line="1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and TEBO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our SAPS and TEBO technologies do not achieve widespread market acceptance, we will not be able to compete effectively.</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commercial success of our tools will depend, in part, on gaining substantial market acceptance by chip manufacturers. Our ability to gain acceptance for our products will depend upon a number of factors, including:</w:t>
      </w:r>
    </w:p>
    <w:p>
      <w:pPr>
        <w:spacing w:after="0" w:line="76" w:lineRule="exact"/>
        <w:rPr>
          <w:sz w:val="20"/>
          <w:szCs w:val="20"/>
          <w:color w:val="auto"/>
        </w:rPr>
      </w:pPr>
    </w:p>
    <w:p>
      <w:pPr>
        <w:ind w:left="900" w:right="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demonstrate the differentiated, innovative nature of our SAPS and TEBO technologies and the advantages of our tools over those of our competitors;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compatibility of our tools with existing or potential customers’ manufacturing processes and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customer service available to support our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experiences our customers have with our products.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28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b w:val="1"/>
          <w:bCs w:val="1"/>
          <w:i w:val="1"/>
          <w:iCs w:val="1"/>
          <w:color w:val="auto"/>
        </w:rPr>
        <w:t>If we do not continue to enhance our existing single-wafer wet cleaning tools and achieve market acceptance, we will not be able to compete effectively.</w:t>
      </w:r>
    </w:p>
    <w:p>
      <w:pPr>
        <w:spacing w:after="0" w:line="6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and TEBO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8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accurate anticipation of market requirements, changes in technology and evolving standards;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design products that meet chip manufacturers’ cost, size, acceptance and specification criteria, and performance requirements;</w:t>
      </w:r>
    </w:p>
    <w:p>
      <w:pPr>
        <w:spacing w:after="0" w:line="15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and availability of suppliers and third-party manufacturers to manufacture and deliver the critical components and subassemblies of our tools in a timely manner;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acceptance of our customers’ products, and the lifecycle of those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deliver products in a timely manner within our customers’ product planning and deployment cycle.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success will depend on our ability to identify and enter new product markets.</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expect to spend a significant amount of time and resources identifying new product markets in addition to the market for cleaning solutions and in developing new products for entry into these markets. Our TEBO 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27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2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chip equipment industry is highly competitive, and we face substantial competition throughout the world in each of the markets we serve. Many of our current and potential competitors have, among other things:</w:t>
      </w:r>
    </w:p>
    <w:p>
      <w:pPr>
        <w:spacing w:after="0" w:line="7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financial, technical, sales and marketing, manufacturing, distribution and other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established credibility and market reputations;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operating histories;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broader product offerings;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more extensive service offerings, including the ability to have large inventories of spare parts available near, or even at, customer locations;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 sales forces;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more extensive geographic coverage.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2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chip manufacturing industry is highly concentrated, and we derive a significant portion of our revenue from the sale of our products to a small number of customers. In 2016 99.3% of our revenue was derived from four customers: Shanghai Huali Microelectronics Corporation, 33.7%; Semiconductor Manufacturing International Corporation, 25.0%; SK Hynix Inc., 24.0%; and JiangYin ChangDian Advanced Packaging Co. Ltd., 16.6%. In 2015 all of our revenue was derived from three customers, including SK Hynix Inc., which accounted for 86.0% of our revenue, and JiangYin ChangDian Advanced Packaging Co., Ltd., which accounted for 10.1% of our revenue. 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16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customers do not enter into long-term purchase commitments, and they may decrease, cancel or delay their projected purchases at any time.</w:t>
      </w:r>
    </w:p>
    <w:p>
      <w:pPr>
        <w:spacing w:after="0" w:line="152"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In accordance with industry practice, our sales are on a purchase order basis, which we seek to obtain three to four months in advance of the expected product delivery date. Until a purchase order is received, we do not have a binding purchase commitment. Our SAPS and TEBO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28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often incur significant research and development costs for products that are purchased by our customers only after much, or all, of the cost has been incurred or that may never be purchased. We allow new customers, or existing customers considering new products, to evaluate products without any payment becoming due unless the product is ultimately accepted, which means we may invest $1.0 to $2.0 million in manufacturing a tool that may never be accepted and purchased or may be purchased months or even years after production. In the past we have borrowed money in order to fund first-time purchase order equipment and next-generation evaluation equipment. When we complete a first-time sale, we may not receive payment for up to 24 months.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275"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3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duration or ultimate success of our sales cycle depends on factors such as:</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efforts by our sales force;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complexity of our customers’ manufacturing processes and the compatibility of our tools with those processes;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customers’ internal technical capabilities and sophistication;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customers’ capital spending plans and processes, including budgetary constraints, internal approvals, extended negotiations or administrative delays.</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Difficulties in forecasting demand for our tools may lead to periodic inventory shortages or excess spending on inventory items that may not be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used.</w:t>
      </w:r>
    </w:p>
    <w:p>
      <w:pPr>
        <w:spacing w:after="0" w:line="10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 failure to prevent inventory shortages or accurately predict customers’ needs could result in decreased revenue and gross margins and harm our business.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17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our tools contain defects or do not meet customer specifications, we could lose customers and revenue.</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77"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customers may delay or reject acceptance of our tools that contain defects or fail to meet their specifications;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suffer customer dissatisfaction, negative publicity and reputational damage, resulting in reduced orders or otherwise damaging our ability to retain existing customers and attract new customers;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incur substantial costs as a result of warranty claims or service obligations or in order to enhance the reliability of our tools;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attention of our technical and management resources may be diverted;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replace defective systems or invest significant capital to resolve these problems;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write off inventory and other assets related to our tools.</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Warranty claims in excess of our estimates could adversely affect our business.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provided warranties against manufacturing defects of our tools that range from 12 to 36 months in duration. Our product warranty requires us to provide labor and parts necessary to repair defects. To date we have not accrued a significant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29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These issues could delay shipments of our tools, increase our testing costs or lead to costly failure claims.</w:t>
      </w:r>
    </w:p>
    <w:p>
      <w:pPr>
        <w:spacing w:after="0" w:line="18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92"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price increases;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capacity shortages or other inability to meet any increase in demand for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control over manufacturing process for components and subassemblies and delivery schedules;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limited ability of some suppliers to manufacture and sell subassemblies or parts in the volumes we require and at acceptable quality levels and prices, due to the suppliers’ relatively small operations and limited manufacturing resources;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exposure to potential misappropriation of our intellectual property;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limited warranties on subassemblies and components supplied to us.</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27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Any shortage of components or subassemblies could result in delayed delivery of products to us or in increased costs to us, which could harm our business.</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62"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We also rely on Ninebell Co., Ltd., or Ninebell, which is the principal supplier of robotic delivery system subassemblies used in our single-wafer cleaning equipment. An adverse change to our relationship with ProSys or Ninebell would disrupt our production of single-wafer cleaning equipment and could cause substantial harm to our business.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30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either of which could make it difficult for us to expand our product base.</w:t>
      </w:r>
    </w:p>
    <w:p>
      <w:pPr>
        <w:spacing w:after="0" w:line="7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received subsidies from local and central governmental authorities in the PRC in 2008, 2009 and 2014. These grants have provided a majority of the funding for our development and commercialization of stress-free polishing and electro copper-plating technologies. If we are unable to obtain similar governmental subsidies for development projects in the future, we may need to raise additional funds through public or private financings, strategic relationships, or other arrangements, which could force us to reduce our efforts to develop technologies beyond SAPS and TEBO. To the extent that we receive a lower level of, or no, governmental subsidies in the future, we may need to raise additional funds through public or private financings, strategic relationships, or other arrangements.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success of our business will depend on our ability to manage any future growth.</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have experienced rapid growth in our business recently due, in part, to an expansion of our product offerings and an increase in the number of customers that we serve. For example, our headcount grew by 18.7% during 2016 and by an additional 28.1% from January 1, 2017 to September 30, 2017.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spacing w:after="0" w:line="84" w:lineRule="exact"/>
        <w:rPr>
          <w:sz w:val="20"/>
          <w:szCs w:val="20"/>
          <w:color w:val="auto"/>
        </w:rPr>
      </w:pPr>
    </w:p>
    <w:p>
      <w:pPr>
        <w:ind w:left="900" w:right="24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hire, train, integrate and manage additional qualified engineers for research and development activities, sales and marketing personnel, service and support personnel and financial and information technology personnel;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 multiple relationships with our customers, suppliers and other third parties;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to enhance our information technology infrastructure, systems and controls.</w:t>
      </w:r>
    </w:p>
    <w:p>
      <w:pPr>
        <w:spacing w:after="0" w:line="225"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Our organizational structure has become more complex, and we will need to continue to scale and adapt our operational, financial and management controls, as well as our reporting systems and procedures. The continued expansion of our infrastructure will require us to commit substantial financial, operational and management resources before our revenue increases and without any assurances that our revenue will increase.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highly dependent on our Chief Executive Officer and President and other senior management and key employees.</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success largely depends on the skills, experience and continued efforts of our management, technical and sales personnel, including in particular Dr. David H. Wang, our Chair of the Board, Chief Executive Officer, President and founder. If one or more of our senior management were unable or unwilling to continue their employment with us, we may not be able to replace them in a timely manner. We may incur additional expenses to recruit and retain qualified replacements. We do not currently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All of our senior management are at-will employees, which means either we or the employee may terminate his or her employment at any time. The loss of Dr. Wang or other key management personnel could significantly delay or prevent the achievement of our business objectives.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Failure to attract and retain qualified personnel could put us at a competitive disadvantage and prevent us from effectively growing our business.</w:t>
      </w:r>
    </w:p>
    <w:p>
      <w:pPr>
        <w:spacing w:after="0" w:line="15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utilize certain U.S. and state net operating loss carryforwards may be limited under applicable tax laws.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of September 30, 2017, we had net operating loss carryforward amounts, or NOLs, of $19.0 million for U.S. federal income tax purposes and $591,000 for U.S. state income tax purposes. The federal and state NOLs will expire at various dates beginning in 2019.</w:t>
      </w:r>
    </w:p>
    <w:p>
      <w:pPr>
        <w:spacing w:after="0" w:line="170"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this offering, the concurrent private placement and any future follow-on public offerings.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Acquisitions that we pursue in the future, whether or not consummated, could result in other operating and financial difficulties.</w:t>
      </w:r>
    </w:p>
    <w:p>
      <w:pPr>
        <w:spacing w:after="0" w:line="1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spacing w:after="0" w:line="87"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acquired product lines, technologies or businesses may not improve our financial and strategic position as planned;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determine we have overpaid for the product lines, technologies or businesses, or that the economic conditions underlying our acquisition have changed;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have difficulty integrating the operations and personnel of the acquired company;</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have difficulty retaining the employees with the technical skills needed to enhance and provide services with respect to the acquired product lines or technologies;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acquisition may be viewed negatively by customers, employees, suppliers, financial markets or investors;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have difficulty incorporating the acquired product lines or technologies with our existing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encounter a competitive response, including price competition or intellectual property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incur one-time write-offs, such as acquired in-process research and development costs, and restructuring charges;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acquire goodwill and other intangible assets that are subject to impairment tests, which could result in future impairment charges;</w:t>
      </w:r>
    </w:p>
    <w:p>
      <w:pPr>
        <w:spacing w:after="0" w:line="142" w:lineRule="exact"/>
        <w:rPr>
          <w:rFonts w:ascii="Arial" w:cs="Arial" w:eastAsia="Arial" w:hAnsi="Arial"/>
          <w:sz w:val="17"/>
          <w:szCs w:val="17"/>
          <w:color w:val="auto"/>
        </w:rPr>
      </w:pPr>
    </w:p>
    <w:p>
      <w:pPr>
        <w:ind w:left="900" w:right="7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ongoing business and management’s attention may be disrupted or diverted by transition or integration issues and the complexity of managing geographically or culturally diverse enterprises;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due diligence process may fail to identify significant existing issues with the target business.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83"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demand for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reserves on accounts receivable due to our customers’ inability to pay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reserves on inventory balances due to excess or obsolete inventory as a result of our inability to sell such inventory;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valuation allowances on deferred tax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 impairments including the potential impairment of goodwill and other intangible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the value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the value of certain facilities we lease to less than our residual value guarantee with the lessor;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challenges maintaining reliable and uninterrupted sources of supply.</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conduct substantially all of our operations outside the United States and face risks associated with conducting business in foreign markets.</w:t>
      </w:r>
    </w:p>
    <w:p>
      <w:pPr>
        <w:spacing w:after="0" w:line="152"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All of our sales in 2015, 2016 and the first nine months of 2017 were made to customers outside the United States. Our manufacturing center has been located in Shanghai, PRC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spacing w:after="0" w:line="52"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or adverse changes in, foreign laws or regulatory requirements;</w:t>
      </w:r>
    </w:p>
    <w:p>
      <w:pPr>
        <w:spacing w:after="0" w:line="130" w:lineRule="exact"/>
        <w:rPr>
          <w:rFonts w:ascii="Arial" w:cs="Arial" w:eastAsia="Arial" w:hAnsi="Arial"/>
          <w:sz w:val="18"/>
          <w:szCs w:val="18"/>
          <w:color w:val="auto"/>
        </w:rPr>
      </w:pPr>
    </w:p>
    <w:p>
      <w:pPr>
        <w:jc w:val="center"/>
        <w:ind w:left="5620" w:right="1320" w:hanging="5045"/>
        <w:spacing w:after="0" w:line="449" w:lineRule="auto"/>
        <w:tabs>
          <w:tab w:leader="none" w:pos="8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need to comply with the import laws and regulations of various foreign jurisdictions, including a range of U.S. import laws; 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potentially adverse tax consequences, including withholding tax rules that may limit the repatriation of our earnings, and higher effective income tax rates in foreign countries where we conduct business;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competition from local suppliers with which potential customers may prefer to do business;</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seasonal reduction in business activity, such as during Chinese, or Lunar, New Year in parts of Asia and in other periods in various individual countries;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protection for intellectual property;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sales cycles and reliance on indirect sales in certain regions;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length of time for shipping and acceptance of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greater difficulty in responding to customer requests for maintenance and spare parts on a timely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and longer collection periods;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and the increased travel, infrastructure and legal and compliance costs associated with multiple international locations;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particular, the Asian market is extremely competitive, and chip manufacturers may be aggressive in seeking price concessions from suppliers, including chip equipment manufacturers.</w:t>
      </w:r>
    </w:p>
    <w:p>
      <w:pPr>
        <w:spacing w:after="0" w:line="170"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Fluctuation in foreign currency exchange rates may adversely affect our results of operations and financial position.</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results of operations and financial position could be adversely affected as a result of fluctuations in foreign currency exchange rates. Although our financial statements are denominated in U.S. dollars, a sizable portion of our revenues and costs are denominated in other currencies, primarily the Chinese Renminbi.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62"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1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18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29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62"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16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subject to various domestic and international anti-corruption laws, such as the U.S. Foreign Corrupt Practices Act, as well as similar anti-bribery and anti-kickback laws and regulations.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28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7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production facilities could be damaged or disrupted by a natural disaster, war, terrorist attacks or other catastrophic events.</w:t>
      </w:r>
    </w:p>
    <w:p>
      <w:pPr>
        <w:spacing w:after="0" w:line="12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28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73"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Neither we nor BDO China Shu Lun Pan Certified Public Accountants LLP, or BDO China, our independent registered public accounting firm, has performed a comprehensive assessment of our internal control over financial reporting, as defined by the American Institute of Certified Public Accountants, for purposes of identifying and reporting material weaknesses and other control deficiencies. We are not currently required to comply with Section 404 of the Sarbanes-Oxley Act and therefore are not required to assess the effectiveness of our internal control over financial reporting. Further, BDO China has not been engaged to express, nor has it expressed, an opinion on the effectiveness of our internal control over financial reporting.</w:t>
      </w:r>
    </w:p>
    <w:p>
      <w:pPr>
        <w:spacing w:after="0" w:line="158"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In connection with its audits of our consolidated financial statements as of, and for the years ended, December 31, 2016 and 2015, BDO China informed us that it had identified a material weakness in our internal control over financial reporting relating to our lack of sufficient qualified financial reporting and accounting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personnel with an appropriate level of expertise to properly address complex accounting issues under accounting principles generally accepted in the United States, or GAAP, and to prepare and review our consolidated financial statements and related disclosures to fulfill GAAP and Securities and Exchange Commission financial reporting requirements. We are taking remedial measures to improve the effectiveness of our controls, including by hiring additional accounting and finance personnel and by engaging outside consulting firms.</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existence of material weaknesses is an indication that there is a more than remote likelihood that a material misstatement of our financial statements will not be prevented or detected in a future period, and the process of designing and implementing effective internal controls and procedures will be a continual effort that may require us to expend significant resources to establish and maintain a system of controls that is adequate to satisfy our reporting obligations as a public company. We cannot assure you that the measures we take will be sufficient to remediate the material weakness identified by BDO China or that we will implement and maintain adequate controls over our financial processes and reporting in the future in order to avoid additional material weaknesses or controlled deficiencies in our internal control over financing reporting. If our remediation efforts are not successful or other material weaknesses or control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w:t>
      </w:r>
    </w:p>
    <w:p>
      <w:pPr>
        <w:spacing w:after="0" w:line="29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BDO China is the independent registered public accounting firm that issued the audit report included in our final prospectus filed with the Securities and Exchange Commission on November 3, 2017 in connection with our consolidated financial statements as of, and for the years ended, December 31, 2016 and 2015. BDO China, as an auditor of companies that are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on auditors in the PRC without the approval of PRC authorities, and therefore BDO China, like other independent registered public accounting firms operating in the PRC, is currently not inspected by the PCAOB.</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May 2013 the PCAOB announced that it has entered into a Memorandum of Understanding on Enforcement Cooperation with the China Securities Regulatory Commission and the Ministry of Finance of China pursuant to which the Ministry of Finance established a cooperative framework between the parties for the 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including our SAPS and TEBO technologies.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commercial success depends in part on our ability to obtain and maintain patent and trade secret protection for our intellectual property, including our SAPS and TEBO technologies and the design of our Ultra C equipment,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89"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29" w:lineRule="exact"/>
        <w:rPr>
          <w:sz w:val="20"/>
          <w:szCs w:val="20"/>
          <w:color w:val="auto"/>
        </w:rPr>
      </w:pPr>
    </w:p>
    <w:p>
      <w:pPr>
        <w:ind w:left="900" w:right="60" w:hanging="325"/>
        <w:spacing w:after="0" w:line="279"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76" w:lineRule="exact"/>
        <w:rPr>
          <w:rFonts w:ascii="Arial" w:cs="Arial" w:eastAsia="Arial" w:hAnsi="Arial"/>
          <w:sz w:val="17"/>
          <w:szCs w:val="17"/>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Patents that may be issued may be challenged, invalidated, modified, revoked, circumvented, found to be unenforceable or otherwise may not provide any competitive advantage.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may seek or may have already obtained patents that will limit, interfere with, or eliminate our ability to make, use and sell our potential product candidates.</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involved in lawsuits to protect or enforce our patents, which could be expensive, time consuming and unsuccessful.</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 which could materially, negatively affect our business.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Filing, prosecuting and defending patents on our products or proprietary technologies in all countries throughout the world would be prohibitively expensive, and our intellectual property rights in some countries 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27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potential intellectual property claims or litigation commenced against us could:</w:t>
      </w:r>
    </w:p>
    <w:p>
      <w:pPr>
        <w:spacing w:after="0" w:line="13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time consuming and expensive to defend, whether or not meritorious;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force us to stop selling products or using technology that allegedly infringes the third party’s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shipments of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pay damages or settlement fees to the party claiming infringement;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require us to attempt to obtain a license to the relevant intellectual property, which may not be available on reasonable terms or at all;</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force us to attempt to redesign products that contain the allegedly infringing technology, which could be expensive or which we may be unable to do;</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indemnify our customers, suppliers or other third parties for any loss caused by their use of our technology that allegedly infringes the third party’s intellectual property rights;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divert the attention of our technical and managerial resources.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Class A Common Stock</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b w:val="1"/>
          <w:bCs w:val="1"/>
          <w:i w:val="1"/>
          <w:iCs w:val="1"/>
          <w:color w:val="auto"/>
        </w:rPr>
        <w:t>The market price of Class A common stock may be volatile or may decline regardless of our operating performance, and you may not be able to resell your shares at or above the initial public offering price.</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Class A common stock only commenced trading on the Nasdaq Global Market, or Nasdaq, on November 3, 2017, and the market price of Class A common stock has been, and could continue to be, subject to significant fluctuations. You may not be able to resell your shares at or above the initial public offering price. The market price of Class A common stock may fluctuate significantly in response to numerous factors, many of which are beyond our control, including:</w:t>
      </w:r>
    </w:p>
    <w:p>
      <w:pPr>
        <w:spacing w:after="0" w:line="92"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projections for the chips or chip equipment industries or in the operating performance or expectations and stock market valuations of chip companies, chip equipment companies or technology companies in general;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operating results;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changes in the financial projections we may provide to the public, our failure to meet these projections, or changes in recommendations by any securities analysts that elect to follow Class A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additional shares of Class A common stock being sold into the market by us or our existing stockholders or the anticipation of such sales;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trends, including changes in the demand for electronics or information technology or geopolitical events such as war or acts of terrorism, or any responses to such events.</w:t>
      </w:r>
    </w:p>
    <w:p>
      <w:pPr>
        <w:spacing w:after="0" w:line="17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In recent years, the stock market in general, and Nasdaq in particular, has experienced extreme price and volume fluctuations that have often been unrelated or disproportionate to changes in the operating performance of the companies whose stock is experiencing those price and volume fluctuations.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73"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active trading market for Class A common stock may not be sustained.</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Class A common stock has been listed on Nasdaq only since November 3, 2017, and we cannot assure you that an active trading market for Class A common stock will be sustained or maintained.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or maintain a liquid market for Class A common stock.</w:t>
      </w:r>
    </w:p>
    <w:p>
      <w:pPr>
        <w:spacing w:after="0" w:line="29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and the concurrent private placement, and we may not succeed in using those net proceeds effectively.</w:t>
      </w:r>
    </w:p>
    <w:p>
      <w:pPr>
        <w:spacing w:after="0" w:line="6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In November 2017 we issued and sold 2,233,000 shares of Class A common stock in our initial public offering, or IPO, and an additional 1,333,334 shares of Class A common stock in a private placement, which we refer to as the concurrent private placement. We cannot specify with any certainty the particular uses of the net proceeds that we received from the IPO and the concurrent private placement. Our management has broad discretion in the application of these net proceeds, including working capital and other general corporate purposes, and we may spend or invest these proceeds in a way with which our stockholders disagree. The failure by management to apply these funds effectively could harm our business and financial condition. Pending their use, we may invest the net proceeds in a manner that does not produce income or that loses value.</w:t>
      </w:r>
    </w:p>
    <w:p>
      <w:pPr>
        <w:spacing w:after="0" w:line="28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us, our business or our market, or if they publish negative evaluations of Class A common stock or the stock of other companies in our industry, the price of our stock and trading volume could decline.</w:t>
      </w:r>
    </w:p>
    <w:p>
      <w:pPr>
        <w:spacing w:after="0" w:line="1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296"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Requirements associated with being a public reporting company will increase our costs significantly, as well as divert significant company resources and management attention.</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subject to the reporting requirements of the Securities Exchange Act, the Sarbanes-Oxley Act, the Dodd-Frank Wall Street Reform and Consumer Protection Act, the listing requirements of Nasdaq, and other rules and regulations of the SEC.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6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29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30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b w:val="1"/>
          <w:bCs w:val="1"/>
          <w:i w:val="1"/>
          <w:iCs w:val="1"/>
          <w:color w:val="auto"/>
        </w:rPr>
        <w:t>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3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Class B common stock has twenty votes per share and Class A common stock has one vote per share. As of December 1, 2017 stockholders who hold shares of Class B common stock, who consist principally of our executive officers, employees, directors and their respective affiliates, collectively held</w:t>
      </w:r>
    </w:p>
    <w:p>
      <w:pPr>
        <w:spacing w:after="0" w:line="270" w:lineRule="auto"/>
        <w:rPr>
          <w:sz w:val="20"/>
          <w:szCs w:val="20"/>
          <w:color w:val="auto"/>
        </w:rPr>
      </w:pPr>
      <w:r>
        <w:rPr>
          <w:rFonts w:ascii="Arial" w:cs="Arial" w:eastAsia="Arial" w:hAnsi="Arial"/>
          <w:sz w:val="17"/>
          <w:szCs w:val="17"/>
          <w:color w:val="auto"/>
        </w:rPr>
        <w:t>79.1% of the voting power of our outstanding capital stock.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Future transfers by holders of Class B common stock will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Substantial future sales of shares by existing stockholders, or the perception that such sales may occur, could cause our stock price to decline.</w:t>
      </w:r>
    </w:p>
    <w:p>
      <w:pPr>
        <w:spacing w:after="0" w:line="15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If our existing stockholders, particularly our directors and executive officers, sell substantial amounts of Class A common stock in the public market, or are perceived by the public market as intending to sell substantial numbers of shares of Class A common stock, the trading price of Class A common stock could decline below the initial public offering price. As of December 1, 2017, only the shares of Class A common stock sold in the IPO and an additional 113,984 shares not subject to lock-up agreements were freely tradable in the public market. Holders of substantially all of the outstanding shares of Class A common stock, including all of our officers and directors, have entered into contractual lock-up agreements with the underwriters of our IPO pursuant to which they have agreed, subject to certain exceptions, not to sell or otherwise transfer any of their common stock or securities convertible into or exchangeable for shares of common stock until May 2, 2018. We and the lead underwriter in the IPO may, however, permit these holders to sell shares prior to the expiration of the lock-up agreements with the underwriters.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113,984 shares of Class A common stock that were outstanding prior to the IPO and not subject to lock-up agreements, 12,998,300 shares of Class A common stock (including 2,409,738 shares issuable upon conversion of Class B common stock) will become eligible for sale in the public market when the lock-up agreements expire on May 2, 2018. Of those 12,998,300 shares, 9,604,309 shares (including 1,731,272 issuable upon conversion of Class B common stock) held by directors, executive officers and other affiliates will be eligible for sale in the public market subject to volume and other limitations under Rule 144 under the Securities Act.</w:t>
      </w:r>
    </w:p>
    <w:p>
      <w:pPr>
        <w:spacing w:after="0" w:line="29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restated charter and bylaws could make a merger, tender offer or proxy contest difficult, thereby depressing the trading price of Class A common stock.</w:t>
      </w:r>
    </w:p>
    <w:p>
      <w:pPr>
        <w:spacing w:after="0" w:line="62"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restated charter and bylaws contain provisions that may make the acquisition of our company more difficult, including the following:</w:t>
      </w:r>
    </w:p>
    <w:p>
      <w:pPr>
        <w:spacing w:after="0" w:line="77" w:lineRule="exact"/>
        <w:rPr>
          <w:sz w:val="20"/>
          <w:szCs w:val="20"/>
          <w:color w:val="auto"/>
        </w:rPr>
      </w:pPr>
    </w:p>
    <w:p>
      <w:pPr>
        <w:ind w:left="900" w:right="32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combined voting power of common stock:</w:t>
      </w:r>
    </w:p>
    <w:p>
      <w:pPr>
        <w:spacing w:after="0" w:line="142" w:lineRule="exact"/>
        <w:rPr>
          <w:rFonts w:ascii="Arial" w:cs="Arial" w:eastAsia="Arial" w:hAnsi="Arial"/>
          <w:sz w:val="17"/>
          <w:szCs w:val="17"/>
          <w:color w:val="auto"/>
        </w:rPr>
      </w:pPr>
    </w:p>
    <w:p>
      <w:pPr>
        <w:ind w:left="1480" w:right="40" w:hanging="446"/>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amendments to our restated charter or bylaws will require the approval of two-thirds of the combined vote of our then-outstanding shares of Class A and Class B common stock;</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vacancies on the board of directors will be able to be filled only by the board and not by stockholders;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board, which currently is not staggered, will be automatically separated into three classes with staggered three-year terms;</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directors will only be able to be removed from office for cause;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our stockholders will only be able to take action at a meeting and not by written consent;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only our chair, our chief executive officer or a majority of our directors is authorized to call a special meeting of stockholders;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restated charter authorizes undesignated preferred stock, the terms of which may be established, and shares of which may be issued, without stockholder approval;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cumulative voting in the election of directors is prohibited.</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Our restated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restated charter provides that the Court of Chancery of the State of Delaware will, to the fullest extent permitted by law, be the sole and exclusive forum for:</w:t>
      </w:r>
    </w:p>
    <w:p>
      <w:pPr>
        <w:spacing w:after="0" w:line="7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to us, our stockholders, creditors or other constituents by any of our directors, officers, other employees, agents or stockholders;</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asserting a claim arising under the Delaware General Corporation Law, our charter or bylaws, or as to which the Delaware General Corporation Law confers jurisdiction on the Court of Chancery of the State of Delaware;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restated charter related to choice of forum. The choice of forum provision in our restated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restated charter to be inapplicable or unenforceable in an action, we may incur additional costs associated with resolving such action in other jurisdictions, which could harm our business, results of operations and financial condition.</w:t>
      </w:r>
    </w:p>
    <w:p>
      <w:pPr>
        <w:spacing w:after="0" w:line="26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We are currently an “emerging growth company,” and the reduced disclosure requirements applicable to emerging growth companies may make Class A common stock less attractive to investors.</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are currently an “emerging growth company,” as defined in the Jumpstart Our Business Startups Act.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not being required to comply with the auditor attestation requirements of Section 404 of the Sarbanes-Oxley Act and not being required to comply with any requirement that may be adopted by the PCAOB regarding mandatory audit firm rotation or a supplement to the auditor’s report providing additional information about the audit and the financial statements. We cannot predict whether investors will find the Class A common stock less attractive if we rely on these exemptions. If some investors find the Class A common stock less attractive as a result, there may be a less active trading market, and more volatile trading price, for Class A common stock.</w:t>
      </w:r>
    </w:p>
    <w:p>
      <w:pPr>
        <w:spacing w:after="0" w:line="290" w:lineRule="exact"/>
        <w:rPr>
          <w:sz w:val="20"/>
          <w:szCs w:val="20"/>
          <w:color w:val="auto"/>
        </w:rPr>
      </w:pPr>
    </w:p>
    <w:p>
      <w:pPr>
        <w:ind w:right="80" w:firstLine="456"/>
        <w:spacing w:after="0" w:line="375" w:lineRule="auto"/>
        <w:rPr>
          <w:sz w:val="20"/>
          <w:szCs w:val="20"/>
          <w:color w:val="auto"/>
        </w:rPr>
      </w:pPr>
      <w:r>
        <w:rPr>
          <w:rFonts w:ascii="Arial" w:cs="Arial" w:eastAsia="Arial" w:hAnsi="Arial"/>
          <w:sz w:val="15"/>
          <w:szCs w:val="15"/>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public company, and particularly after we cease to be an “emerging growth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9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 Sarbanes-Oxley Act, or Section 404, will require our management to perform system and process evaluation and testing to allow it to report on the effectiveness of our internal control over financial reporting.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currently evaluating our internal controls, identifying and remediating deficiencies in those internal controls and documenting the results of our evaluation, testing and remediation. Please see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18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5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2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From July 1, 2017 through September 30, 2017, we issued and sold to an employee and another service provider an aggregate of 74,334 unregistered shares of Class A common stock upon the exercise of stock options at a per share exercise price $0.75. Neither of these transactions involved any underwriters, underwriting discounts or commissions, or any public offering. We believe the offers, sales and issuances of these shares were exempt from registration under the Securities Act by virtue of Section 4(a)(2) of the Securities Act (or Regulation D promulgated thereunder) because the issuance of securities to the recipients did not involve a public offering, or in reliance on Rule 701 because the transactions were pursuant to compensatory benefit plans or contracts relating to compensation as provided under such rule. The recipients of the shares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Both recipients had adequate access, through their relationships with us, to information about us. The sales of these shares were made without any general solicitation or advertising.</w:t>
      </w:r>
    </w:p>
    <w:p>
      <w:pPr>
        <w:spacing w:after="0" w:line="16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November 7, 2017, following the completion of or initial public offering, we issued and sold 1,333,334 shares of Class A common stock in a private placement to Xinxin (Hongkong) Capital Co., Limited, a subsidiary of Sino IC Capital Co., Ltd., and Victorious Way Limited, which we refer to as the concurrent private placement. The shares were sold at a price of $5.60 per share, for aggregate gross proceeds of $7.5 million. We paid placement fees of</w:t>
      </w:r>
    </w:p>
    <w:p>
      <w:pPr>
        <w:jc w:val="both"/>
        <w:spacing w:after="0" w:line="281" w:lineRule="auto"/>
        <w:rPr>
          <w:sz w:val="20"/>
          <w:szCs w:val="20"/>
          <w:color w:val="auto"/>
        </w:rPr>
      </w:pPr>
      <w:r>
        <w:rPr>
          <w:rFonts w:ascii="Arial" w:cs="Arial" w:eastAsia="Arial" w:hAnsi="Arial"/>
          <w:sz w:val="16"/>
          <w:szCs w:val="16"/>
          <w:color w:val="auto"/>
        </w:rPr>
        <w:t>3.5% of gross proceeds in connection with the concurrent private placement. The concurrent private placement did not involve any underwriters, underwriting discounts or commissions, or any public offering. The net proceeds of the concurrent private placement, after deducting placement fees and offering expenses, were $7.1 million. We believe the offers, sales and issuances of these shares were exempt from registration under the Securities Act by virtue of Section 4(a)</w:t>
      </w:r>
    </w:p>
    <w:p>
      <w:pPr>
        <w:spacing w:after="0" w:line="2" w:lineRule="exact"/>
        <w:rPr>
          <w:sz w:val="20"/>
          <w:szCs w:val="20"/>
          <w:color w:val="auto"/>
        </w:rPr>
      </w:pPr>
    </w:p>
    <w:p>
      <w:pPr>
        <w:jc w:val="both"/>
        <w:ind w:right="200" w:firstLine="8"/>
        <w:spacing w:after="0" w:line="295" w:lineRule="auto"/>
        <w:tabs>
          <w:tab w:leader="none" w:pos="2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of the Securities Act (or Regulation D promulgated thereunder) because the issuance of securities to the recipients did not involve a public offering. The purchasers in the concurrent private placement represented their intentions to acquire the securities for investment only and not with a view to or for sale in connection with any distribution thereof, and appropriate legends were placed upon the stock certificates issued in these transactions. Both purchasers also represented they had adequate access to information about us. The sales of these shares were made without any general solicitation or advertising.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Registration Statement on Form S-1 (File No. 333- 220451) for our initial public offering of Class A common stock, or IPO, was declared effective by the SEC on November 2, 2017. Shares of Class A common stock began trading on the Nasdaq Global Market on November 3, 2017.</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underwriters of the IPO were Roth Capital Partners, LLC, Craig-Hallum Capital Group LLC and The Benchmark Company, LLC. The offering commenced on November 2, 2017 and did not terminate until the sale of all of the shares offered.</w:t>
      </w:r>
    </w:p>
    <w:p>
      <w:pPr>
        <w:spacing w:after="0" w:line="17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We paid to the underwriters of the IPO underwriting discounts and commissions totaling $875,000 in connection with the sale of 2,233,000 shares of Class A common stock. In addition, we incurred expenses of $2.25 million which, when added to the underwriting discounts and commissions, amounted to total expenses of $3.1 million. As a result, the IPO net proceeds, after deducting underwriting discounts and commissions and offering expenses, were</w:t>
      </w:r>
    </w:p>
    <w:p>
      <w:pPr>
        <w:ind w:right="40"/>
        <w:spacing w:after="0" w:line="261" w:lineRule="auto"/>
        <w:rPr>
          <w:sz w:val="20"/>
          <w:szCs w:val="20"/>
          <w:color w:val="auto"/>
        </w:rPr>
      </w:pPr>
      <w:r>
        <w:rPr>
          <w:rFonts w:ascii="Arial" w:cs="Arial" w:eastAsia="Arial" w:hAnsi="Arial"/>
          <w:sz w:val="18"/>
          <w:szCs w:val="18"/>
          <w:color w:val="auto"/>
        </w:rPr>
        <w:t>$9.4 million. No offering expenses were paid directly or indirectly to any of our directors or officers (or their associates) or persons owning 10.0% or more of any class of our equity securities or to any other affiliates.</w:t>
      </w:r>
    </w:p>
    <w:p>
      <w:pPr>
        <w:spacing w:after="0" w:line="184"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There has been no material change in the planned use of IPO proceeds from that described in the final prospectus filed with the Securities and Exchange Commission pursuant to Rule 424(b)(4) under the Securities Act of 1933 on November 3, 2017.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320" w:type="dxa"/>
            <w:vAlign w:val="bottom"/>
          </w:tcPr>
          <w:p>
            <w:pPr>
              <w:spacing w:after="0"/>
              <w:rPr>
                <w:sz w:val="14"/>
                <w:szCs w:val="14"/>
                <w:color w:val="auto"/>
              </w:rPr>
            </w:pPr>
          </w:p>
        </w:tc>
        <w:tc>
          <w:tcPr>
            <w:tcW w:w="3200" w:type="dxa"/>
            <w:vAlign w:val="bottom"/>
            <w:gridSpan w:val="17"/>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320" w:type="dxa"/>
            <w:vAlign w:val="bottom"/>
          </w:tcPr>
          <w:p>
            <w:pPr>
              <w:spacing w:after="0"/>
              <w:rPr>
                <w:sz w:val="16"/>
                <w:szCs w:val="16"/>
                <w:color w:val="auto"/>
              </w:rPr>
            </w:pPr>
          </w:p>
        </w:tc>
        <w:tc>
          <w:tcPr>
            <w:tcW w:w="320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3.01</w:t>
            </w:r>
          </w:p>
        </w:tc>
        <w:tc>
          <w:tcPr>
            <w:tcW w:w="600" w:type="dxa"/>
            <w:vAlign w:val="bottom"/>
          </w:tcPr>
          <w:p>
            <w:pPr>
              <w:spacing w:after="0"/>
              <w:rPr>
                <w:sz w:val="22"/>
                <w:szCs w:val="22"/>
                <w:color w:val="auto"/>
              </w:rPr>
            </w:pPr>
          </w:p>
        </w:tc>
        <w:tc>
          <w:tcPr>
            <w:tcW w:w="4360" w:type="dxa"/>
            <w:vAlign w:val="bottom"/>
            <w:tcBorders>
              <w:top w:val="single" w:sz="8" w:color="auto"/>
              <w:bottom w:val="single" w:sz="8" w:color="0000EE"/>
            </w:tcBorders>
            <w:gridSpan w:val="8"/>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Restated Certificate of Incorporation of ACM Research, Inc.</w:t>
              </w:r>
            </w:hyperlink>
          </w:p>
        </w:tc>
        <w:tc>
          <w:tcPr>
            <w:tcW w:w="1160" w:type="dxa"/>
            <w:vAlign w:val="bottom"/>
            <w:tcBorders>
              <w:top w:val="single" w:sz="8" w:color="auto"/>
            </w:tcBorders>
            <w:gridSpan w:val="10"/>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3.02</w:t>
            </w:r>
          </w:p>
        </w:tc>
        <w:tc>
          <w:tcPr>
            <w:tcW w:w="600" w:type="dxa"/>
            <w:vAlign w:val="bottom"/>
          </w:tcPr>
          <w:p>
            <w:pPr>
              <w:spacing w:after="0"/>
              <w:rPr>
                <w:sz w:val="24"/>
                <w:szCs w:val="24"/>
                <w:color w:val="auto"/>
              </w:rPr>
            </w:pPr>
          </w:p>
        </w:tc>
        <w:tc>
          <w:tcPr>
            <w:tcW w:w="2920" w:type="dxa"/>
            <w:vAlign w:val="bottom"/>
            <w:tcBorders>
              <w:bottom w:val="single" w:sz="8" w:color="0000EE"/>
            </w:tcBorders>
            <w:gridSpan w:val="2"/>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Restated Bylaws of ACM Research, Inc.</w:t>
              </w:r>
            </w:hyperlink>
          </w:p>
        </w:tc>
        <w:tc>
          <w:tcPr>
            <w:tcW w:w="2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10.01†</w:t>
            </w:r>
          </w:p>
        </w:tc>
        <w:tc>
          <w:tcPr>
            <w:tcW w:w="38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2016 Omnibus Incentive Plan of ACM Research, Inc.</w:t>
              </w:r>
            </w:hyperlink>
          </w:p>
        </w:tc>
        <w:tc>
          <w:tcPr>
            <w:tcW w:w="16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10.01(a)†</w:t>
            </w:r>
          </w:p>
        </w:tc>
        <w:tc>
          <w:tcPr>
            <w:tcW w:w="5520" w:type="dxa"/>
            <w:vAlign w:val="bottom"/>
            <w:gridSpan w:val="18"/>
          </w:tcPr>
          <w:p>
            <w:pPr>
              <w:spacing w:after="0"/>
              <w:rPr>
                <w:rFonts w:ascii="Arial" w:cs="Arial" w:eastAsia="Arial" w:hAnsi="Arial"/>
                <w:sz w:val="18"/>
                <w:szCs w:val="18"/>
                <w:color w:val="0000EE"/>
                <w:w w:val="95"/>
              </w:rPr>
            </w:pPr>
            <w:hyperlink r:id="rId97">
              <w:r>
                <w:rPr>
                  <w:rFonts w:ascii="Arial" w:cs="Arial" w:eastAsia="Arial" w:hAnsi="Arial"/>
                  <w:sz w:val="18"/>
                  <w:szCs w:val="18"/>
                  <w:color w:val="0000EE"/>
                  <w:w w:val="95"/>
                </w:rPr>
                <w:t>Form of Incentive Stock Option Grant Notice and Agreement under 2016</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Omnibus Incentive Plan of ACM Research, Inc.</w:t>
              </w:r>
            </w:hyperlink>
          </w:p>
        </w:tc>
        <w:tc>
          <w:tcPr>
            <w:tcW w:w="1820" w:type="dxa"/>
            <w:vAlign w:val="bottom"/>
            <w:tcBorders>
              <w:top w:val="single" w:sz="8" w:color="0000EE"/>
            </w:tcBorders>
            <w:gridSpan w:val="8"/>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10.01(b)†</w:t>
            </w:r>
          </w:p>
        </w:tc>
        <w:tc>
          <w:tcPr>
            <w:tcW w:w="5220" w:type="dxa"/>
            <w:vAlign w:val="bottom"/>
            <w:tcBorders>
              <w:bottom w:val="single" w:sz="8" w:color="0000EE"/>
            </w:tcBorders>
            <w:gridSpan w:val="10"/>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Form of Non-qualified Stock Option Grant Notice and Agreement under</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2016 Omnibus Incentive Plan of ACM Research, Inc.</w:t>
              </w:r>
            </w:hyperlink>
          </w:p>
        </w:tc>
        <w:tc>
          <w:tcPr>
            <w:tcW w:w="16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10.01(c)†</w:t>
            </w:r>
          </w:p>
        </w:tc>
        <w:tc>
          <w:tcPr>
            <w:tcW w:w="5520" w:type="dxa"/>
            <w:vAlign w:val="bottom"/>
            <w:gridSpan w:val="18"/>
          </w:tcPr>
          <w:p>
            <w:pPr>
              <w:spacing w:after="0"/>
              <w:rPr>
                <w:rFonts w:ascii="Arial" w:cs="Arial" w:eastAsia="Arial" w:hAnsi="Arial"/>
                <w:sz w:val="18"/>
                <w:szCs w:val="18"/>
                <w:color w:val="0000EE"/>
                <w:w w:val="97"/>
              </w:rPr>
            </w:pPr>
            <w:hyperlink r:id="rId99">
              <w:r>
                <w:rPr>
                  <w:rFonts w:ascii="Arial" w:cs="Arial" w:eastAsia="Arial" w:hAnsi="Arial"/>
                  <w:sz w:val="18"/>
                  <w:szCs w:val="18"/>
                  <w:color w:val="0000EE"/>
                  <w:w w:val="97"/>
                </w:rPr>
                <w:t>Form of Restricted Stock Unit Grant Notice and Agreement under 2016</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Omnibus Incentive Plan of ACM Research, Inc.</w:t>
              </w:r>
            </w:hyperlink>
          </w:p>
        </w:tc>
        <w:tc>
          <w:tcPr>
            <w:tcW w:w="1700" w:type="dxa"/>
            <w:vAlign w:val="bottom"/>
            <w:tcBorders>
              <w:top w:val="single" w:sz="8" w:color="0000EE"/>
            </w:tcBorders>
            <w:gridSpan w:val="6"/>
          </w:tcPr>
          <w:p>
            <w:pPr>
              <w:spacing w:after="0"/>
              <w:rPr>
                <w:sz w:val="17"/>
                <w:szCs w:val="17"/>
                <w:color w:val="auto"/>
              </w:rPr>
            </w:pPr>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10.02</w:t>
            </w:r>
          </w:p>
        </w:tc>
        <w:tc>
          <w:tcPr>
            <w:tcW w:w="600" w:type="dxa"/>
            <w:vAlign w:val="bottom"/>
          </w:tcPr>
          <w:p>
            <w:pPr>
              <w:spacing w:after="0"/>
              <w:rPr>
                <w:sz w:val="24"/>
                <w:szCs w:val="24"/>
                <w:color w:val="auto"/>
              </w:rPr>
            </w:pPr>
          </w:p>
        </w:tc>
        <w:tc>
          <w:tcPr>
            <w:tcW w:w="53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03">
              <w:r>
                <w:rPr>
                  <w:rFonts w:ascii="Arial" w:cs="Arial" w:eastAsia="Arial" w:hAnsi="Arial"/>
                  <w:sz w:val="18"/>
                  <w:szCs w:val="18"/>
                  <w:color w:val="0000EE"/>
                  <w:w w:val="88"/>
                </w:rPr>
                <w:t>Class A Common Stock Purchase Warrant dated November 2, 2017 issued</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20" w:type="dxa"/>
            <w:vAlign w:val="bottom"/>
            <w:gridSpan w:val="18"/>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by ACM Research, Inc. to Roth Capital Partners, LLC</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31.01</w:t>
            </w:r>
          </w:p>
        </w:tc>
        <w:tc>
          <w:tcPr>
            <w:tcW w:w="600" w:type="dxa"/>
            <w:vAlign w:val="bottom"/>
          </w:tcPr>
          <w:p>
            <w:pPr>
              <w:spacing w:after="0"/>
              <w:rPr>
                <w:sz w:val="24"/>
                <w:szCs w:val="24"/>
                <w:color w:val="auto"/>
              </w:rPr>
            </w:pPr>
          </w:p>
        </w:tc>
        <w:tc>
          <w:tcPr>
            <w:tcW w:w="5520" w:type="dxa"/>
            <w:vAlign w:val="bottom"/>
            <w:gridSpan w:val="18"/>
          </w:tcPr>
          <w:p>
            <w:pPr>
              <w:spacing w:after="0"/>
              <w:rPr>
                <w:rFonts w:ascii="Arial" w:cs="Arial" w:eastAsia="Arial" w:hAnsi="Arial"/>
                <w:sz w:val="18"/>
                <w:szCs w:val="18"/>
                <w:color w:val="0000EE"/>
                <w:w w:val="92"/>
              </w:rPr>
            </w:pPr>
            <w:hyperlink w:anchor="page121">
              <w:r>
                <w:rPr>
                  <w:rFonts w:ascii="Arial" w:cs="Arial" w:eastAsia="Arial" w:hAnsi="Arial"/>
                  <w:sz w:val="18"/>
                  <w:szCs w:val="18"/>
                  <w:color w:val="0000EE"/>
                  <w:w w:val="92"/>
                </w:rPr>
                <w:t>Certification of Principal Executive Officer Pursuant to Rules 13a-14(a)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15d-14(a) under the Securities Exchange Act of 1934, as Adopted Pursuant</w:t>
              </w:r>
            </w:hyperlink>
          </w:p>
        </w:tc>
        <w:tc>
          <w:tcPr>
            <w:tcW w:w="40" w:type="dxa"/>
            <w:vAlign w:val="bottom"/>
            <w:tcBorders>
              <w:top w:val="single" w:sz="8" w:color="0000EE"/>
            </w:tcBorders>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21">
              <w:r>
                <w:rPr>
                  <w:rFonts w:ascii="Arial" w:cs="Arial" w:eastAsia="Arial" w:hAnsi="Arial"/>
                  <w:sz w:val="18"/>
                  <w:szCs w:val="18"/>
                  <w:color w:val="0000EE"/>
                  <w:w w:val="90"/>
                </w:rPr>
                <w:t>to Section 302 of the Sarbanes-Oxley Act of 2002</w:t>
              </w:r>
            </w:hyperlink>
          </w:p>
        </w:tc>
        <w:tc>
          <w:tcPr>
            <w:tcW w:w="19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31.02</w:t>
            </w:r>
          </w:p>
        </w:tc>
        <w:tc>
          <w:tcPr>
            <w:tcW w:w="60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22">
              <w:r>
                <w:rPr>
                  <w:rFonts w:ascii="Arial" w:cs="Arial" w:eastAsia="Arial" w:hAnsi="Arial"/>
                  <w:sz w:val="18"/>
                  <w:szCs w:val="18"/>
                  <w:color w:val="0000EE"/>
                  <w:w w:val="92"/>
                </w:rPr>
                <w:t>Certification of Principal Financial Officer Pursuant to Rules 13a-14(a) and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15d-14(a) under the Securities Exchange Act of 1934, as Adopted Pursuant</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to Section 302 of the Sarbanes-Oxley Act of 2002</w:t>
              </w:r>
            </w:hyperlink>
          </w:p>
        </w:tc>
        <w:tc>
          <w:tcPr>
            <w:tcW w:w="19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32.01</w:t>
            </w:r>
          </w:p>
        </w:tc>
        <w:tc>
          <w:tcPr>
            <w:tcW w:w="600" w:type="dxa"/>
            <w:vAlign w:val="bottom"/>
          </w:tcPr>
          <w:p>
            <w:pPr>
              <w:spacing w:after="0"/>
              <w:rPr>
                <w:sz w:val="24"/>
                <w:szCs w:val="24"/>
                <w:color w:val="auto"/>
              </w:rPr>
            </w:pPr>
          </w:p>
        </w:tc>
        <w:tc>
          <w:tcPr>
            <w:tcW w:w="540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123">
              <w:r>
                <w:rPr>
                  <w:rFonts w:ascii="Arial" w:cs="Arial" w:eastAsia="Arial" w:hAnsi="Arial"/>
                  <w:sz w:val="18"/>
                  <w:szCs w:val="18"/>
                  <w:color w:val="0000EE"/>
                  <w:w w:val="93"/>
                </w:rPr>
                <w:t>Certification of Principal Executive Officer and Principal Financial Officer</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Pursuant to 18 U.S.C. Section 1350, as Adopted Pursuant to Section 906 of</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the Sarbanes-Oxley Act of 2002</w:t>
              </w:r>
            </w:hyperlink>
          </w:p>
        </w:tc>
        <w:tc>
          <w:tcPr>
            <w:tcW w:w="32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52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52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52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52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52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52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Filed (*) or</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3"/>
              </w:rPr>
              <w:t>Incorporated by Reference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60" w:type="dxa"/>
            <w:vAlign w:val="bottom"/>
            <w:gridSpan w:val="2"/>
            <w:vMerge w:val="restart"/>
          </w:tcPr>
          <w:p>
            <w:pPr>
              <w:jc w:val="center"/>
              <w:ind w:right="560"/>
              <w:spacing w:after="0" w:line="126" w:lineRule="exact"/>
              <w:rPr>
                <w:sz w:val="20"/>
                <w:szCs w:val="20"/>
                <w:color w:val="auto"/>
              </w:rPr>
            </w:pPr>
            <w:r>
              <w:rPr>
                <w:rFonts w:ascii="Arial" w:cs="Arial" w:eastAsia="Arial" w:hAnsi="Arial"/>
                <w:sz w:val="14"/>
                <w:szCs w:val="14"/>
                <w:b w:val="1"/>
                <w:bCs w:val="1"/>
                <w:color w:val="auto"/>
                <w:w w:val="98"/>
              </w:rPr>
              <w:t>Furnished (**)</w:t>
            </w: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4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44"/>
        </w:trPr>
        <w:tc>
          <w:tcPr>
            <w:tcW w:w="146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95"/>
              </w:rPr>
              <w:t>with this</w:t>
            </w: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9"/>
              </w:rPr>
              <w:t>Filing Date with SEC</w:t>
            </w:r>
          </w:p>
        </w:tc>
        <w:tc>
          <w:tcPr>
            <w:tcW w:w="220" w:type="dxa"/>
            <w:vAlign w:val="bottom"/>
            <w:vMerge w:val="restart"/>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 10-Q</w:t>
            </w:r>
          </w:p>
        </w:tc>
        <w:tc>
          <w:tcPr>
            <w:tcW w:w="54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304"/>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26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November 13, 2017</w:t>
            </w:r>
          </w:p>
        </w:tc>
        <w:tc>
          <w:tcPr>
            <w:tcW w:w="62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324"/>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26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November 13, 2017</w:t>
            </w:r>
          </w:p>
        </w:tc>
        <w:tc>
          <w:tcPr>
            <w:tcW w:w="6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324"/>
        </w:trPr>
        <w:tc>
          <w:tcPr>
            <w:tcW w:w="9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S-1</w:t>
            </w:r>
          </w:p>
        </w:tc>
        <w:tc>
          <w:tcPr>
            <w:tcW w:w="26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13, 2017</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10.10(a)</w:t>
            </w:r>
          </w:p>
        </w:tc>
        <w:tc>
          <w:tcPr>
            <w:tcW w:w="0" w:type="dxa"/>
            <w:vAlign w:val="bottom"/>
          </w:tcPr>
          <w:p>
            <w:pPr>
              <w:spacing w:after="0"/>
              <w:rPr>
                <w:sz w:val="1"/>
                <w:szCs w:val="1"/>
                <w:color w:val="auto"/>
              </w:rPr>
            </w:pPr>
          </w:p>
        </w:tc>
      </w:tr>
      <w:tr>
        <w:trPr>
          <w:trHeight w:val="540"/>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S-1</w:t>
            </w:r>
          </w:p>
        </w:tc>
        <w:tc>
          <w:tcPr>
            <w:tcW w:w="26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13, 2017</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10.10(b)</w:t>
            </w:r>
          </w:p>
        </w:tc>
        <w:tc>
          <w:tcPr>
            <w:tcW w:w="0" w:type="dxa"/>
            <w:vAlign w:val="bottom"/>
          </w:tcPr>
          <w:p>
            <w:pPr>
              <w:spacing w:after="0"/>
              <w:rPr>
                <w:sz w:val="1"/>
                <w:szCs w:val="1"/>
                <w:color w:val="auto"/>
              </w:rPr>
            </w:pPr>
          </w:p>
        </w:tc>
      </w:tr>
      <w:tr>
        <w:trPr>
          <w:trHeight w:val="540"/>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S-1</w:t>
            </w:r>
          </w:p>
        </w:tc>
        <w:tc>
          <w:tcPr>
            <w:tcW w:w="26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13, 2017</w:t>
            </w:r>
          </w:p>
        </w:tc>
        <w:tc>
          <w:tcPr>
            <w:tcW w:w="620" w:type="dxa"/>
            <w:vAlign w:val="bottom"/>
          </w:tcPr>
          <w:p>
            <w:pPr>
              <w:jc w:val="right"/>
              <w:spacing w:after="0"/>
              <w:rPr>
                <w:sz w:val="20"/>
                <w:szCs w:val="20"/>
                <w:color w:val="auto"/>
              </w:rPr>
            </w:pPr>
            <w:r>
              <w:rPr>
                <w:rFonts w:ascii="Arial" w:cs="Arial" w:eastAsia="Arial" w:hAnsi="Arial"/>
                <w:sz w:val="18"/>
                <w:szCs w:val="18"/>
                <w:color w:val="auto"/>
                <w:w w:val="90"/>
              </w:rPr>
              <w:t>10.10(c)</w:t>
            </w:r>
          </w:p>
        </w:tc>
        <w:tc>
          <w:tcPr>
            <w:tcW w:w="0" w:type="dxa"/>
            <w:vAlign w:val="bottom"/>
          </w:tcPr>
          <w:p>
            <w:pPr>
              <w:spacing w:after="0"/>
              <w:rPr>
                <w:sz w:val="1"/>
                <w:szCs w:val="1"/>
                <w:color w:val="auto"/>
              </w:rPr>
            </w:pPr>
          </w:p>
        </w:tc>
      </w:tr>
      <w:tr>
        <w:trPr>
          <w:trHeight w:val="540"/>
        </w:trPr>
        <w:tc>
          <w:tcPr>
            <w:tcW w:w="9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9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9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640" w:space="220"/>
            <w:col w:w="456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spacing w:after="0"/>
        <w:tabs>
          <w:tab w:leader="none" w:pos="5460" w:val="left"/>
          <w:tab w:leader="none" w:pos="6040" w:val="left"/>
        </w:tabs>
        <w:rPr>
          <w:sz w:val="20"/>
          <w:szCs w:val="20"/>
          <w:color w:val="auto"/>
        </w:rPr>
      </w:pPr>
      <w:r>
        <w:rPr>
          <w:rFonts w:ascii="Arial" w:cs="Arial" w:eastAsia="Arial" w:hAnsi="Arial"/>
          <w:sz w:val="18"/>
          <w:szCs w:val="18"/>
          <w:color w:val="auto"/>
        </w:rPr>
        <w:t>Date: December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Min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Min Xu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2016 OMNIBUS INCENTIVE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ACM RESEARCH, INC. sets forth herein the terms of its 2016 Omnibus Incentive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Plan is intended to enhance the ability of the Company and its Affiliates to attract and retain highly qualified officers, Non-employee Directors, employees, consultants and advisors, and to motivate such individuals to serve the Company and its Affiliates and to expend maximum effort to improve the business results and earnings of the Company, by providing to such persons an opportunity to acquire or increase a direct proprietary interest in the operations and future success of the Company. To this end, the Plan provides for the grant of stock options, stock appreciation rights, restricted stock, restricted stock units, unrestricted stock, other share-based awards and cash awards. Any of these awards may, but need not, be made as performance incentives to reward attainment of performance goals in accordance with the terms hereof.</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interpreting the Plan and related documents (including Award Agreements), the following definitions shall apply: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b w:val="1"/>
          <w:bCs w:val="1"/>
          <w:color w:val="auto"/>
        </w:rPr>
        <w:t>Acquiror</w:t>
      </w:r>
      <w:r>
        <w:rPr>
          <w:rFonts w:ascii="Arial" w:cs="Arial" w:eastAsia="Arial" w:hAnsi="Arial"/>
          <w:sz w:val="18"/>
          <w:szCs w:val="18"/>
          <w:color w:val="auto"/>
        </w:rPr>
        <w:t>” shall have the meaning set forth in</w:t>
      </w:r>
      <w:r>
        <w:rPr>
          <w:rFonts w:ascii="Arial" w:cs="Arial" w:eastAsia="Arial" w:hAnsi="Arial"/>
          <w:sz w:val="18"/>
          <w:szCs w:val="18"/>
          <w:b w:val="1"/>
          <w:bCs w:val="1"/>
          <w:color w:val="auto"/>
        </w:rPr>
        <w:t xml:space="preserve"> Section 15.2.1.</w:t>
      </w:r>
    </w:p>
    <w:p>
      <w:pPr>
        <w:spacing w:after="0" w:line="117"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company or other trade or business that “controls,” is “controlled by” or is “under common control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meaning of Rule 405 of Regulation C under the Securities Act, including any Subsidiary.</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 grant under the Plan of an Option, SAR, Restricted Stock, RSU, Other Share-based Award or cash award.</w:t>
      </w:r>
    </w:p>
    <w:p>
      <w:pPr>
        <w:spacing w:after="0" w:line="117"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a written agreement between the Company and a Grantee, or notice from the Company or an Affiliate to a Grantee that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evidences and sets out the terms and conditions of an Award.</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color w:val="auto"/>
        </w:rPr>
        <w:t xml:space="preserve">2.6 </w:t>
      </w: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shall be defined as that term is defined in the Grantee’s offer letter or other applicable employment agreement; or, if there is no such</w:t>
      </w:r>
      <w:r>
        <w:rPr>
          <w:rFonts w:ascii="Arial" w:cs="Arial" w:eastAsia="Arial" w:hAnsi="Arial"/>
          <w:sz w:val="17"/>
          <w:szCs w:val="17"/>
          <w:b w:val="1"/>
          <w:bCs w:val="1"/>
          <w:color w:val="auto"/>
        </w:rPr>
        <w:t xml:space="preserve"> </w:t>
      </w:r>
      <w:r>
        <w:rPr>
          <w:rFonts w:ascii="Arial" w:cs="Arial" w:eastAsia="Arial" w:hAnsi="Arial"/>
          <w:sz w:val="17"/>
          <w:szCs w:val="17"/>
          <w:color w:val="auto"/>
        </w:rPr>
        <w:t>definition, “Cause” means, as determined by the Company in its sole discretion and unless otherwise provided in the applicable Award Agreement: (a) the commission of any act by a Grantee constituting financial dishonesty against the Company or its Affiliates (which act would be chargeable as a crime under applicable law); (b) a Grantee’s engaging in any other act of dishonesty, fraud, intentional misrepresentation, moral turpitude, illegality or harassment that would: (i) materially adversely affect the business or the reputation of the Company or any of its Affiliates with their respective current or prospective customers, suppliers, lenders or other third parties with whom such entity does or might do business or (ii) expose the Company or any of its Affiliates to a risk of civil or criminal legal damages, liabilities or penalties; (c) the repeated failure by a Grantee to follow the directives of the chief executive officer of the Company or any of its Affiliates or the Board; or (d) any material misconduct, violation of the Company’s or Affiliates’ policies, or willful and deliberate non-performance of duty by the Grantee in connection with the business affairs of the Company or its Affiliates. A Separation from Service for Cause shall be deemed to include a determination by the Company in its sole discretion following a Participant’s Separation from Service that circumstances existing prior to such Separation from Service would have entitled the Company or an Affiliate to have terminated the Participant’s service for Cause. All rights a Participant has or may have under the Plan shall be suspended automatically during the pendency of any investigation by the Company, or during any negotiations between the Company and the Participant, regarding any actual or alleged act or omission by the Participant of the type described in the applicable definition of Cause.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have the meaning set forth in</w:t>
      </w:r>
      <w:r>
        <w:rPr>
          <w:rFonts w:ascii="Arial" w:cs="Arial" w:eastAsia="Arial" w:hAnsi="Arial"/>
          <w:sz w:val="18"/>
          <w:szCs w:val="18"/>
          <w:b w:val="1"/>
          <w:bCs w:val="1"/>
          <w:color w:val="auto"/>
        </w:rPr>
        <w:t xml:space="preserve"> Section 15.2.2.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ectPr>
          <w:pgSz w:w="11900" w:h="16838" w:orient="portrait"/>
          <w:cols w:equalWidth="0" w:num="1">
            <w:col w:w="11420"/>
          </w:cols>
          <w:pgMar w:left="240" w:top="121" w:right="239" w:bottom="1440" w:gutter="0" w:footer="0" w:header="0"/>
        </w:sectPr>
      </w:pPr>
    </w:p>
    <w:bookmarkStart w:id="82" w:name="page83"/>
    <w:bookmarkEnd w:id="82"/>
    <w:p>
      <w:pPr>
        <w:ind w:right="60" w:firstLine="45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 </w:t>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Committee of the Board, or such other committee as determined by the Board.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may designate a subcommittee of its members to serve as the Committee (to the extent the Board has not designated another person, committee or entity as the Committee). Following the Initial Public Offering: (a) the Board shall cause the Committee to satisfy the applicable requirements of any securities exchange on which the Common Stock may then be listed; (b) for purposes of Awards to Covered Employees intended to constitute Performance Awards, to the extent required by Section 162(m), Committee means all of the members of the Compensation Committee who are “outside directors” within the meaning of Section 162(m); and (c) for purposes of Awards to Grantees who are subject to Section 16 of the Exchange Act, Committee means all of the members of the Compensation Committee who are “non-employee directors” within the meaning of Rule 16b-3 adopted under the Exchange Act.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ACM Research, Inc., a Delaware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Class A common stock, $0.0001 par value per share, of the Company.</w:t>
      </w:r>
    </w:p>
    <w:p>
      <w:pPr>
        <w:spacing w:after="0" w:line="117" w:lineRule="exact"/>
        <w:rPr>
          <w:sz w:val="20"/>
          <w:szCs w:val="20"/>
          <w:color w:val="auto"/>
        </w:rPr>
      </w:pPr>
    </w:p>
    <w:p>
      <w:pPr>
        <w:ind w:right="80" w:firstLine="456"/>
        <w:spacing w:after="0" w:line="314"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color w:val="auto"/>
        </w:rPr>
        <w:t>“</w:t>
      </w:r>
      <w:r>
        <w:rPr>
          <w:rFonts w:ascii="Arial" w:cs="Arial" w:eastAsia="Arial" w:hAnsi="Arial"/>
          <w:sz w:val="16"/>
          <w:szCs w:val="16"/>
          <w:b w:val="1"/>
          <w:bCs w:val="1"/>
          <w:color w:val="auto"/>
        </w:rPr>
        <w:t>Consultant</w:t>
      </w:r>
      <w:r>
        <w:rPr>
          <w:rFonts w:ascii="Arial" w:cs="Arial" w:eastAsia="Arial" w:hAnsi="Arial"/>
          <w:sz w:val="16"/>
          <w:szCs w:val="16"/>
          <w:color w:val="auto"/>
        </w:rPr>
        <w:t>” means a consultant or advisor that provides bona fide services to the Company or any Affiliate and who qualifies as a consultant or</w:t>
      </w:r>
      <w:r>
        <w:rPr>
          <w:rFonts w:ascii="Arial" w:cs="Arial" w:eastAsia="Arial" w:hAnsi="Arial"/>
          <w:sz w:val="16"/>
          <w:szCs w:val="16"/>
          <w:b w:val="1"/>
          <w:bCs w:val="1"/>
          <w:color w:val="auto"/>
        </w:rPr>
        <w:t xml:space="preserve"> </w:t>
      </w:r>
      <w:r>
        <w:rPr>
          <w:rFonts w:ascii="Arial" w:cs="Arial" w:eastAsia="Arial" w:hAnsi="Arial"/>
          <w:sz w:val="16"/>
          <w:szCs w:val="16"/>
          <w:color w:val="auto"/>
        </w:rPr>
        <w:t>advisor under Rule 701 of the Securities Act (during any period in which the Company is not a public company subject to the reporting requirements of the Exchange Act) or Form S-8 (during any period in which the Company is a public company subject to the reporting requirements of the Exchange Act).</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2.13 </w:t>
      </w:r>
      <w:r>
        <w:rPr>
          <w:rFonts w:ascii="Arial" w:cs="Arial" w:eastAsia="Arial" w:hAnsi="Arial"/>
          <w:sz w:val="17"/>
          <w:szCs w:val="17"/>
          <w:color w:val="auto"/>
        </w:rPr>
        <w:t>“</w:t>
      </w:r>
      <w:r>
        <w:rPr>
          <w:rFonts w:ascii="Arial" w:cs="Arial" w:eastAsia="Arial" w:hAnsi="Arial"/>
          <w:sz w:val="17"/>
          <w:szCs w:val="17"/>
          <w:b w:val="1"/>
          <w:bCs w:val="1"/>
          <w:color w:val="auto"/>
        </w:rPr>
        <w:t>Covered Employee</w:t>
      </w:r>
      <w:r>
        <w:rPr>
          <w:rFonts w:ascii="Arial" w:cs="Arial" w:eastAsia="Arial" w:hAnsi="Arial"/>
          <w:sz w:val="17"/>
          <w:szCs w:val="17"/>
          <w:color w:val="auto"/>
        </w:rPr>
        <w:t>” means a Grantee who is a “covered employee” within the meaning of Section 162(m) as qualified by</w:t>
      </w:r>
      <w:r>
        <w:rPr>
          <w:rFonts w:ascii="Arial" w:cs="Arial" w:eastAsia="Arial" w:hAnsi="Arial"/>
          <w:sz w:val="17"/>
          <w:szCs w:val="17"/>
          <w:b w:val="1"/>
          <w:bCs w:val="1"/>
          <w:color w:val="auto"/>
        </w:rPr>
        <w:t xml:space="preserve"> Section 12.4</w:t>
      </w:r>
      <w:r>
        <w:rPr>
          <w:rFonts w:ascii="Arial" w:cs="Arial" w:eastAsia="Arial" w:hAnsi="Arial"/>
          <w:sz w:val="17"/>
          <w:szCs w:val="17"/>
          <w:color w:val="auto"/>
        </w:rPr>
        <w:t>.</w:t>
      </w:r>
    </w:p>
    <w:p>
      <w:pPr>
        <w:spacing w:after="0" w:line="12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shall be defined as that term is defined in the Grantee’s offer letter or other applicable employment agreement; or, if there is no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definition, “Disability” means, as determined by the Company in its sole discretion and unless otherwise provided in the applicable Award Agreement, the Grantee is unable to perform each of the essential duties of such Grantee’s position by reason of a medically determinable physical or mental impairment which is potentially permanent in character or which can be expected to last for a continuous period of not less than 12 months;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rules regarding expiration of an Incentive Stock Option following termination of the Grantee’s employment, “Disability” means “permanent and total disability” as set forth in Code Section 22(e)(3).</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December 28, 2016, which is the date on which the Plan was approved by the Board.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b w:val="1"/>
          <w:bCs w:val="1"/>
          <w:color w:val="auto"/>
        </w:rPr>
        <w:t xml:space="preserve">2.17 </w:t>
      </w:r>
      <w:r>
        <w:rPr>
          <w:rFonts w:ascii="Arial" w:cs="Arial" w:eastAsia="Arial" w:hAnsi="Arial"/>
          <w:sz w:val="17"/>
          <w:szCs w:val="17"/>
          <w:color w:val="auto"/>
        </w:rPr>
        <w:t>“</w:t>
      </w:r>
      <w:r>
        <w:rPr>
          <w:rFonts w:ascii="Arial" w:cs="Arial" w:eastAsia="Arial" w:hAnsi="Arial"/>
          <w:sz w:val="17"/>
          <w:szCs w:val="17"/>
          <w:b w:val="1"/>
          <w:bCs w:val="1"/>
          <w:color w:val="auto"/>
        </w:rPr>
        <w:t>Exchange Act Person</w:t>
      </w:r>
      <w:r>
        <w:rPr>
          <w:rFonts w:ascii="Arial" w:cs="Arial" w:eastAsia="Arial" w:hAnsi="Arial"/>
          <w:sz w:val="17"/>
          <w:szCs w:val="17"/>
          <w:color w:val="auto"/>
        </w:rPr>
        <w:t>” means any natural person, entity or “group” (within the meaning of Section 13(d) or 14(d) of the Exchange Act), except</w:t>
      </w:r>
      <w:r>
        <w:rPr>
          <w:rFonts w:ascii="Arial" w:cs="Arial" w:eastAsia="Arial" w:hAnsi="Arial"/>
          <w:sz w:val="17"/>
          <w:szCs w:val="17"/>
          <w:b w:val="1"/>
          <w:bCs w:val="1"/>
          <w:color w:val="auto"/>
        </w:rPr>
        <w:t xml:space="preserve"> </w:t>
      </w:r>
      <w:r>
        <w:rPr>
          <w:rFonts w:ascii="Arial" w:cs="Arial" w:eastAsia="Arial" w:hAnsi="Arial"/>
          <w:sz w:val="17"/>
          <w:szCs w:val="17"/>
          <w:color w:val="auto"/>
        </w:rPr>
        <w:t>that “Exchange Act Person” shall not include (a) the Company or any Subsidiary, (b) any employee benefit plan of the Company or any Subsidiary or any trustee or other fiduciary holding securities under an employee benefit plan of the Company or any Subsidiary, (c) an underwriter temporarily holding securities pursuant to a registered public offering of such securities, (d) an entity Owned, directly or indirectly, by the stockholders of the Company in substantially the same proportions as their Ownership of capital stock of the Company, or (e) any natural person, entity or “group” (within the meaning of Section 13(d) or 14(d) of the Exchange Act) that, as of the date hereof, is the Owner, directly or indirectly, of securities of the Company representing more than fifty percent of the combined voting power of the Company’s then-outstanding securities</w:t>
      </w:r>
    </w:p>
    <w:p>
      <w:pPr>
        <w:spacing w:after="0" w:line="6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of a Share as of a particular date means (a) if the Common Stock is listed on a national securities exchange, the closing or</w:t>
      </w:r>
      <w:r>
        <w:rPr>
          <w:rFonts w:ascii="Arial" w:cs="Arial" w:eastAsia="Arial" w:hAnsi="Arial"/>
          <w:sz w:val="18"/>
          <w:szCs w:val="18"/>
          <w:b w:val="1"/>
          <w:bCs w:val="1"/>
          <w:color w:val="auto"/>
        </w:rPr>
        <w:t xml:space="preserve"> </w:t>
      </w:r>
      <w:r>
        <w:rPr>
          <w:rFonts w:ascii="Arial" w:cs="Arial" w:eastAsia="Arial" w:hAnsi="Arial"/>
          <w:sz w:val="18"/>
          <w:szCs w:val="18"/>
          <w:color w:val="auto"/>
        </w:rPr>
        <w:t>last price of the Common Stock on the composite tape or other comparable reporting system for the applicable date, or if the applicable date is not a trading day, the trading day immediately preceding the applicable date, or (b) if the Common Stock is not then listed on a national securities exchange, or the value of the Common Stock is not otherwise determinable, such value as determined by the Board.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83" w:name="page84"/>
    <w:bookmarkEnd w:id="83"/>
    <w:p>
      <w:pPr>
        <w:ind w:right="120" w:firstLine="456"/>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2.19 </w:t>
      </w:r>
      <w:r>
        <w:rPr>
          <w:rFonts w:ascii="Arial" w:cs="Arial" w:eastAsia="Arial" w:hAnsi="Arial"/>
          <w:sz w:val="17"/>
          <w:szCs w:val="17"/>
          <w:color w:val="auto"/>
        </w:rPr>
        <w:t>“</w:t>
      </w:r>
      <w:r>
        <w:rPr>
          <w:rFonts w:ascii="Arial" w:cs="Arial" w:eastAsia="Arial" w:hAnsi="Arial"/>
          <w:sz w:val="17"/>
          <w:szCs w:val="17"/>
          <w:b w:val="1"/>
          <w:bCs w:val="1"/>
          <w:color w:val="auto"/>
        </w:rPr>
        <w:t>Grant Date</w:t>
      </w:r>
      <w:r>
        <w:rPr>
          <w:rFonts w:ascii="Arial" w:cs="Arial" w:eastAsia="Arial" w:hAnsi="Arial"/>
          <w:sz w:val="17"/>
          <w:szCs w:val="17"/>
          <w:color w:val="auto"/>
        </w:rPr>
        <w:t>” means the latest to occur of (a) the date as of which the Board approves an Award, (b) the date on which the recipient of an Award</w:t>
      </w:r>
      <w:r>
        <w:rPr>
          <w:rFonts w:ascii="Arial" w:cs="Arial" w:eastAsia="Arial" w:hAnsi="Arial"/>
          <w:sz w:val="17"/>
          <w:szCs w:val="17"/>
          <w:b w:val="1"/>
          <w:bCs w:val="1"/>
          <w:color w:val="auto"/>
        </w:rPr>
        <w:t xml:space="preserve"> </w:t>
      </w:r>
      <w:r>
        <w:rPr>
          <w:rFonts w:ascii="Arial" w:cs="Arial" w:eastAsia="Arial" w:hAnsi="Arial"/>
          <w:sz w:val="17"/>
          <w:szCs w:val="17"/>
          <w:color w:val="auto"/>
        </w:rPr>
        <w:t>first becomes eligible to receive an Award under Section 6 or (c) such other date as may be specified by the Board in the Award Agreement.</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color w:val="auto"/>
        </w:rPr>
        <w:t>“</w:t>
      </w:r>
      <w:r>
        <w:rPr>
          <w:rFonts w:ascii="Arial" w:cs="Arial" w:eastAsia="Arial" w:hAnsi="Arial"/>
          <w:sz w:val="18"/>
          <w:szCs w:val="18"/>
          <w:b w:val="1"/>
          <w:bCs w:val="1"/>
          <w:color w:val="auto"/>
        </w:rPr>
        <w:t>Grantee</w:t>
      </w:r>
      <w:r>
        <w:rPr>
          <w:rFonts w:ascii="Arial" w:cs="Arial" w:eastAsia="Arial" w:hAnsi="Arial"/>
          <w:sz w:val="18"/>
          <w:szCs w:val="18"/>
          <w:color w:val="auto"/>
        </w:rPr>
        <w:t>” means a person who receives or holds an Award.</w:t>
      </w:r>
    </w:p>
    <w:p>
      <w:pPr>
        <w:spacing w:after="0" w:line="117"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with respect to any Issued Shares, the person holding such Issued Shares, including the initial Grantee or any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Transferee.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“incentive stock option” within the meaning of Code Section 422.</w:t>
      </w:r>
    </w:p>
    <w:p>
      <w:pPr>
        <w:spacing w:after="0" w:line="117"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w:t>
      </w:r>
      <w:r>
        <w:rPr>
          <w:rFonts w:ascii="Arial" w:cs="Arial" w:eastAsia="Arial" w:hAnsi="Arial"/>
          <w:sz w:val="18"/>
          <w:szCs w:val="18"/>
          <w:b w:val="1"/>
          <w:bCs w:val="1"/>
          <w:color w:val="auto"/>
        </w:rPr>
        <w:t>Initial Public Offering</w:t>
      </w:r>
      <w:r>
        <w:rPr>
          <w:rFonts w:ascii="Arial" w:cs="Arial" w:eastAsia="Arial" w:hAnsi="Arial"/>
          <w:sz w:val="18"/>
          <w:szCs w:val="18"/>
          <w:color w:val="auto"/>
        </w:rPr>
        <w:t>” means the initial public offering of Shares pursuant to a registration statement (other than a Form S-8 or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forms) filed with, and declared effective by, the SEC.</w:t>
      </w:r>
    </w:p>
    <w:p>
      <w:pPr>
        <w:spacing w:after="0" w:line="54"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w:t>
      </w:r>
      <w:r>
        <w:rPr>
          <w:rFonts w:ascii="Arial" w:cs="Arial" w:eastAsia="Arial" w:hAnsi="Arial"/>
          <w:sz w:val="18"/>
          <w:szCs w:val="18"/>
          <w:b w:val="1"/>
          <w:bCs w:val="1"/>
          <w:color w:val="auto"/>
        </w:rPr>
        <w:t>Issued Shares</w:t>
      </w:r>
      <w:r>
        <w:rPr>
          <w:rFonts w:ascii="Arial" w:cs="Arial" w:eastAsia="Arial" w:hAnsi="Arial"/>
          <w:sz w:val="18"/>
          <w:szCs w:val="18"/>
          <w:color w:val="auto"/>
        </w:rPr>
        <w:t>” means, collectively, all outstanding Shares issued pursuant to Awards (including outstanding Shares of Restricted Stock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vesting and Shares issued in connection with the exercise of an Option or SAR).</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w:t>
      </w:r>
      <w:r>
        <w:rPr>
          <w:rFonts w:ascii="Arial" w:cs="Arial" w:eastAsia="Arial" w:hAnsi="Arial"/>
          <w:sz w:val="18"/>
          <w:szCs w:val="18"/>
          <w:b w:val="1"/>
          <w:bCs w:val="1"/>
          <w:color w:val="auto"/>
        </w:rPr>
        <w:t>New Shares</w:t>
      </w:r>
      <w:r>
        <w:rPr>
          <w:rFonts w:ascii="Arial" w:cs="Arial" w:eastAsia="Arial" w:hAnsi="Arial"/>
          <w:sz w:val="18"/>
          <w:szCs w:val="18"/>
          <w:color w:val="auto"/>
        </w:rPr>
        <w:t>” shall have the meaning set forth in</w:t>
      </w:r>
      <w:r>
        <w:rPr>
          <w:rFonts w:ascii="Arial" w:cs="Arial" w:eastAsia="Arial" w:hAnsi="Arial"/>
          <w:sz w:val="18"/>
          <w:szCs w:val="18"/>
          <w:b w:val="1"/>
          <w:bCs w:val="1"/>
          <w:color w:val="auto"/>
        </w:rPr>
        <w:t xml:space="preserve"> Section 15.1.</w:t>
      </w:r>
    </w:p>
    <w:p>
      <w:pPr>
        <w:spacing w:after="0" w:line="11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2.26 </w:t>
      </w:r>
      <w:r>
        <w:rPr>
          <w:rFonts w:ascii="Arial" w:cs="Arial" w:eastAsia="Arial" w:hAnsi="Arial"/>
          <w:sz w:val="18"/>
          <w:szCs w:val="18"/>
          <w:color w:val="auto"/>
        </w:rPr>
        <w:t>“</w:t>
      </w:r>
      <w:r>
        <w:rPr>
          <w:rFonts w:ascii="Arial" w:cs="Arial" w:eastAsia="Arial" w:hAnsi="Arial"/>
          <w:sz w:val="18"/>
          <w:szCs w:val="18"/>
          <w:b w:val="1"/>
          <w:bCs w:val="1"/>
          <w:color w:val="auto"/>
        </w:rPr>
        <w:t>Non-employee Director</w:t>
      </w:r>
      <w:r>
        <w:rPr>
          <w:rFonts w:ascii="Arial" w:cs="Arial" w:eastAsia="Arial" w:hAnsi="Arial"/>
          <w:sz w:val="18"/>
          <w:szCs w:val="18"/>
          <w:color w:val="auto"/>
        </w:rPr>
        <w:t>” means a member of the Board or the board of directors of an Affiliate, in each case who is not an officer or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any Affiliate.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2.27 </w:t>
      </w: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that is not an Incentive Stock Option.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w:t>
      </w:r>
      <w:r>
        <w:rPr>
          <w:rFonts w:ascii="Arial" w:cs="Arial" w:eastAsia="Arial" w:hAnsi="Arial"/>
          <w:sz w:val="18"/>
          <w:szCs w:val="18"/>
          <w:b w:val="1"/>
          <w:bCs w:val="1"/>
          <w:color w:val="auto"/>
        </w:rPr>
        <w:t>Offered Shares</w:t>
      </w:r>
      <w:r>
        <w:rPr>
          <w:rFonts w:ascii="Arial" w:cs="Arial" w:eastAsia="Arial" w:hAnsi="Arial"/>
          <w:sz w:val="18"/>
          <w:szCs w:val="18"/>
          <w:color w:val="auto"/>
        </w:rPr>
        <w:t>” shall have the meaning set forth in</w:t>
      </w:r>
      <w:r>
        <w:rPr>
          <w:rFonts w:ascii="Arial" w:cs="Arial" w:eastAsia="Arial" w:hAnsi="Arial"/>
          <w:sz w:val="18"/>
          <w:szCs w:val="18"/>
          <w:b w:val="1"/>
          <w:bCs w:val="1"/>
          <w:color w:val="auto"/>
        </w:rPr>
        <w:t xml:space="preserve"> Section 17.4.1.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2.29 </w:t>
      </w:r>
      <w:r>
        <w:rPr>
          <w:rFonts w:ascii="Arial" w:cs="Arial" w:eastAsia="Arial" w:hAnsi="Arial"/>
          <w:sz w:val="18"/>
          <w:szCs w:val="18"/>
          <w:color w:val="auto"/>
        </w:rPr>
        <w:t>“</w:t>
      </w:r>
      <w:r>
        <w:rPr>
          <w:rFonts w:ascii="Arial" w:cs="Arial" w:eastAsia="Arial" w:hAnsi="Arial"/>
          <w:sz w:val="18"/>
          <w:szCs w:val="18"/>
          <w:b w:val="1"/>
          <w:bCs w:val="1"/>
          <w:color w:val="auto"/>
        </w:rPr>
        <w:t>Offering</w:t>
      </w:r>
      <w:r>
        <w:rPr>
          <w:rFonts w:ascii="Arial" w:cs="Arial" w:eastAsia="Arial" w:hAnsi="Arial"/>
          <w:sz w:val="18"/>
          <w:szCs w:val="18"/>
          <w:color w:val="auto"/>
        </w:rPr>
        <w:t>” shall have the meaning set forth in</w:t>
      </w:r>
      <w:r>
        <w:rPr>
          <w:rFonts w:ascii="Arial" w:cs="Arial" w:eastAsia="Arial" w:hAnsi="Arial"/>
          <w:sz w:val="18"/>
          <w:szCs w:val="18"/>
          <w:b w:val="1"/>
          <w:bCs w:val="1"/>
          <w:color w:val="auto"/>
        </w:rPr>
        <w:t xml:space="preserve"> Section 17.5.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one or more Shares pursuant to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w:t>
      </w:r>
      <w:r>
        <w:rPr>
          <w:rFonts w:ascii="Arial" w:cs="Arial" w:eastAsia="Arial" w:hAnsi="Arial"/>
          <w:sz w:val="18"/>
          <w:szCs w:val="18"/>
          <w:b w:val="1"/>
          <w:bCs w:val="1"/>
          <w:color w:val="auto"/>
        </w:rPr>
        <w:t>Option Price</w:t>
      </w:r>
      <w:r>
        <w:rPr>
          <w:rFonts w:ascii="Arial" w:cs="Arial" w:eastAsia="Arial" w:hAnsi="Arial"/>
          <w:sz w:val="18"/>
          <w:szCs w:val="18"/>
          <w:color w:val="auto"/>
        </w:rPr>
        <w:t>” means the exercise price for each Share subject to an Option.</w:t>
      </w:r>
    </w:p>
    <w:p>
      <w:pPr>
        <w:spacing w:after="0" w:line="11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color w:val="auto"/>
        </w:rPr>
        <w:t>“</w:t>
      </w:r>
      <w:r>
        <w:rPr>
          <w:rFonts w:ascii="Arial" w:cs="Arial" w:eastAsia="Arial" w:hAnsi="Arial"/>
          <w:sz w:val="18"/>
          <w:szCs w:val="18"/>
          <w:b w:val="1"/>
          <w:bCs w:val="1"/>
          <w:color w:val="auto"/>
        </w:rPr>
        <w:t>Other Share-based Awards</w:t>
      </w:r>
      <w:r>
        <w:rPr>
          <w:rFonts w:ascii="Arial" w:cs="Arial" w:eastAsia="Arial" w:hAnsi="Arial"/>
          <w:sz w:val="18"/>
          <w:szCs w:val="18"/>
          <w:color w:val="auto"/>
        </w:rPr>
        <w:t>” means Awards consisting of Share units, or other Awards, valued in whole or in part by reference to,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Shares.</w:t>
      </w:r>
    </w:p>
    <w:p>
      <w:pPr>
        <w:spacing w:after="0" w:line="54"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b w:val="1"/>
          <w:bCs w:val="1"/>
          <w:color w:val="auto"/>
        </w:rPr>
        <w:t xml:space="preserve">2.33 </w:t>
      </w:r>
      <w:r>
        <w:rPr>
          <w:rFonts w:ascii="Arial" w:cs="Arial" w:eastAsia="Arial" w:hAnsi="Arial"/>
          <w:sz w:val="17"/>
          <w:szCs w:val="17"/>
          <w:color w:val="auto"/>
        </w:rPr>
        <w:t>“</w:t>
      </w:r>
      <w:r>
        <w:rPr>
          <w:rFonts w:ascii="Arial" w:cs="Arial" w:eastAsia="Arial" w:hAnsi="Arial"/>
          <w:sz w:val="17"/>
          <w:szCs w:val="17"/>
          <w:b w:val="1"/>
          <w:bCs w:val="1"/>
          <w:color w:val="auto"/>
        </w:rPr>
        <w:t>Own</w:t>
      </w:r>
      <w:r>
        <w:rPr>
          <w:rFonts w:ascii="Arial" w:cs="Arial" w:eastAsia="Arial" w:hAnsi="Arial"/>
          <w:sz w:val="17"/>
          <w:szCs w:val="17"/>
          <w:color w:val="auto"/>
        </w:rPr>
        <w:t>,” “</w:t>
      </w:r>
      <w:r>
        <w:rPr>
          <w:rFonts w:ascii="Arial" w:cs="Arial" w:eastAsia="Arial" w:hAnsi="Arial"/>
          <w:sz w:val="17"/>
          <w:szCs w:val="17"/>
          <w:b w:val="1"/>
          <w:bCs w:val="1"/>
          <w:color w:val="auto"/>
        </w:rPr>
        <w:t>Owned</w:t>
      </w:r>
      <w:r>
        <w:rPr>
          <w:rFonts w:ascii="Arial" w:cs="Arial" w:eastAsia="Arial" w:hAnsi="Arial"/>
          <w:sz w:val="17"/>
          <w:szCs w:val="17"/>
          <w:color w:val="auto"/>
        </w:rPr>
        <w:t>,” “</w:t>
      </w:r>
      <w:r>
        <w:rPr>
          <w:rFonts w:ascii="Arial" w:cs="Arial" w:eastAsia="Arial" w:hAnsi="Arial"/>
          <w:sz w:val="17"/>
          <w:szCs w:val="17"/>
          <w:b w:val="1"/>
          <w:bCs w:val="1"/>
          <w:color w:val="auto"/>
        </w:rPr>
        <w:t>Owner</w:t>
      </w:r>
      <w:r>
        <w:rPr>
          <w:rFonts w:ascii="Arial" w:cs="Arial" w:eastAsia="Arial" w:hAnsi="Arial"/>
          <w:sz w:val="17"/>
          <w:szCs w:val="17"/>
          <w:color w:val="auto"/>
        </w:rPr>
        <w:t>,” “</w:t>
      </w:r>
      <w:r>
        <w:rPr>
          <w:rFonts w:ascii="Arial" w:cs="Arial" w:eastAsia="Arial" w:hAnsi="Arial"/>
          <w:sz w:val="17"/>
          <w:szCs w:val="17"/>
          <w:b w:val="1"/>
          <w:bCs w:val="1"/>
          <w:color w:val="auto"/>
        </w:rPr>
        <w:t>Ownership</w:t>
      </w:r>
      <w:r>
        <w:rPr>
          <w:rFonts w:ascii="Arial" w:cs="Arial" w:eastAsia="Arial" w:hAnsi="Arial"/>
          <w:sz w:val="17"/>
          <w:szCs w:val="17"/>
          <w:color w:val="auto"/>
        </w:rPr>
        <w:t>” means a person or entity shall be deemed to “</w:t>
      </w:r>
      <w:r>
        <w:rPr>
          <w:rFonts w:ascii="Arial" w:cs="Arial" w:eastAsia="Arial" w:hAnsi="Arial"/>
          <w:sz w:val="17"/>
          <w:szCs w:val="17"/>
          <w:b w:val="1"/>
          <w:bCs w:val="1"/>
          <w:color w:val="auto"/>
        </w:rPr>
        <w:t>Own</w:t>
      </w:r>
      <w:r>
        <w:rPr>
          <w:rFonts w:ascii="Arial" w:cs="Arial" w:eastAsia="Arial" w:hAnsi="Arial"/>
          <w:sz w:val="17"/>
          <w:szCs w:val="17"/>
          <w:color w:val="auto"/>
        </w:rPr>
        <w:t>,” to have “</w:t>
      </w:r>
      <w:r>
        <w:rPr>
          <w:rFonts w:ascii="Arial" w:cs="Arial" w:eastAsia="Arial" w:hAnsi="Arial"/>
          <w:sz w:val="17"/>
          <w:szCs w:val="17"/>
          <w:b w:val="1"/>
          <w:bCs w:val="1"/>
          <w:color w:val="auto"/>
        </w:rPr>
        <w:t>Owned</w:t>
      </w:r>
      <w:r>
        <w:rPr>
          <w:rFonts w:ascii="Arial" w:cs="Arial" w:eastAsia="Arial" w:hAnsi="Arial"/>
          <w:sz w:val="17"/>
          <w:szCs w:val="17"/>
          <w:color w:val="auto"/>
        </w:rPr>
        <w:t>,” to be the “</w:t>
      </w:r>
      <w:r>
        <w:rPr>
          <w:rFonts w:ascii="Arial" w:cs="Arial" w:eastAsia="Arial" w:hAnsi="Arial"/>
          <w:sz w:val="17"/>
          <w:szCs w:val="17"/>
          <w:b w:val="1"/>
          <w:bCs w:val="1"/>
          <w:color w:val="auto"/>
        </w:rPr>
        <w:t>Owner</w:t>
      </w:r>
      <w:r>
        <w:rPr>
          <w:rFonts w:ascii="Arial" w:cs="Arial" w:eastAsia="Arial" w:hAnsi="Arial"/>
          <w:sz w:val="17"/>
          <w:szCs w:val="17"/>
          <w:color w:val="auto"/>
        </w:rPr>
        <w:t>” of, or to</w:t>
      </w:r>
      <w:r>
        <w:rPr>
          <w:rFonts w:ascii="Arial" w:cs="Arial" w:eastAsia="Arial" w:hAnsi="Arial"/>
          <w:sz w:val="17"/>
          <w:szCs w:val="17"/>
          <w:b w:val="1"/>
          <w:bCs w:val="1"/>
          <w:color w:val="auto"/>
        </w:rPr>
        <w:t xml:space="preserve"> </w:t>
      </w:r>
      <w:r>
        <w:rPr>
          <w:rFonts w:ascii="Arial" w:cs="Arial" w:eastAsia="Arial" w:hAnsi="Arial"/>
          <w:sz w:val="17"/>
          <w:szCs w:val="17"/>
          <w:color w:val="auto"/>
        </w:rPr>
        <w:t>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color w:val="auto"/>
        </w:rPr>
        <w:t>“</w:t>
      </w:r>
      <w:r>
        <w:rPr>
          <w:rFonts w:ascii="Arial" w:cs="Arial" w:eastAsia="Arial" w:hAnsi="Arial"/>
          <w:sz w:val="18"/>
          <w:szCs w:val="18"/>
          <w:b w:val="1"/>
          <w:bCs w:val="1"/>
          <w:color w:val="auto"/>
        </w:rPr>
        <w:t>Performance Award</w:t>
      </w:r>
      <w:r>
        <w:rPr>
          <w:rFonts w:ascii="Arial" w:cs="Arial" w:eastAsia="Arial" w:hAnsi="Arial"/>
          <w:sz w:val="18"/>
          <w:szCs w:val="18"/>
          <w:color w:val="auto"/>
        </w:rPr>
        <w:t>” means an Award made subject to the attainment of performance goals (as described in</w:t>
      </w:r>
      <w:r>
        <w:rPr>
          <w:rFonts w:ascii="Arial" w:cs="Arial" w:eastAsia="Arial" w:hAnsi="Arial"/>
          <w:sz w:val="18"/>
          <w:szCs w:val="18"/>
          <w:b w:val="1"/>
          <w:bCs w:val="1"/>
          <w:color w:val="auto"/>
        </w:rPr>
        <w:t xml:space="preserve"> Section 12</w:t>
      </w:r>
      <w:r>
        <w:rPr>
          <w:rFonts w:ascii="Arial" w:cs="Arial" w:eastAsia="Arial" w:hAnsi="Arial"/>
          <w:sz w:val="18"/>
          <w:szCs w:val="18"/>
          <w:color w:val="auto"/>
        </w:rPr>
        <w:t>) over a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one year.</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color w:val="auto"/>
        </w:rPr>
        <w:t>“</w:t>
      </w:r>
      <w:r>
        <w:rPr>
          <w:rFonts w:ascii="Arial" w:cs="Arial" w:eastAsia="Arial" w:hAnsi="Arial"/>
          <w:sz w:val="18"/>
          <w:szCs w:val="18"/>
          <w:b w:val="1"/>
          <w:bCs w:val="1"/>
          <w:color w:val="auto"/>
        </w:rPr>
        <w:t>Performance-Based Compensation</w:t>
      </w:r>
      <w:r>
        <w:rPr>
          <w:rFonts w:ascii="Arial" w:cs="Arial" w:eastAsia="Arial" w:hAnsi="Arial"/>
          <w:sz w:val="18"/>
          <w:szCs w:val="18"/>
          <w:color w:val="auto"/>
        </w:rPr>
        <w:t>” means “performance-based compensation” under Section 162(m).</w:t>
      </w:r>
    </w:p>
    <w:p>
      <w:pPr>
        <w:spacing w:after="0" w:line="117"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 any of the following to whom a Holder may transfer Issued Shares hereunder (as set forth in</w:t>
      </w:r>
      <w:r>
        <w:rPr>
          <w:rFonts w:ascii="Arial" w:cs="Arial" w:eastAsia="Arial" w:hAnsi="Arial"/>
          <w:sz w:val="18"/>
          <w:szCs w:val="18"/>
          <w:b w:val="1"/>
          <w:bCs w:val="1"/>
          <w:color w:val="auto"/>
        </w:rPr>
        <w:t xml:space="preserve"> Section 17.11.2</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Holder’s spouse, children (natural or adopted), stepchildren or a trust for their sole benefit of which the Holder is the settlor;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trust does not require or permit distribution of any Issued Shares during the term of the Plan unless subject to its terms. Upon the death of the Holder, the term Permitted Transferees shall also include such deceased Holder’s estate, executors, administrators, personal representatives, heirs, legatees and distributees, as the case may be.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ACM Research, Inc. 2016 Omnibus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2.38 </w:t>
      </w: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means the purchase price for each Share pursuant to a grant of Restricted Stock.</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2.39 </w:t>
      </w: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 shall have the meaning set forth in</w:t>
      </w:r>
      <w:r>
        <w:rPr>
          <w:rFonts w:ascii="Arial" w:cs="Arial" w:eastAsia="Arial" w:hAnsi="Arial"/>
          <w:sz w:val="18"/>
          <w:szCs w:val="18"/>
          <w:b w:val="1"/>
          <w:bCs w:val="1"/>
          <w:color w:val="auto"/>
        </w:rPr>
        <w:t xml:space="preserve"> Section 10.1.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means restricted Shares, awarded to a Grantee pursuant to</w:t>
      </w:r>
      <w:r>
        <w:rPr>
          <w:rFonts w:ascii="Arial" w:cs="Arial" w:eastAsia="Arial" w:hAnsi="Arial"/>
          <w:sz w:val="18"/>
          <w:szCs w:val="18"/>
          <w:b w:val="1"/>
          <w:bCs w:val="1"/>
          <w:color w:val="auto"/>
        </w:rPr>
        <w:t xml:space="preserve"> Section 10.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2.41 </w:t>
      </w:r>
      <w:r>
        <w:rPr>
          <w:rFonts w:ascii="Arial" w:cs="Arial" w:eastAsia="Arial" w:hAnsi="Arial"/>
          <w:sz w:val="17"/>
          <w:szCs w:val="17"/>
          <w:color w:val="auto"/>
        </w:rPr>
        <w:t>“</w:t>
      </w:r>
      <w:r>
        <w:rPr>
          <w:rFonts w:ascii="Arial" w:cs="Arial" w:eastAsia="Arial" w:hAnsi="Arial"/>
          <w:sz w:val="17"/>
          <w:szCs w:val="17"/>
          <w:b w:val="1"/>
          <w:bCs w:val="1"/>
          <w:color w:val="auto"/>
        </w:rPr>
        <w:t>Restricted Stock Unit</w:t>
      </w:r>
      <w:r>
        <w:rPr>
          <w:rFonts w:ascii="Arial" w:cs="Arial" w:eastAsia="Arial" w:hAnsi="Arial"/>
          <w:sz w:val="17"/>
          <w:szCs w:val="17"/>
          <w:color w:val="auto"/>
        </w:rPr>
        <w:t>” or “</w:t>
      </w:r>
      <w:r>
        <w:rPr>
          <w:rFonts w:ascii="Arial" w:cs="Arial" w:eastAsia="Arial" w:hAnsi="Arial"/>
          <w:sz w:val="17"/>
          <w:szCs w:val="17"/>
          <w:b w:val="1"/>
          <w:bCs w:val="1"/>
          <w:color w:val="auto"/>
        </w:rPr>
        <w:t>RSU</w:t>
      </w:r>
      <w:r>
        <w:rPr>
          <w:rFonts w:ascii="Arial" w:cs="Arial" w:eastAsia="Arial" w:hAnsi="Arial"/>
          <w:sz w:val="17"/>
          <w:szCs w:val="17"/>
          <w:color w:val="auto"/>
        </w:rPr>
        <w:t>” means a bookkeeping entry representing the equivalent of Shares, awarded to a Grantee pursuant 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w:t>
      </w:r>
      <w:r>
        <w:rPr>
          <w:rFonts w:ascii="Arial" w:cs="Arial" w:eastAsia="Arial" w:hAnsi="Arial"/>
          <w:sz w:val="18"/>
          <w:szCs w:val="18"/>
          <w:b w:val="1"/>
          <w:bCs w:val="1"/>
          <w:color w:val="auto"/>
        </w:rPr>
        <w:t>SAR Exercise Price</w:t>
      </w:r>
      <w:r>
        <w:rPr>
          <w:rFonts w:ascii="Arial" w:cs="Arial" w:eastAsia="Arial" w:hAnsi="Arial"/>
          <w:sz w:val="18"/>
          <w:szCs w:val="18"/>
          <w:color w:val="auto"/>
        </w:rPr>
        <w:t>” means the per Share exercise price of a SAR granted to a Grantee under Section 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color w:val="auto"/>
        </w:rPr>
        <w:t>“</w:t>
      </w:r>
      <w:r>
        <w:rPr>
          <w:rFonts w:ascii="Arial" w:cs="Arial" w:eastAsia="Arial" w:hAnsi="Arial"/>
          <w:sz w:val="18"/>
          <w:szCs w:val="18"/>
          <w:b w:val="1"/>
          <w:bCs w:val="1"/>
          <w:color w:val="auto"/>
        </w:rPr>
        <w:t>Section 162(m)</w:t>
      </w:r>
      <w:r>
        <w:rPr>
          <w:rFonts w:ascii="Arial" w:cs="Arial" w:eastAsia="Arial" w:hAnsi="Arial"/>
          <w:sz w:val="18"/>
          <w:szCs w:val="18"/>
          <w:color w:val="auto"/>
        </w:rPr>
        <w:t>” means Code Section 162(m).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2.45 </w:t>
      </w:r>
      <w:r>
        <w:rPr>
          <w:rFonts w:ascii="Arial" w:cs="Arial" w:eastAsia="Arial" w:hAnsi="Arial"/>
          <w:sz w:val="18"/>
          <w:szCs w:val="18"/>
          <w:color w:val="auto"/>
        </w:rPr>
        <w:t>“</w:t>
      </w:r>
      <w:r>
        <w:rPr>
          <w:rFonts w:ascii="Arial" w:cs="Arial" w:eastAsia="Arial" w:hAnsi="Arial"/>
          <w:sz w:val="18"/>
          <w:szCs w:val="18"/>
          <w:b w:val="1"/>
          <w:bCs w:val="1"/>
          <w:color w:val="auto"/>
        </w:rPr>
        <w:t>Section 409A</w:t>
      </w:r>
      <w:r>
        <w:rPr>
          <w:rFonts w:ascii="Arial" w:cs="Arial" w:eastAsia="Arial" w:hAnsi="Arial"/>
          <w:sz w:val="18"/>
          <w:szCs w:val="18"/>
          <w:color w:val="auto"/>
        </w:rPr>
        <w:t>” means Code Section 409A.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2.46 </w:t>
      </w: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2.47 </w:t>
      </w:r>
      <w:r>
        <w:rPr>
          <w:rFonts w:ascii="Arial" w:cs="Arial" w:eastAsia="Arial" w:hAnsi="Arial"/>
          <w:sz w:val="17"/>
          <w:szCs w:val="17"/>
          <w:color w:val="auto"/>
        </w:rPr>
        <w:t>“</w:t>
      </w:r>
      <w:r>
        <w:rPr>
          <w:rFonts w:ascii="Arial" w:cs="Arial" w:eastAsia="Arial" w:hAnsi="Arial"/>
          <w:sz w:val="17"/>
          <w:szCs w:val="17"/>
          <w:b w:val="1"/>
          <w:bCs w:val="1"/>
          <w:color w:val="auto"/>
        </w:rPr>
        <w:t>Separation from Service</w:t>
      </w:r>
      <w:r>
        <w:rPr>
          <w:rFonts w:ascii="Arial" w:cs="Arial" w:eastAsia="Arial" w:hAnsi="Arial"/>
          <w:sz w:val="17"/>
          <w:szCs w:val="17"/>
          <w:color w:val="auto"/>
        </w:rPr>
        <w:t>” means the termination of the applicable Participant’s employment with, and performance of services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each Affiliate. Unless otherwise determined by the Company in its sole discretion, if a Participant’s employment or board service with the Company or an Affiliate terminates but the Participant continues to provide services to the Company or an Affiliate in a nonemployee director capacity or as an employee, as applicable, such change in status shall not be deemed a Separation from Service. A Participant employed by, or performing services for, an Affiliate or a division of the Company or an Affiliate shall not be deemed to incur a Separation from Service if such Affiliate or division ceases to be an Affiliate or division of the Company, as the case may be, and the Participant immediately thereafter becomes an employee of (or service provider to), or member of the board of directors of, the Company or an Affiliate or a successor company or an affiliate or subsidiary thereof. Approved temporary absences from employment because of illness, vacation or leave of absence and transfers among the Company and its Affiliates shall not be considered Separations from Service. Notwithstanding the foregoing, with respect to any Award that constitutes nonqualified deferred compensation under Section 409A, “Separation from Service” shall mean a “separation from service” as defined under Section 409A.</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2.48 </w:t>
      </w:r>
      <w:r>
        <w:rPr>
          <w:rFonts w:ascii="Arial" w:cs="Arial" w:eastAsia="Arial" w:hAnsi="Arial"/>
          <w:sz w:val="18"/>
          <w:szCs w:val="18"/>
          <w:color w:val="auto"/>
        </w:rPr>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an employee, officer, non-employee member of the Board or Consultant of the Company or an Affiliate.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2.49 </w:t>
      </w: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2.50 </w:t>
      </w:r>
      <w:r>
        <w:rPr>
          <w:rFonts w:ascii="Arial" w:cs="Arial" w:eastAsia="Arial" w:hAnsi="Arial"/>
          <w:sz w:val="18"/>
          <w:szCs w:val="18"/>
          <w:color w:val="auto"/>
        </w:rPr>
        <w:t>“</w:t>
      </w:r>
      <w:r>
        <w:rPr>
          <w:rFonts w:ascii="Arial" w:cs="Arial" w:eastAsia="Arial" w:hAnsi="Arial"/>
          <w:sz w:val="18"/>
          <w:szCs w:val="18"/>
          <w:b w:val="1"/>
          <w:b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color w:val="auto"/>
        </w:rPr>
        <w:t>SAR</w:t>
      </w:r>
      <w:r>
        <w:rPr>
          <w:rFonts w:ascii="Arial" w:cs="Arial" w:eastAsia="Arial" w:hAnsi="Arial"/>
          <w:sz w:val="18"/>
          <w:szCs w:val="18"/>
          <w:color w:val="auto"/>
        </w:rPr>
        <w:t>” means a right granted to a Grantee pursuant to</w:t>
      </w:r>
      <w:r>
        <w:rPr>
          <w:rFonts w:ascii="Arial" w:cs="Arial" w:eastAsia="Arial" w:hAnsi="Arial"/>
          <w:sz w:val="18"/>
          <w:szCs w:val="18"/>
          <w:b w:val="1"/>
          <w:bCs w:val="1"/>
          <w:color w:val="auto"/>
        </w:rPr>
        <w:t xml:space="preserve"> Section 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2.51 </w:t>
      </w:r>
      <w:r>
        <w:rPr>
          <w:rFonts w:ascii="Arial" w:cs="Arial" w:eastAsia="Arial" w:hAnsi="Arial"/>
          <w:sz w:val="18"/>
          <w:szCs w:val="18"/>
          <w:color w:val="auto"/>
        </w:rPr>
        <w:t>“</w:t>
      </w:r>
      <w:r>
        <w:rPr>
          <w:rFonts w:ascii="Arial" w:cs="Arial" w:eastAsia="Arial" w:hAnsi="Arial"/>
          <w:sz w:val="18"/>
          <w:szCs w:val="18"/>
          <w:b w:val="1"/>
          <w:bCs w:val="1"/>
          <w:color w:val="auto"/>
        </w:rPr>
        <w:t>Stockholders</w:t>
      </w:r>
      <w:r>
        <w:rPr>
          <w:rFonts w:ascii="Arial" w:cs="Arial" w:eastAsia="Arial" w:hAnsi="Arial"/>
          <w:sz w:val="18"/>
          <w:szCs w:val="18"/>
          <w:color w:val="auto"/>
        </w:rPr>
        <w:t>” means the stockholders of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2.52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“subsidiary corporation” of the Company within the meaning of Code Section 424(f).</w:t>
      </w:r>
    </w:p>
    <w:p>
      <w:pPr>
        <w:spacing w:after="0" w:line="117"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 xml:space="preserve">2.53 </w:t>
      </w:r>
      <w:r>
        <w:rPr>
          <w:rFonts w:ascii="Arial" w:cs="Arial" w:eastAsia="Arial" w:hAnsi="Arial"/>
          <w:sz w:val="18"/>
          <w:szCs w:val="18"/>
          <w:color w:val="auto"/>
        </w:rPr>
        <w:t>“</w:t>
      </w:r>
      <w:r>
        <w:rPr>
          <w:rFonts w:ascii="Arial" w:cs="Arial" w:eastAsia="Arial" w:hAnsi="Arial"/>
          <w:sz w:val="18"/>
          <w:szCs w:val="18"/>
          <w:b w:val="1"/>
          <w:bCs w:val="1"/>
          <w:color w:val="auto"/>
        </w:rPr>
        <w:t>Substitute Award</w:t>
      </w:r>
      <w:r>
        <w:rPr>
          <w:rFonts w:ascii="Arial" w:cs="Arial" w:eastAsia="Arial" w:hAnsi="Arial"/>
          <w:sz w:val="18"/>
          <w:szCs w:val="18"/>
          <w:color w:val="auto"/>
        </w:rPr>
        <w:t>” means any Award granted in assumption of or in substitution for an award of a company or business acquired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 Affiliate or with which the Company or an Affiliate combines.</w:t>
      </w:r>
    </w:p>
    <w:p>
      <w:pPr>
        <w:spacing w:after="0" w:line="54" w:lineRule="exact"/>
        <w:rPr>
          <w:sz w:val="20"/>
          <w:szCs w:val="20"/>
          <w:color w:val="auto"/>
        </w:rPr>
      </w:pPr>
    </w:p>
    <w:p>
      <w:pPr>
        <w:ind w:right="80" w:firstLine="456"/>
        <w:spacing w:after="0" w:line="347" w:lineRule="auto"/>
        <w:rPr>
          <w:sz w:val="20"/>
          <w:szCs w:val="20"/>
          <w:color w:val="auto"/>
        </w:rPr>
      </w:pPr>
      <w:r>
        <w:rPr>
          <w:rFonts w:ascii="Arial" w:cs="Arial" w:eastAsia="Arial" w:hAnsi="Arial"/>
          <w:sz w:val="16"/>
          <w:szCs w:val="16"/>
          <w:b w:val="1"/>
          <w:bCs w:val="1"/>
          <w:color w:val="auto"/>
        </w:rPr>
        <w:t xml:space="preserve">2.54 </w:t>
      </w:r>
      <w:r>
        <w:rPr>
          <w:rFonts w:ascii="Arial" w:cs="Arial" w:eastAsia="Arial" w:hAnsi="Arial"/>
          <w:sz w:val="16"/>
          <w:szCs w:val="16"/>
          <w:color w:val="auto"/>
        </w:rPr>
        <w:t>“</w:t>
      </w:r>
      <w:r>
        <w:rPr>
          <w:rFonts w:ascii="Arial" w:cs="Arial" w:eastAsia="Arial" w:hAnsi="Arial"/>
          <w:sz w:val="16"/>
          <w:szCs w:val="16"/>
          <w:b w:val="1"/>
          <w:bCs w:val="1"/>
          <w:color w:val="auto"/>
        </w:rPr>
        <w:t>Ten Percent Stockholder</w:t>
      </w:r>
      <w:r>
        <w:rPr>
          <w:rFonts w:ascii="Arial" w:cs="Arial" w:eastAsia="Arial" w:hAnsi="Arial"/>
          <w:sz w:val="16"/>
          <w:szCs w:val="16"/>
          <w:color w:val="auto"/>
        </w:rPr>
        <w:t>” means an individual who owns more than 10% of the total combined voting power of all classes of outstanding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its parent or any of its Subsidiaries. In determining stock ownership, the attribution rules of Code Section 424(d) shall be applied.</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2.55 </w:t>
      </w: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 means the date that is 10 years after the Effective Date, unless the Plan is earlier terminated by the Board under</w:t>
      </w:r>
      <w:r>
        <w:rPr>
          <w:rFonts w:ascii="Arial" w:cs="Arial" w:eastAsia="Arial" w:hAnsi="Arial"/>
          <w:sz w:val="16"/>
          <w:szCs w:val="16"/>
          <w:b w:val="1"/>
          <w:bCs w:val="1"/>
          <w:color w:val="auto"/>
        </w:rPr>
        <w:t xml:space="preserve"> Section 5.2.</w:t>
      </w:r>
    </w:p>
    <w:p>
      <w:pPr>
        <w:spacing w:after="0" w:line="140" w:lineRule="exact"/>
        <w:rPr>
          <w:sz w:val="20"/>
          <w:szCs w:val="20"/>
          <w:color w:val="auto"/>
        </w:rPr>
      </w:pPr>
    </w:p>
    <w:p>
      <w:pPr>
        <w:jc w:val="both"/>
        <w:ind w:right="20" w:firstLine="456"/>
        <w:spacing w:after="0" w:line="289" w:lineRule="auto"/>
        <w:rPr>
          <w:sz w:val="20"/>
          <w:szCs w:val="20"/>
          <w:color w:val="auto"/>
        </w:rPr>
      </w:pPr>
      <w:r>
        <w:rPr>
          <w:rFonts w:ascii="Arial" w:cs="Arial" w:eastAsia="Arial" w:hAnsi="Arial"/>
          <w:sz w:val="17"/>
          <w:szCs w:val="17"/>
          <w:b w:val="1"/>
          <w:bCs w:val="1"/>
          <w:color w:val="auto"/>
        </w:rPr>
        <w:t xml:space="preserve">2.56 </w:t>
      </w:r>
      <w:r>
        <w:rPr>
          <w:rFonts w:ascii="Arial" w:cs="Arial" w:eastAsia="Arial" w:hAnsi="Arial"/>
          <w:sz w:val="17"/>
          <w:szCs w:val="17"/>
          <w:color w:val="auto"/>
        </w:rPr>
        <w:t>“</w:t>
      </w:r>
      <w:r>
        <w:rPr>
          <w:rFonts w:ascii="Arial" w:cs="Arial" w:eastAsia="Arial" w:hAnsi="Arial"/>
          <w:sz w:val="17"/>
          <w:szCs w:val="17"/>
          <w:b w:val="1"/>
          <w:bCs w:val="1"/>
          <w:color w:val="auto"/>
        </w:rPr>
        <w:t>Transition Period</w:t>
      </w:r>
      <w:r>
        <w:rPr>
          <w:rFonts w:ascii="Arial" w:cs="Arial" w:eastAsia="Arial" w:hAnsi="Arial"/>
          <w:sz w:val="17"/>
          <w:szCs w:val="17"/>
          <w:color w:val="auto"/>
        </w:rPr>
        <w:t>” means the period beginning with the consummation of an Initial Public Offering and ending as of the earlier of (a)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annual meeting of Stockholders at which directors are to be elected that occurs after the close of the third calendar year following the calendar year in which the Initial Public Offering occurs and (b) the expiration of the “reliance period” under Treasury Regulation Section 1.162-27(f)(2).</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85" w:name="page86"/>
    <w:bookmarkEnd w:id="85"/>
    <w:p>
      <w:pPr>
        <w:ind w:left="460" w:right="8300" w:hanging="452"/>
        <w:spacing w:after="0" w:line="378" w:lineRule="auto"/>
        <w:tabs>
          <w:tab w:leader="none" w:pos="18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ADMINISTRATION OF THE PLAN 3.1 General</w:t>
      </w:r>
    </w:p>
    <w:p>
      <w:pPr>
        <w:ind w:firstLine="913"/>
        <w:spacing w:after="0" w:line="286" w:lineRule="auto"/>
        <w:rPr>
          <w:sz w:val="20"/>
          <w:szCs w:val="20"/>
          <w:color w:val="auto"/>
        </w:rPr>
      </w:pPr>
      <w:r>
        <w:rPr>
          <w:rFonts w:ascii="Arial" w:cs="Arial" w:eastAsia="Arial" w:hAnsi="Arial"/>
          <w:sz w:val="16"/>
          <w:szCs w:val="16"/>
          <w:color w:val="auto"/>
        </w:rPr>
        <w:t xml:space="preserve">The Board shall have such powers and authorities related to the administration of the Plan as are consistent with the Company’s certificate of incorporation and bylaws and applicable law. The Board shall have the power and authority to delegate its responsibilities hereunder to the Committee, which shall have full authority to act in accordance with its charter (as in effect from time to time), and with respect to the power and authority of the Board to act hereunder, all references to the Board shall be deemed to include a reference to the Committee, unless such power or authority is specifically reserved by the Board. Except as specifically provided in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or as otherwise may be required by applicable law, regulatory requirement or the certificate of incorporation or the bylaws of the Company,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Following the Initial Public Offering, the Committee shall administer the Plan; provided, however, the Board shall retain the right to exercise the authority of the Committee to the extent consistent with applicable law and the applicable requirements of any securities exchange on which the Common Stock may then be listed. All actions, determinations and decisions by the Board or the Committee under the Plan or any Award Agreement, or with respect to any Award, shall be in the sole discretion of the Board and shall be final, binding and conclusive on all persons. Without limitation, the Board shall have full and final power and authority, subject to the other terms and conditions of the Plan, to:</w:t>
      </w:r>
    </w:p>
    <w:p>
      <w:pPr>
        <w:spacing w:after="0" w:line="80" w:lineRule="exact"/>
        <w:rPr>
          <w:sz w:val="20"/>
          <w:szCs w:val="20"/>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designate Grantees;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determine the type or types of Awards to be made to Grantees;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determine the number of Shares to be subject to an Award;</w:t>
      </w:r>
    </w:p>
    <w:p>
      <w:pPr>
        <w:spacing w:after="0" w:line="130" w:lineRule="exact"/>
        <w:rPr>
          <w:rFonts w:ascii="Arial" w:cs="Arial" w:eastAsia="Arial" w:hAnsi="Arial"/>
          <w:sz w:val="18"/>
          <w:szCs w:val="18"/>
          <w:color w:val="auto"/>
        </w:rPr>
      </w:pPr>
    </w:p>
    <w:p>
      <w:pPr>
        <w:jc w:val="both"/>
        <w:ind w:left="1480" w:right="60" w:hanging="567"/>
        <w:spacing w:after="0" w:line="286" w:lineRule="auto"/>
        <w:tabs>
          <w:tab w:leader="none" w:pos="1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establish the terms and conditions of each Award (including the Option Price of any Option, the nature and duration of any restriction or condition (or provision for lapse thereof) relating to the vesting, exercise, transfer, or forfeiture of an Award or the Shares subject thereto and any terms or conditions that may be necessary to qualify Options as Incentive Stock Options);</w:t>
      </w:r>
    </w:p>
    <w:p>
      <w:pPr>
        <w:spacing w:after="0" w:line="70" w:lineRule="exact"/>
        <w:rPr>
          <w:rFonts w:ascii="Arial" w:cs="Arial" w:eastAsia="Arial" w:hAnsi="Arial"/>
          <w:sz w:val="17"/>
          <w:szCs w:val="17"/>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prescribe the form of each Award Agreement; and</w:t>
      </w:r>
    </w:p>
    <w:p>
      <w:pPr>
        <w:spacing w:after="0" w:line="130" w:lineRule="exact"/>
        <w:rPr>
          <w:rFonts w:ascii="Arial" w:cs="Arial" w:eastAsia="Arial" w:hAnsi="Arial"/>
          <w:sz w:val="18"/>
          <w:szCs w:val="18"/>
          <w:color w:val="auto"/>
        </w:rPr>
      </w:pPr>
    </w:p>
    <w:p>
      <w:pPr>
        <w:ind w:left="1480" w:hanging="567"/>
        <w:spacing w:after="0" w:line="264"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amend, modify or supplement the terms of any outstanding Award, including the authority, in order to effectuate the purposes of the Plan, to modify Awards to foreign nationals or individuals who are employed outside the United States to recognize differences in local law, tax policy or custom.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Separation from Service for Cause; Clawbacks; Breach of Restrictive Covenants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3.2.1 Separation from Service for Cause</w:t>
      </w:r>
    </w:p>
    <w:p>
      <w:pPr>
        <w:spacing w:after="0" w:line="2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Company may annul an Award if the Grantee incurs a Separation from Service for Cause.</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3.2.2 Clawbacks</w:t>
      </w:r>
    </w:p>
    <w:p>
      <w:pPr>
        <w:spacing w:after="0" w:line="229" w:lineRule="exact"/>
        <w:rPr>
          <w:sz w:val="20"/>
          <w:szCs w:val="20"/>
          <w:color w:val="auto"/>
        </w:rPr>
      </w:pPr>
    </w:p>
    <w:p>
      <w:pPr>
        <w:ind w:left="460" w:right="80" w:firstLine="876"/>
        <w:spacing w:after="0" w:line="279" w:lineRule="auto"/>
        <w:rPr>
          <w:sz w:val="20"/>
          <w:szCs w:val="20"/>
          <w:color w:val="auto"/>
        </w:rPr>
      </w:pPr>
      <w:r>
        <w:rPr>
          <w:rFonts w:ascii="Arial" w:cs="Arial" w:eastAsia="Arial" w:hAnsi="Arial"/>
          <w:sz w:val="17"/>
          <w:szCs w:val="17"/>
          <w:color w:val="auto"/>
        </w:rPr>
        <w:t>All awards, amounts or benefits received or outstanding under the Plan shall be subject to clawback, cancellation, recoupment, rescission, payback, reduction or other similar action in accordance with the terms of any Company clawback or similar policy or any applicable law related to such actions, as may be in effect from time to time. A Grantee’s acceptance of an Award shall be deemed to constitute the Grantee’s acknowledgement of and consent to the Company’s application, implementation and enforcement of any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86" w:name="page87"/>
    <w:bookmarkEnd w:id="86"/>
    <w:p>
      <w:pPr>
        <w:ind w:left="4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Company clawback or similar policy that may apply to the Grantee, whether adopted prior to or following the Effective Date, and any provision of applicable law relating to clawback, cancellation, recoupment, rescission, payback or reduction of compensation, and the Grantee’s agreement that the Company may take such actions as may be necessary to effectuate any such policy or applicable law, without further consideration or action.</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3.2.3 Breach of Restrictive Covenants</w:t>
      </w:r>
    </w:p>
    <w:p>
      <w:pPr>
        <w:spacing w:after="0" w:line="229" w:lineRule="exact"/>
        <w:rPr>
          <w:sz w:val="20"/>
          <w:szCs w:val="20"/>
          <w:color w:val="auto"/>
        </w:rPr>
      </w:pPr>
    </w:p>
    <w:p>
      <w:pPr>
        <w:jc w:val="both"/>
        <w:ind w:left="460" w:right="60" w:firstLine="876"/>
        <w:spacing w:after="0" w:line="257" w:lineRule="auto"/>
        <w:rPr>
          <w:sz w:val="20"/>
          <w:szCs w:val="20"/>
          <w:color w:val="auto"/>
        </w:rPr>
      </w:pPr>
      <w:r>
        <w:rPr>
          <w:rFonts w:ascii="Arial" w:cs="Arial" w:eastAsia="Arial" w:hAnsi="Arial"/>
          <w:sz w:val="18"/>
          <w:szCs w:val="18"/>
          <w:color w:val="auto"/>
        </w:rPr>
        <w:t>Except as otherwise provided by the Committee, notwithstanding any provision of the Plan to the contrary, if a Participant breaches a non-competition, non-solicitation, non-disclosure, non-disparagement or other restrictive covenant set forth in an Award Agreement or any other agreement between the Participant and the Company or an Affiliate, whether during the Participant’s service or after the Participant’s Separation from Service, in addition to any other penalties or restrictions that may apply under any such agreement, state law or otherwise, the Participant shall forfeit or pay to the Company the following:</w:t>
      </w:r>
    </w:p>
    <w:p>
      <w:pPr>
        <w:spacing w:after="0" w:line="94" w:lineRule="exact"/>
        <w:rPr>
          <w:sz w:val="20"/>
          <w:szCs w:val="20"/>
          <w:color w:val="auto"/>
        </w:rPr>
      </w:pPr>
    </w:p>
    <w:p>
      <w:pPr>
        <w:ind w:left="2400" w:hanging="569"/>
        <w:spacing w:after="0"/>
        <w:tabs>
          <w:tab w:leader="none" w:pos="24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and all outstanding Awards granted to the Participant, including Awards that have become vested or exercisable;</w:t>
      </w:r>
    </w:p>
    <w:p>
      <w:pPr>
        <w:spacing w:after="0" w:line="142" w:lineRule="exact"/>
        <w:rPr>
          <w:rFonts w:ascii="Arial" w:cs="Arial" w:eastAsia="Arial" w:hAnsi="Arial"/>
          <w:sz w:val="17"/>
          <w:szCs w:val="17"/>
          <w:color w:val="auto"/>
        </w:rPr>
      </w:pPr>
    </w:p>
    <w:p>
      <w:pPr>
        <w:ind w:left="2400" w:right="300" w:hanging="569"/>
        <w:spacing w:after="0" w:line="342" w:lineRule="auto"/>
        <w:tabs>
          <w:tab w:leader="none" w:pos="2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shares held by the Participant in connection with the Plan that were acquired by the Participant after the Participant’s Separation from Service and within the 12-month period immediately before the Participant’s Separation from Service;</w:t>
      </w:r>
    </w:p>
    <w:p>
      <w:pPr>
        <w:spacing w:after="0" w:line="29" w:lineRule="exact"/>
        <w:rPr>
          <w:rFonts w:ascii="Arial" w:cs="Arial" w:eastAsia="Arial" w:hAnsi="Arial"/>
          <w:sz w:val="16"/>
          <w:szCs w:val="16"/>
          <w:color w:val="auto"/>
        </w:rPr>
      </w:pPr>
    </w:p>
    <w:p>
      <w:pPr>
        <w:ind w:left="2400" w:hanging="569"/>
        <w:spacing w:after="0" w:line="279" w:lineRule="auto"/>
        <w:tabs>
          <w:tab w:leader="none" w:pos="24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profit realized by the Participant from the exercise of any Options or SARs that the Participant exercised after the Participant’s Separation from Service or within the 12-month period immediately before the Participant’s Separation from Service, which profit is the difference between the Option Price of the Option or SAR Exercise Price of the SAR and the Fair Market Value of any shares or cash acquired by the Participant upon exercise of such Option or SAR; and</w:t>
      </w:r>
    </w:p>
    <w:p>
      <w:pPr>
        <w:spacing w:after="0" w:line="76" w:lineRule="exact"/>
        <w:rPr>
          <w:rFonts w:ascii="Arial" w:cs="Arial" w:eastAsia="Arial" w:hAnsi="Arial"/>
          <w:sz w:val="17"/>
          <w:szCs w:val="17"/>
          <w:color w:val="auto"/>
        </w:rPr>
      </w:pPr>
    </w:p>
    <w:p>
      <w:pPr>
        <w:ind w:left="2400" w:right="100" w:hanging="569"/>
        <w:spacing w:after="0" w:line="259" w:lineRule="auto"/>
        <w:tabs>
          <w:tab w:leader="none" w:pos="2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profit realized by the Participant from the sale, or other disposition for consideration, of any shares received by the Participant in connection with the Plan after the Participant’s Separation from Service and within the 12-month period immediately before the Participant’s Separation from Service and where such sale or disposition occurs in such similar time period.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Deferral Arrangement</w:t>
      </w:r>
    </w:p>
    <w:p>
      <w:pPr>
        <w:spacing w:after="0" w:line="229" w:lineRule="exact"/>
        <w:rPr>
          <w:sz w:val="20"/>
          <w:szCs w:val="20"/>
          <w:color w:val="auto"/>
        </w:rPr>
      </w:pPr>
    </w:p>
    <w:p>
      <w:pPr>
        <w:jc w:val="both"/>
        <w:ind w:right="560" w:firstLine="913"/>
        <w:spacing w:after="0" w:line="264" w:lineRule="auto"/>
        <w:rPr>
          <w:sz w:val="20"/>
          <w:szCs w:val="20"/>
          <w:color w:val="auto"/>
        </w:rPr>
      </w:pPr>
      <w:r>
        <w:rPr>
          <w:rFonts w:ascii="Arial" w:cs="Arial" w:eastAsia="Arial" w:hAnsi="Arial"/>
          <w:sz w:val="18"/>
          <w:szCs w:val="18"/>
          <w:color w:val="auto"/>
        </w:rPr>
        <w:t>The Board may permit or require the deferral of any Award payment into a deferred compensation arrangement, subject to such rules and procedures as it may establish and in accordance with Section 409A, which may include provisions for the payment or crediting of interest or dividend equivalents, including converting such credits into deferred Share units.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 No Liability</w:t>
      </w:r>
    </w:p>
    <w:p>
      <w:pPr>
        <w:spacing w:after="0" w:line="229"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No member of the Board or of the Committee shall be liable for any action or determination made in good faith with respect to the Plan, any Award or Award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3.5 Book Entry</w:t>
      </w:r>
    </w:p>
    <w:p>
      <w:pPr>
        <w:spacing w:after="0" w:line="229"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Notwithstanding any other provision of the Plan to the contrary, the Company may elect to satisfy any requirement under the Plan for the delivery of stock certificates through the use of book entry.</w:t>
      </w:r>
    </w:p>
    <w:p>
      <w:pPr>
        <w:spacing w:after="0" w:line="275" w:lineRule="exact"/>
        <w:rPr>
          <w:sz w:val="20"/>
          <w:szCs w:val="20"/>
          <w:color w:val="auto"/>
        </w:rPr>
      </w:pPr>
    </w:p>
    <w:p>
      <w:pPr>
        <w:ind w:left="460" w:right="8380" w:hanging="452"/>
        <w:spacing w:after="0" w:line="488" w:lineRule="auto"/>
        <w:tabs>
          <w:tab w:leader="none" w:pos="184"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STOCK SUBJECT TO THE PLAN 4.1 Authorized Number of Shares</w:t>
      </w:r>
    </w:p>
    <w:p>
      <w:pPr>
        <w:spacing w:after="0" w:line="8" w:lineRule="exact"/>
        <w:rPr>
          <w:sz w:val="20"/>
          <w:szCs w:val="20"/>
          <w:color w:val="auto"/>
        </w:rPr>
      </w:pPr>
    </w:p>
    <w:p>
      <w:pPr>
        <w:ind w:right="340" w:firstLine="913"/>
        <w:spacing w:after="0" w:line="282" w:lineRule="auto"/>
        <w:rPr>
          <w:sz w:val="20"/>
          <w:szCs w:val="20"/>
          <w:color w:val="auto"/>
        </w:rPr>
      </w:pPr>
      <w:r>
        <w:rPr>
          <w:rFonts w:ascii="Arial" w:cs="Arial" w:eastAsia="Arial" w:hAnsi="Arial"/>
          <w:sz w:val="18"/>
          <w:szCs w:val="18"/>
          <w:color w:val="auto"/>
        </w:rPr>
        <w:t xml:space="preserve">Subject to adjustment under </w:t>
      </w:r>
      <w:r>
        <w:rPr>
          <w:rFonts w:ascii="Arial" w:cs="Arial" w:eastAsia="Arial" w:hAnsi="Arial"/>
          <w:sz w:val="18"/>
          <w:szCs w:val="18"/>
          <w:b w:val="1"/>
          <w:bCs w:val="1"/>
          <w:color w:val="auto"/>
        </w:rPr>
        <w:t>Section 15</w:t>
      </w:r>
      <w:r>
        <w:rPr>
          <w:rFonts w:ascii="Arial" w:cs="Arial" w:eastAsia="Arial" w:hAnsi="Arial"/>
          <w:sz w:val="18"/>
          <w:szCs w:val="18"/>
          <w:color w:val="auto"/>
        </w:rPr>
        <w:t>, the aggregate number of Shares that may be initially issued pursuant to the Plan shall be equal to the sum of (a) 7,000,000 Shares and (b) an annual increase on the first day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7" w:name="page88"/>
    <w:bookmarkEnd w:id="87"/>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year beginning in 2018 and ending in (and including) 2026 equal to the lesser of (i) 4% of the Shares outstanding (on an as converted basis) on the last day of the immediately preceding fiscal year and (ii) such smaller number of Shares as may be determined by the Board. A maximum of 7,000,000 Shares shall be available for issuance under Incentive Stock Options under the Plan; provided, however, that notwithstanding the foregoing, Shares added to the Plan pursuant to </w:t>
      </w:r>
      <w:r>
        <w:rPr>
          <w:rFonts w:ascii="Arial" w:cs="Arial" w:eastAsia="Arial" w:hAnsi="Arial"/>
          <w:sz w:val="16"/>
          <w:szCs w:val="16"/>
          <w:b w:val="1"/>
          <w:bCs w:val="1"/>
          <w:color w:val="auto"/>
        </w:rPr>
        <w:t>Section 4.1(b)</w:t>
      </w:r>
      <w:r>
        <w:rPr>
          <w:rFonts w:ascii="Arial" w:cs="Arial" w:eastAsia="Arial" w:hAnsi="Arial"/>
          <w:sz w:val="16"/>
          <w:szCs w:val="16"/>
          <w:color w:val="auto"/>
        </w:rPr>
        <w:t xml:space="preserve"> shall be available for issuance as Incentive Stock Options only to the extent that making such Shares available for issuance as Incentive Stock Options would not cause any Incentive Stock Option to cease to qualify as such. To the extent permitted under applicable law and applicable stock exchange rules, Awards that provide for the delivery of Shares subsequent to the applicable grant date may be granted in excess of the limit set forth in this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if such Awards provide for the forfeiture or cash settlement of such Awards to the extent that insufficient Shares remain under the share limit in this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at the time that Shares would otherwise be issued in respect of such Award. Shares issued under the Plan may consist in whole or in part of authorized but unissued Shares, treasury Shares or Shares purchased on the open market or otherwise.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 Share Counting</w:t>
      </w:r>
    </w:p>
    <w:p>
      <w:pPr>
        <w:spacing w:after="0" w:line="229"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Any Award settled in cash shall not be counted as issued Shares for any purpose under the Plan. If any Award expires, or is terminated, surrendered or forfeited, in whole or in part, the unissued Shares covered by such Award shall again be available for the grant of Awards. If Shares issued pursuant to the Plan are repurchased by, or are surrendered or forfeited to the Company at no more than cost, such Shares shall again be available for the grant of Awards. If Shares issuable upon exercise, vesting or settlement of an Award, or Shares owned by a Grantee (which are not subject to any pledge or other security interest), are surrendered or tendered to the Company in payment of the Option Price or Purchase Price of an Award or any taxes required to be withheld in respect of an Award, in each case, in accordance with the terms and conditions of the Plan and any applicable Award Agreement, such surrendered or tendered Shares shall again be available for the grant of Awards. Substitute Awards shall not be counted against the number of Shares available for the grant of Awards.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Section 162(m) Limits</w:t>
      </w:r>
    </w:p>
    <w:p>
      <w:pPr>
        <w:spacing w:after="0" w:line="229"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No later than the end of the Transition Period, the maximum number of Shares for each type of Other Share-based Award, and the maximum amount of cash for any cash-based Award, intended to qualify as Performance-Based Compensation granted to any Grantee in any specified period shall be established by the Company and approved by the Stockholders.</w:t>
      </w:r>
    </w:p>
    <w:p>
      <w:pPr>
        <w:spacing w:after="0" w:line="285" w:lineRule="exact"/>
        <w:rPr>
          <w:sz w:val="20"/>
          <w:szCs w:val="20"/>
          <w:color w:val="auto"/>
        </w:rPr>
      </w:pPr>
    </w:p>
    <w:p>
      <w:pPr>
        <w:ind w:left="460" w:right="7040" w:hanging="452"/>
        <w:spacing w:after="0" w:line="407" w:lineRule="auto"/>
        <w:tabs>
          <w:tab w:leader="none" w:pos="18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AMENDMENT and termination 5.1 Effective Date</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Plan is effective as of the Effective Date.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Amendment and Termination of the Plan</w:t>
      </w:r>
    </w:p>
    <w:p>
      <w:pPr>
        <w:spacing w:after="0" w:line="22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The Board may, at any time and from time to time, amend, suspend or terminate the Plan as to any Awards which have not been made. An amendment shall be contingent on approval of the Stockholders to the extent stated by the Board, required by applicable law or required by applicable securities exchange listing requirements. No Awards shall be made after the Termination Date. The applicable terms of the Plan, and any terms and conditions applicable to Awards granted prior to the Termination Date, shall survive the termination of the Plan and continue to apply to such Awards. No amendment, suspension or termination of the Plan shall, without the consent of the Grantee, materially impair rights or obligations under any Award theretofore awarded.</w:t>
      </w:r>
    </w:p>
    <w:p>
      <w:pPr>
        <w:spacing w:after="0" w:line="262" w:lineRule="exact"/>
        <w:rPr>
          <w:sz w:val="20"/>
          <w:szCs w:val="20"/>
          <w:color w:val="auto"/>
        </w:rPr>
      </w:pPr>
    </w:p>
    <w:p>
      <w:pPr>
        <w:ind w:left="460" w:right="7660" w:hanging="452"/>
        <w:spacing w:after="0" w:line="407" w:lineRule="auto"/>
        <w:tabs>
          <w:tab w:leader="none" w:pos="18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AWARD ELIGIBILITY AND LIMITATIONS 6.1 Service Providers</w:t>
      </w:r>
    </w:p>
    <w:p>
      <w:pPr>
        <w:spacing w:after="0" w:line="54" w:lineRule="exact"/>
        <w:rPr>
          <w:sz w:val="20"/>
          <w:szCs w:val="20"/>
          <w:color w:val="auto"/>
        </w:rPr>
      </w:pPr>
    </w:p>
    <w:p>
      <w:pPr>
        <w:jc w:val="center"/>
        <w:ind w:left="280" w:right="880"/>
        <w:spacing w:after="0" w:line="454" w:lineRule="auto"/>
        <w:rPr>
          <w:sz w:val="20"/>
          <w:szCs w:val="20"/>
          <w:color w:val="auto"/>
        </w:rPr>
      </w:pPr>
      <w:r>
        <w:rPr>
          <w:rFonts w:ascii="Arial" w:cs="Arial" w:eastAsia="Arial" w:hAnsi="Arial"/>
          <w:sz w:val="18"/>
          <w:szCs w:val="18"/>
          <w:color w:val="auto"/>
        </w:rPr>
        <w:t xml:space="preserve">Subject to this </w:t>
      </w:r>
      <w:r>
        <w:rPr>
          <w:rFonts w:ascii="Arial" w:cs="Arial" w:eastAsia="Arial" w:hAnsi="Arial"/>
          <w:sz w:val="18"/>
          <w:szCs w:val="18"/>
          <w:b w:val="1"/>
          <w:bCs w:val="1"/>
          <w:color w:val="auto"/>
        </w:rPr>
        <w:t>Section 6</w:t>
      </w:r>
      <w:r>
        <w:rPr>
          <w:rFonts w:ascii="Arial" w:cs="Arial" w:eastAsia="Arial" w:hAnsi="Arial"/>
          <w:sz w:val="18"/>
          <w:szCs w:val="18"/>
          <w:color w:val="auto"/>
        </w:rPr>
        <w:t>, Awards may be made to any Service Provider as the Board may determine and designate from time to time. 7</w:t>
      </w:r>
    </w:p>
    <w:p>
      <w:pPr>
        <w:sectPr>
          <w:pgSz w:w="11900" w:h="16838" w:orient="portrait"/>
          <w:cols w:equalWidth="0" w:num="1">
            <w:col w:w="11400"/>
          </w:cols>
          <w:pgMar w:left="240" w:top="274" w:right="259"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 Successive Awards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 eligible person may receive more than one Award, subject to such restrictions as are provided herein.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6.3 Stand-Alone, Additional, Tandem, and Substitute Awards</w:t>
      </w:r>
    </w:p>
    <w:p>
      <w:pPr>
        <w:spacing w:after="0" w:line="229"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Awards may be granted either alone or in addition to, in tandem with, or in substitution or exchange for, any other Award or any award granted under another plan of the Company, any Affiliate or any business entity to be acquired by the Company or an Affiliate, or any other right of a Grantee to receive payment from the Company or any Affiliate. Such additional, tandem or substitute or exchange Awards may be granted at any time. If an Award is granted in substitution or exchange for another award, the Board shall have the right to require the surrender of such other award in consideration for the grant of the new Award. Subject to the requirements of applicable law, the Board may make Awards in substitution or exchange for any other award under another plan of the Company, any Affiliate or any business entity to be acquired by the Company or an Affiliate. In addition, Awards may be granted in lieu of cash compensation, including in lieu of cash amounts payable under other plans of the Company or any Affiliate, in which the value of Shares subject to the Award is equivalent in value to the cash compensation (for example, RSUs or Restricted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AWARD AGREEMENT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grant of any Award may be contingent upon the Grantee executing an appropriate Award Agreement, in such form or forms as the Board shall from time to time determine. Without limiting the foregoing, an Award Agreement may be provided in the form of a notice which provides that acceptance of the Award constitutes acceptance of all terms of the Plan and the notice. Award Agreements granted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spacing w:after="0" w:line="297" w:lineRule="exact"/>
        <w:rPr>
          <w:sz w:val="20"/>
          <w:szCs w:val="20"/>
          <w:color w:val="auto"/>
        </w:rPr>
      </w:pPr>
    </w:p>
    <w:p>
      <w:pPr>
        <w:ind w:left="460" w:right="7780" w:hanging="452"/>
        <w:spacing w:after="0" w:line="407" w:lineRule="auto"/>
        <w:tabs>
          <w:tab w:leader="none" w:pos="18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 8.1 Option Price</w:t>
      </w:r>
    </w:p>
    <w:p>
      <w:pPr>
        <w:spacing w:after="0" w:line="58"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 xml:space="preserve">The Option Price of each Option shall be fixed by the Board and stated in the related Award Agreement. The Option Price of each Option intended to be an Incentive Stock Option (except those that constitute Substitute Awards) shall be at least the Fair Market Value on the Grant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a Grantee is a Ten Percent Stockholder as of the Grant Date, the Option Price of an Option granted to such Grantee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be an Incentive Stock Option shall be not less than 110 percent of the Fair Market Value on the Grant Date. In no case shall the Option Price of any Option be less than the par value of a Share.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Vesting</w:t>
      </w:r>
    </w:p>
    <w:p>
      <w:pPr>
        <w:spacing w:after="0" w:line="225" w:lineRule="exact"/>
        <w:rPr>
          <w:sz w:val="20"/>
          <w:szCs w:val="20"/>
          <w:color w:val="auto"/>
        </w:rPr>
      </w:pPr>
    </w:p>
    <w:p>
      <w:pPr>
        <w:ind w:right="180" w:firstLine="913"/>
        <w:spacing w:after="0" w:line="282"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8.3</w:t>
      </w:r>
      <w:r>
        <w:rPr>
          <w:rFonts w:ascii="Arial" w:cs="Arial" w:eastAsia="Arial" w:hAnsi="Arial"/>
          <w:sz w:val="18"/>
          <w:szCs w:val="18"/>
          <w:color w:val="auto"/>
        </w:rPr>
        <w:t>, each Option shall become exercisable at such times and under such conditions (including performance requirements) as stated in the Award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Term</w:t>
      </w:r>
    </w:p>
    <w:p>
      <w:pPr>
        <w:spacing w:after="0" w:line="229"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 xml:space="preserve">Each Option shall terminate, and all rights to purchase Shares thereunder shall cease, upon the expiration of the Option term stated in the Award Agreement not to exceed 10 years from the Grant Date, or under such circumstances and on such date prior thereto as is set forth in the Plan or as may be fixed by the Board and stated in the related Award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that the Grantee is a Ten Percent Stockholder, an Option granted to such Grantee that is intended to be an Incentive Stock Option at the Grant Date shall not be exercisable after the expiration of five years from its Grant Date.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Limitations on Exercise of Option</w:t>
      </w:r>
    </w:p>
    <w:p>
      <w:pPr>
        <w:spacing w:after="0" w:line="229"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Notwithstanding any other provision of the Plan, in no event may any Option be exercised, in whole or in part, after the occurrence of an event which results in termination of the Option.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89" w:name="page90"/>
    <w:bookmarkEnd w:id="8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8.5 Method of Exercise</w:t>
      </w:r>
    </w:p>
    <w:p>
      <w:pPr>
        <w:spacing w:after="0" w:line="229"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An Option that is exercisable may be exercised by the Grantee’s delivery of a notice of exercise to the Company, setting forth the number of Shares with respect to which the Option is to be exercised, accompanied by full payment for the Shares. To be effective, notice of exercise must be made in accordance with procedures established by the Company from time to time.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8.6 Rights of Holders of Options</w:t>
      </w:r>
    </w:p>
    <w:p>
      <w:pPr>
        <w:spacing w:after="0" w:line="22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Unless otherwise provided in the applicable Award Agreement, an individual holding or exercising an Option shall have none of the rights of a Stockholder (for example, the right to receive cash or dividend payments or distributions attributable to the subject Shares or to direct the voting of the subject Shares) until the Shares covered thereby are fully paid and issued to him. Except as provided in </w:t>
      </w:r>
      <w:r>
        <w:rPr>
          <w:rFonts w:ascii="Arial" w:cs="Arial" w:eastAsia="Arial" w:hAnsi="Arial"/>
          <w:sz w:val="17"/>
          <w:szCs w:val="17"/>
          <w:b w:val="1"/>
          <w:bCs w:val="1"/>
          <w:color w:val="auto"/>
        </w:rPr>
        <w:t>Section 15</w:t>
      </w:r>
      <w:r>
        <w:rPr>
          <w:rFonts w:ascii="Arial" w:cs="Arial" w:eastAsia="Arial" w:hAnsi="Arial"/>
          <w:sz w:val="17"/>
          <w:szCs w:val="17"/>
          <w:color w:val="auto"/>
        </w:rPr>
        <w:t xml:space="preserve"> or the related Award Agreement, no adjustment shall be made for dividends, distributions or other rights for which the record date is prior to the date of such issuance.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8.7 Delivery of Stock Certificates</w:t>
      </w:r>
    </w:p>
    <w:p>
      <w:pPr>
        <w:spacing w:after="0" w:line="229"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Promptly after the exercise of an Option by a Grantee and the payment in full of the Option Price, such Grantee shall be entitled to the issuance of a stock certificate or certificates evidencing his or her ownership of the Shares subject to the Option.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8.8 Limitations on Incentive Stock Options</w:t>
      </w:r>
    </w:p>
    <w:p>
      <w:pPr>
        <w:spacing w:after="0" w:line="229"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An Option shall constitute an Incentive Stock Option only (a) if the Grantee of such Option is an employee of the Company or any Subsidiary of the Company; (b) to the extent specifically provided in the related Award Agreement; and (c) to the extent that the aggregate Fair Market Value (determined at the time the Option is granted) of the Shares with respect to which all Incentive Stock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 No Option shall be treated as an Incentive Stock Option unless the Plan has been approved by the Stockholders in a manner intended to comply with the stockholder approval requirements of Code Section 422(b)(i);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8.9 Early Exercise</w:t>
      </w:r>
    </w:p>
    <w:p>
      <w:pPr>
        <w:spacing w:after="0" w:line="229"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An Option may, but need not, include a provision whereby the Grantee may elect at any time before the Grantee’s Separation from Service to exercise the Option as to any part or all of the Shares subject to the Option prior to the full vesting of the Option. Any unvested Shares so purchased may be subject to a repurchase option in favor of the Company or to any other restriction the Board determines to be appropriate.</w:t>
      </w:r>
    </w:p>
    <w:p>
      <w:pPr>
        <w:spacing w:after="0" w:line="270" w:lineRule="exact"/>
        <w:rPr>
          <w:sz w:val="20"/>
          <w:szCs w:val="20"/>
          <w:color w:val="auto"/>
        </w:rPr>
      </w:pPr>
    </w:p>
    <w:p>
      <w:pPr>
        <w:ind w:left="460" w:right="5820" w:hanging="452"/>
        <w:spacing w:after="0" w:line="407" w:lineRule="auto"/>
        <w:tabs>
          <w:tab w:leader="none" w:pos="18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STOCK APPRECIATION RIGHTS 9.1 Right to Payment</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SAR shall confer on the Grantee a right to receive, upon exercise thereof, the excess of (a) the Fair Market Value on the date of exercise over</w:t>
      </w:r>
    </w:p>
    <w:p>
      <w:pPr>
        <w:spacing w:after="0" w:line="46" w:lineRule="exact"/>
        <w:rPr>
          <w:sz w:val="20"/>
          <w:szCs w:val="20"/>
          <w:color w:val="auto"/>
        </w:rPr>
      </w:pPr>
    </w:p>
    <w:p>
      <w:pPr>
        <w:ind w:right="100" w:firstLine="8"/>
        <w:spacing w:after="0" w:line="290" w:lineRule="auto"/>
        <w:tabs>
          <w:tab w:leader="none" w:pos="2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SAR Exercise Price. The Award Agreement for a SAR shall specify the SAR Exercise Price. SARs may be granted alone or in conjunction with all or part of an Option or at any subsequent time during the term of such Option or in conjunction with all or part of any other Award.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9.2 Other Terms</w:t>
      </w:r>
    </w:p>
    <w:p>
      <w:pPr>
        <w:spacing w:after="0" w:line="229"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The Board shall determine at the Grant Date or thereafter, the time or times at which and the circumstances under which a SAR may be exercised in whole or in part (including based on achievement of performance goals and/or future service requirements), the time or times at which SARs shall cease to be or become exercisable following Separation from Service or upon other conditions, the method of exercise, whether or not a SAR shall be in tandem or in combination with any other Award and any other terms and conditions of any SAR.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9.3 Term of SARs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The term of a SAR granted under the Plan shall be determined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term shall not exceed 10 years.</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9.4 Payment of SAR Amount</w:t>
      </w:r>
    </w:p>
    <w:p>
      <w:pPr>
        <w:spacing w:after="0" w:line="229"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Upon exercise of a SAR, a Grantee shall be entitled to receive payment from the Company (in cash or Shares, as set forth in the Award Agreement) in an amount determined by multiplying:</w:t>
      </w:r>
    </w:p>
    <w:p>
      <w:pPr>
        <w:spacing w:after="0" w:line="76" w:lineRule="exact"/>
        <w:rPr>
          <w:sz w:val="20"/>
          <w:szCs w:val="20"/>
          <w:color w:val="auto"/>
        </w:rPr>
      </w:pPr>
    </w:p>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difference between the Fair Market Value on the date of exercise over the SAR Exercise Price; by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329" w:lineRule="exact"/>
        <w:rPr>
          <w:sz w:val="20"/>
          <w:szCs w:val="20"/>
          <w:color w:val="auto"/>
        </w:rPr>
      </w:pPr>
    </w:p>
    <w:p>
      <w:pPr>
        <w:ind w:left="460" w:right="3760" w:hanging="452"/>
        <w:spacing w:after="0" w:line="407" w:lineRule="auto"/>
        <w:tabs>
          <w:tab w:leader="none" w:pos="27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AND RESTRICTED STOCK UNITS 10.1 Restrictions</w:t>
      </w:r>
    </w:p>
    <w:p>
      <w:pPr>
        <w:spacing w:after="0" w:line="54"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color w:val="auto"/>
        </w:rPr>
        <w:t>At the time of grant, the Board may establish a period of time (a “</w:t>
      </w:r>
      <w:r>
        <w:rPr>
          <w:rFonts w:ascii="Arial" w:cs="Arial" w:eastAsia="Arial" w:hAnsi="Arial"/>
          <w:sz w:val="17"/>
          <w:szCs w:val="17"/>
          <w:b w:val="1"/>
          <w:bCs w:val="1"/>
          <w:color w:val="auto"/>
        </w:rPr>
        <w:t>Restricted Period</w:t>
      </w:r>
      <w:r>
        <w:rPr>
          <w:rFonts w:ascii="Arial" w:cs="Arial" w:eastAsia="Arial" w:hAnsi="Arial"/>
          <w:sz w:val="17"/>
          <w:szCs w:val="17"/>
          <w:color w:val="auto"/>
        </w:rPr>
        <w:t>”) and any additional restrictions including the satisfaction of corporate or individual performance objectives applicable to an Award of Restricted Stock or RSUs. Each Award of Restricted Stock or RSUs may be subject to a different Restricted Period and additional restrictions. Neither Restricted Stock nor RSUs may be sold, transferred, assigned, pledged or otherwise encumbered or disposed of during the Restricted Period or prior to the satisfaction of any other applicable restrictions.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10.2 Restricted Stock Certificates</w:t>
      </w:r>
    </w:p>
    <w:p>
      <w:pPr>
        <w:spacing w:after="0" w:line="229"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 xml:space="preserve">The Company shall issue Shares, in the name of each Grantee to whom Restricted Stock has been granted, stock certificates or other evidence of ownership representing the total number of Shares of Restricted Stock granted to the Grantee, as soon as reasonably practicable after the Grant Date. The Board may provide in an Award Agreement that either (a) the Secretary of the Company shall hold such certificates for the Grantee’s benefit until such time as the Restricted Stock is forfeited to the Company or the restrictions lapse or (b) such certificates shall be delivered to the Grantee;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certificates shall bear a legend or legends that comply with the applicable securities laws and regulations and make appropriate reference to the restrictions imposed under the Plan and the Award Agreement.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10.3 Rights of Holders of Restricted Stock</w:t>
      </w:r>
    </w:p>
    <w:p>
      <w:pPr>
        <w:spacing w:after="0" w:line="229"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Unless otherwise provided in the applicable Award Agreement, holders of Restricted Stock shall have rights as Stockholders, including voting and dividend rights.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10.4 Rights of Holders of RSUs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10.4.1 Settlement of RSUs</w:t>
      </w:r>
    </w:p>
    <w:p>
      <w:pPr>
        <w:spacing w:after="0" w:line="229" w:lineRule="exact"/>
        <w:rPr>
          <w:sz w:val="20"/>
          <w:szCs w:val="20"/>
          <w:color w:val="auto"/>
        </w:rPr>
      </w:pPr>
    </w:p>
    <w:p>
      <w:pPr>
        <w:jc w:val="both"/>
        <w:ind w:left="460" w:right="160" w:firstLine="876"/>
        <w:spacing w:after="0" w:line="264" w:lineRule="auto"/>
        <w:rPr>
          <w:sz w:val="20"/>
          <w:szCs w:val="20"/>
          <w:color w:val="auto"/>
        </w:rPr>
      </w:pPr>
      <w:r>
        <w:rPr>
          <w:rFonts w:ascii="Arial" w:cs="Arial" w:eastAsia="Arial" w:hAnsi="Arial"/>
          <w:sz w:val="18"/>
          <w:szCs w:val="18"/>
          <w:color w:val="auto"/>
        </w:rPr>
        <w:t>RSUs may be settled in cash or Shares, as set forth in the Award Agreement. The Award Agreement shall also set forth whether the RSUs shall be settled (a) within the time period specified in Section 409A for short term deferrals or (b) otherwise within the requirements of Section 409A, in which case the Award Agreement shall specify upon which events such RSUs shall be settled.</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10.4.2 Voting and Dividend Rights</w:t>
      </w:r>
    </w:p>
    <w:p>
      <w:pPr>
        <w:spacing w:after="0" w:line="229" w:lineRule="exact"/>
        <w:rPr>
          <w:sz w:val="20"/>
          <w:szCs w:val="20"/>
          <w:color w:val="auto"/>
        </w:rPr>
      </w:pPr>
    </w:p>
    <w:p>
      <w:pPr>
        <w:ind w:left="460" w:right="140" w:firstLine="876"/>
        <w:spacing w:after="0" w:line="277" w:lineRule="auto"/>
        <w:rPr>
          <w:sz w:val="20"/>
          <w:szCs w:val="20"/>
          <w:color w:val="auto"/>
        </w:rPr>
      </w:pPr>
      <w:r>
        <w:rPr>
          <w:rFonts w:ascii="Arial" w:cs="Arial" w:eastAsia="Arial" w:hAnsi="Arial"/>
          <w:sz w:val="18"/>
          <w:szCs w:val="18"/>
          <w:color w:val="auto"/>
        </w:rPr>
        <w:t>Unless otherwise provided in the applicable Award Agreement, holders of RSUs shall not have rights as Stockholders, including voting or dividend or dividend equivalents rights.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91" w:name="page92"/>
    <w:bookmarkEnd w:id="91"/>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10.4.3 Creditor’s Rights</w:t>
      </w:r>
    </w:p>
    <w:p>
      <w:pPr>
        <w:spacing w:after="0" w:line="229" w:lineRule="exact"/>
        <w:rPr>
          <w:sz w:val="20"/>
          <w:szCs w:val="20"/>
          <w:color w:val="auto"/>
        </w:rPr>
      </w:pPr>
    </w:p>
    <w:p>
      <w:pPr>
        <w:ind w:left="460" w:right="220" w:firstLine="876"/>
        <w:spacing w:after="0" w:line="277" w:lineRule="auto"/>
        <w:rPr>
          <w:sz w:val="20"/>
          <w:szCs w:val="20"/>
          <w:color w:val="auto"/>
        </w:rPr>
      </w:pPr>
      <w:r>
        <w:rPr>
          <w:rFonts w:ascii="Arial" w:cs="Arial" w:eastAsia="Arial" w:hAnsi="Arial"/>
          <w:sz w:val="18"/>
          <w:szCs w:val="18"/>
          <w:color w:val="auto"/>
        </w:rPr>
        <w:t>A holder of RSUs shall have no rights other than those of a general creditor of the Company. RSUs represent an unfunded and unsecured obligation of the Company, subject to the terms and conditions of the applicable Award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10.5 Purchase of Restricted Stock</w:t>
      </w:r>
    </w:p>
    <w:p>
      <w:pPr>
        <w:spacing w:after="0" w:line="229"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 xml:space="preserve">The Grantee shall be required, to the extent required by applicable law, to purchase the Restricted Stock from the Company at a Purchase Price equal to the greater of (a) the aggregate par value of the Shares represented by such Restricted Stock or (b) the Purchase Price, if any, specified in the related Award Agreement. If specified in the Award Agreement, the Purchase Price may be deemed paid by services already rendered. The Purchase Price shall be payable in a form described in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or, if so determined by the Board, in consideration for past services rendered.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10.6 Delivery of Shares</w:t>
      </w:r>
    </w:p>
    <w:p>
      <w:pPr>
        <w:spacing w:after="0" w:line="229"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Upon the expiration or termination of any Restricted Period and the satisfaction of any other conditions prescribed by the Board, the restrictions applicable to Shares of Restricted Stock or RSUs settled in Shares shall lapse, and, unless otherwise provided in the applicable Award Agreement, a stock certificate for such Shares shall be delivered, free of all such restrictions, to the Grantee or the Grantee’s beneficiary or estate, as the case may be.</w:t>
      </w:r>
    </w:p>
    <w:p>
      <w:pPr>
        <w:spacing w:after="0" w:line="251" w:lineRule="exact"/>
        <w:rPr>
          <w:sz w:val="20"/>
          <w:szCs w:val="20"/>
          <w:color w:val="auto"/>
        </w:rPr>
      </w:pPr>
    </w:p>
    <w:p>
      <w:pPr>
        <w:ind w:left="460" w:right="5780" w:hanging="452"/>
        <w:spacing w:after="0" w:line="407" w:lineRule="auto"/>
        <w:tabs>
          <w:tab w:leader="none" w:pos="26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FORM OF PAYMENT FOR OPTIONS AND RESTRICTED STOCK 11.1 General Rule</w:t>
      </w:r>
    </w:p>
    <w:p>
      <w:pPr>
        <w:spacing w:after="0" w:line="5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Payment of the Option Price for the Shares purchased pursuant to the exercise of an Option or the Purchase Price for Restricted Stock shall be made in cash or in cash equivalents acceptable to the Company, except as provided in this </w:t>
      </w:r>
      <w:r>
        <w:rPr>
          <w:rFonts w:ascii="Arial" w:cs="Arial" w:eastAsia="Arial" w:hAnsi="Arial"/>
          <w:sz w:val="18"/>
          <w:szCs w:val="18"/>
          <w:b w:val="1"/>
          <w:bCs w:val="1"/>
          <w:color w:val="auto"/>
        </w:rPr>
        <w:t>Section 11</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11.2 Surrender of Shares</w:t>
      </w:r>
    </w:p>
    <w:p>
      <w:pPr>
        <w:spacing w:after="0" w:line="229"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To the extent the Award Agreement so provides, payment of the Option Price for Shares purchased pursuant to the exercise of an Option or the Purchase Price for Restricted Stock may be made all or in part through the tender to the Company of Shares, which Shares shall be valued, for purposes of determining the extent to which the Option Price or Purchase Price for Restricted Stock has been paid thereby, at their Fair Market Value on the date of exercise or surrender. Notwithstanding the foregoing, in the case of an Incentive Stock Option, the right to make payment in the form of already-owned Shares may be authorized only at the time of grant.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11.3 Cashless Exercise</w:t>
      </w:r>
    </w:p>
    <w:p>
      <w:pPr>
        <w:spacing w:after="0" w:line="229"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With respect to an Option only (and not with respect to Restricted Stock) following the Initial Public Offering, to the extent permitted by law and to the extent the Award Agreement so provides, payment of the Option Price may be made all or in part by delivery (on a form acceptable to the Company) of an irrevocable direction to a licensed securities broker acceptable to the Company to sell Shares and to deliver all or part of the sales proceeds to the Company in payment of the Option Price and any withholding taxes described in </w:t>
      </w:r>
      <w:r>
        <w:rPr>
          <w:rFonts w:ascii="Arial" w:cs="Arial" w:eastAsia="Arial" w:hAnsi="Arial"/>
          <w:sz w:val="18"/>
          <w:szCs w:val="18"/>
          <w:b w:val="1"/>
          <w:bCs w:val="1"/>
          <w:color w:val="auto"/>
        </w:rPr>
        <w:t>Section 17.3</w:t>
      </w:r>
      <w:r>
        <w:rPr>
          <w:rFonts w:ascii="Arial" w:cs="Arial" w:eastAsia="Arial" w:hAnsi="Arial"/>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11.4 Other Forms of Payment</w:t>
      </w:r>
    </w:p>
    <w:p>
      <w:pPr>
        <w:spacing w:after="0" w:line="229" w:lineRule="exact"/>
        <w:rPr>
          <w:sz w:val="20"/>
          <w:szCs w:val="20"/>
          <w:color w:val="auto"/>
        </w:rPr>
      </w:pPr>
    </w:p>
    <w:p>
      <w:pPr>
        <w:jc w:val="both"/>
        <w:ind w:right="380" w:firstLine="913"/>
        <w:spacing w:after="0" w:line="264" w:lineRule="auto"/>
        <w:rPr>
          <w:sz w:val="20"/>
          <w:szCs w:val="20"/>
          <w:color w:val="auto"/>
        </w:rPr>
      </w:pPr>
      <w:r>
        <w:rPr>
          <w:rFonts w:ascii="Arial" w:cs="Arial" w:eastAsia="Arial" w:hAnsi="Arial"/>
          <w:sz w:val="18"/>
          <w:szCs w:val="18"/>
          <w:color w:val="auto"/>
        </w:rPr>
        <w:t>To the extent the Award Agreement so provides, payment of the Option Price or the Purchase Price for Restricted Stock may be made in any other form that is consistent with applicable laws, regulations and rules, including the Company’s withholding of Shares otherwise due to the exercising Grantee.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92" w:name="page93"/>
    <w:bookmarkEnd w:id="92"/>
    <w:p>
      <w:pPr>
        <w:ind w:left="460" w:right="6260" w:hanging="452"/>
        <w:spacing w:after="0" w:line="407" w:lineRule="auto"/>
        <w:tabs>
          <w:tab w:leader="none" w:pos="27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AND CONDITIONS OF PERFORMANCE AWARDS 12.1 Performance Conditions</w:t>
      </w:r>
    </w:p>
    <w:p>
      <w:pPr>
        <w:spacing w:after="0" w:line="58"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The right of a Grantee to exercise or receive a grant or settlement of any Award, and the timing thereof, may be subject to such performance conditions as may be specified by the Board. The Board may use such business criteria and other measures of performance as it may deem appropriate in establishing any performance conditions, and may reduce the amounts payable under any Award subject to performance conditions, except as limited under </w:t>
      </w:r>
      <w:r>
        <w:rPr>
          <w:rFonts w:ascii="Arial" w:cs="Arial" w:eastAsia="Arial" w:hAnsi="Arial"/>
          <w:sz w:val="18"/>
          <w:szCs w:val="18"/>
          <w:b w:val="1"/>
          <w:bCs w:val="1"/>
          <w:color w:val="auto"/>
        </w:rPr>
        <w:t xml:space="preserve">Section 12.2 </w:t>
      </w:r>
      <w:r>
        <w:rPr>
          <w:rFonts w:ascii="Arial" w:cs="Arial" w:eastAsia="Arial" w:hAnsi="Arial"/>
          <w:sz w:val="18"/>
          <w:szCs w:val="18"/>
          <w:color w:val="auto"/>
        </w:rPr>
        <w:t>in the case of Performance-Based Compensation.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12.2 Performance Awards Granted to Designated Covered Employees</w:t>
      </w:r>
    </w:p>
    <w:p>
      <w:pPr>
        <w:spacing w:after="0" w:line="229"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If and to the extent that the Board determines that a Performance Award to be granted to a Grantee who is designated by the Board as likely to be a Covered Employee should qualify as Performance-Based Compensation, the grant, exercise and/or settlement of such Performance Award shall be contingent upon achievement of pre-established performance goals and other terms set forth in this </w:t>
      </w:r>
      <w:r>
        <w:rPr>
          <w:rFonts w:ascii="Arial" w:cs="Arial" w:eastAsia="Arial" w:hAnsi="Arial"/>
          <w:sz w:val="16"/>
          <w:szCs w:val="16"/>
          <w:b w:val="1"/>
          <w:bCs w:val="1"/>
          <w:color w:val="auto"/>
        </w:rPr>
        <w:t>Section 12.2</w:t>
      </w:r>
      <w:r>
        <w:rPr>
          <w:rFonts w:ascii="Arial" w:cs="Arial" w:eastAsia="Arial" w:hAnsi="Arial"/>
          <w:sz w:val="16"/>
          <w:szCs w:val="16"/>
          <w:color w:val="auto"/>
        </w:rPr>
        <w:t>. Notwithstanding anything herein to the contrary, the Board may provide for Performance Awards to Covered Employees that are not intended qualify as Performance-Based Compensation.</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12.2.1 Performance Goals Generally</w:t>
      </w:r>
    </w:p>
    <w:p>
      <w:pPr>
        <w:spacing w:after="0" w:line="229" w:lineRule="exact"/>
        <w:rPr>
          <w:sz w:val="20"/>
          <w:szCs w:val="20"/>
          <w:color w:val="auto"/>
        </w:rPr>
      </w:pPr>
    </w:p>
    <w:p>
      <w:pPr>
        <w:ind w:left="460" w:firstLine="876"/>
        <w:spacing w:after="0" w:line="287" w:lineRule="auto"/>
        <w:rPr>
          <w:sz w:val="20"/>
          <w:szCs w:val="20"/>
          <w:color w:val="auto"/>
        </w:rPr>
      </w:pPr>
      <w:r>
        <w:rPr>
          <w:rFonts w:ascii="Arial" w:cs="Arial" w:eastAsia="Arial" w:hAnsi="Arial"/>
          <w:sz w:val="16"/>
          <w:szCs w:val="16"/>
          <w:color w:val="auto"/>
        </w:rPr>
        <w:t xml:space="preserve">The performance goals for Performance Awards shall consist of one or more business criteria and a targeted level or levels of performance with respect to each of such criteria, as specified by the Board consistent with this </w:t>
      </w:r>
      <w:r>
        <w:rPr>
          <w:rFonts w:ascii="Arial" w:cs="Arial" w:eastAsia="Arial" w:hAnsi="Arial"/>
          <w:sz w:val="16"/>
          <w:szCs w:val="16"/>
          <w:b w:val="1"/>
          <w:bCs w:val="1"/>
          <w:color w:val="auto"/>
        </w:rPr>
        <w:t>Section 12.2</w:t>
      </w:r>
      <w:r>
        <w:rPr>
          <w:rFonts w:ascii="Arial" w:cs="Arial" w:eastAsia="Arial" w:hAnsi="Arial"/>
          <w:sz w:val="16"/>
          <w:szCs w:val="16"/>
          <w:color w:val="auto"/>
        </w:rPr>
        <w:t>. Following the end of the Transition Period, performance goals shall be objective and shall otherwise meet the requirements of Section 162(m), including the requirement that the level or levels of performance targeted by the Board result in the achievement of performance goals being “substantially uncertain.” The Board may determine that Performance Awards shall be granted, exercised and/or settled upon achievement of any one performance goal or that two or more of the performance goals must be achieved as a condition to grant, exercise and/or settlement of the Performance Awards. Performance goals may be established on a Company-wide basis, or with respect to one or more business units, divisions, Affiliates or business segments, as applicable. Performance goals may be absolute or relative (to the performance of one or more comparable companies or indices). Measurement of performance goals may exclude the impact of charges for restructuring, discontinued operations and other extraordinary, unusual or non-recurring items, and the cumulative effects of tax or accounting changes (each as defined by generally accepted accounting principles and as identified in the Company’s financial statements or other SEC filings). Performance goals may differ for Performance Awards granted to any one Grantee or to different Grantees.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12.2.2 Business Criteria</w:t>
      </w:r>
    </w:p>
    <w:p>
      <w:pPr>
        <w:spacing w:after="0" w:line="229" w:lineRule="exact"/>
        <w:rPr>
          <w:sz w:val="20"/>
          <w:szCs w:val="20"/>
          <w:color w:val="auto"/>
        </w:rPr>
      </w:pPr>
    </w:p>
    <w:p>
      <w:pPr>
        <w:ind w:left="460" w:firstLine="876"/>
        <w:spacing w:after="0" w:line="289" w:lineRule="auto"/>
        <w:rPr>
          <w:sz w:val="20"/>
          <w:szCs w:val="20"/>
          <w:color w:val="auto"/>
        </w:rPr>
      </w:pPr>
      <w:r>
        <w:rPr>
          <w:rFonts w:ascii="Arial" w:cs="Arial" w:eastAsia="Arial" w:hAnsi="Arial"/>
          <w:sz w:val="16"/>
          <w:szCs w:val="16"/>
          <w:color w:val="auto"/>
        </w:rPr>
        <w:t xml:space="preserve">One or more of the following business criteria for the Company, on a consolidated basis, and/or specified Affiliates or business units of the Company (except with respect to the total stockholder return and earnings per share criteria), shall be used exclusively by the Board in establishing performance goals for Performance Awards: (a) cash flow; (b) earnings per share, as adjusted for any stock split, stock dividend or other recapitalization; (c) earnings measures; (d) return on equity; (e) total stockholder return; (f) share price performance, as adjusted for any stock split, stock dividend or other recapitalization; (g) return on capital; (h) revenue; (i) income; (j) profit margin; (k) return on operating revenue; (l) brand recognition or acceptance; (m) customer satisfaction; (n) productivity; (o) expense targets; (p) market share; (q) cost control measures; (r) balance sheet metrics; (s) strategic initiatives; (t) implementation, completion or attainment of measurable objectives with respect to recruitment or retention of personnel or employee satisfaction; or (u) any other business criteria established by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business criteria shall include any derivations of business criteria listed above (e.g., income shall include pre-tax income, net income and operating income).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93" w:name="page94"/>
    <w:bookmarkEnd w:id="93"/>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12.2.3 Timing for Establishing Performance Goals</w:t>
      </w:r>
    </w:p>
    <w:p>
      <w:pPr>
        <w:spacing w:after="0" w:line="229" w:lineRule="exact"/>
        <w:rPr>
          <w:sz w:val="20"/>
          <w:szCs w:val="20"/>
          <w:color w:val="auto"/>
        </w:rPr>
      </w:pPr>
    </w:p>
    <w:p>
      <w:pPr>
        <w:ind w:left="460" w:right="420" w:firstLine="876"/>
        <w:spacing w:after="0" w:line="342" w:lineRule="auto"/>
        <w:rPr>
          <w:sz w:val="20"/>
          <w:szCs w:val="20"/>
          <w:color w:val="auto"/>
        </w:rPr>
      </w:pPr>
      <w:r>
        <w:rPr>
          <w:rFonts w:ascii="Arial" w:cs="Arial" w:eastAsia="Arial" w:hAnsi="Arial"/>
          <w:sz w:val="16"/>
          <w:szCs w:val="16"/>
          <w:color w:val="auto"/>
        </w:rPr>
        <w:t>Following the Transition Period, performance goals shall be established not later than 90 days after the beginning of any performance period applicable to Performance Awards, or at such other date as may be required or permitted for Performance-Based Compensation.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12.2.4 Settlement of Performance Awards; Other Terms</w:t>
      </w:r>
    </w:p>
    <w:p>
      <w:pPr>
        <w:spacing w:after="0" w:line="229" w:lineRule="exact"/>
        <w:rPr>
          <w:sz w:val="20"/>
          <w:szCs w:val="20"/>
          <w:color w:val="auto"/>
        </w:rPr>
      </w:pPr>
    </w:p>
    <w:p>
      <w:pPr>
        <w:ind w:left="460" w:right="620" w:firstLine="876"/>
        <w:spacing w:after="0" w:line="277" w:lineRule="auto"/>
        <w:rPr>
          <w:sz w:val="20"/>
          <w:szCs w:val="20"/>
          <w:color w:val="auto"/>
        </w:rPr>
      </w:pPr>
      <w:r>
        <w:rPr>
          <w:rFonts w:ascii="Arial" w:cs="Arial" w:eastAsia="Arial" w:hAnsi="Arial"/>
          <w:sz w:val="18"/>
          <w:szCs w:val="18"/>
          <w:color w:val="auto"/>
        </w:rPr>
        <w:t>Settlement of Performance Awards may be in cash, Shares, other Awards or other property. The Board may reduce the amount of a settlement otherwise to be made in connection with such Performance Awards.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Written Determinations</w:t>
      </w:r>
    </w:p>
    <w:p>
      <w:pPr>
        <w:spacing w:after="0" w:line="22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All determinations by the Board as to the establishment of performance goals, the amount of any Performance Award pool or potential individual Performance Awards and the achievement of performance goals relating to Performance Awards, shall be made in writing in the case of any Award intended to qualify as Performance-Based Compensation to the extent required by Section 162(m). To the extent permitted by Section 162(m), the Board may delegate any responsibility relating to Performance Awards.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12.4 Status of Section 12.2 Awards under Section 162(m)</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The provisions of this </w:t>
      </w:r>
      <w:r>
        <w:rPr>
          <w:rFonts w:ascii="Arial" w:cs="Arial" w:eastAsia="Arial" w:hAnsi="Arial"/>
          <w:sz w:val="17"/>
          <w:szCs w:val="17"/>
          <w:b w:val="1"/>
          <w:bCs w:val="1"/>
          <w:color w:val="auto"/>
        </w:rPr>
        <w:t>Section 12.4</w:t>
      </w:r>
      <w:r>
        <w:rPr>
          <w:rFonts w:ascii="Arial" w:cs="Arial" w:eastAsia="Arial" w:hAnsi="Arial"/>
          <w:sz w:val="17"/>
          <w:szCs w:val="17"/>
          <w:color w:val="auto"/>
        </w:rPr>
        <w:t xml:space="preserve"> are applicable following the Transition Period. The validity and exercisability of any and all Awards that are intended to qualify as Performance-Based Compensation granted after the Transition Period are contingent upon approval of the Plan by the Stockholders in a manner intended to comply with the stockholder approval requirements of Section 162(m). It is the intent of the Company that Performance Awards under </w:t>
      </w:r>
      <w:r>
        <w:rPr>
          <w:rFonts w:ascii="Arial" w:cs="Arial" w:eastAsia="Arial" w:hAnsi="Arial"/>
          <w:sz w:val="17"/>
          <w:szCs w:val="17"/>
          <w:b w:val="1"/>
          <w:bCs w:val="1"/>
          <w:color w:val="auto"/>
        </w:rPr>
        <w:t xml:space="preserve">Section 12.2 </w:t>
      </w:r>
      <w:r>
        <w:rPr>
          <w:rFonts w:ascii="Arial" w:cs="Arial" w:eastAsia="Arial" w:hAnsi="Arial"/>
          <w:sz w:val="17"/>
          <w:szCs w:val="17"/>
          <w:color w:val="auto"/>
        </w:rPr>
        <w:t>granted to persons who are designated by the Board as likely to be Covered Employees within the meaning of Section 162(m) shall, if so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designated by the Board, qualify as Performance-Based Compensation. Accordingly, the terms of </w:t>
      </w:r>
      <w:r>
        <w:rPr>
          <w:rFonts w:ascii="Arial" w:cs="Arial" w:eastAsia="Arial" w:hAnsi="Arial"/>
          <w:sz w:val="17"/>
          <w:szCs w:val="17"/>
          <w:b w:val="1"/>
          <w:bCs w:val="1"/>
          <w:color w:val="auto"/>
        </w:rPr>
        <w:t>Section 12.2</w:t>
      </w:r>
      <w:r>
        <w:rPr>
          <w:rFonts w:ascii="Arial" w:cs="Arial" w:eastAsia="Arial" w:hAnsi="Arial"/>
          <w:sz w:val="17"/>
          <w:szCs w:val="17"/>
          <w:color w:val="auto"/>
        </w:rPr>
        <w:t>, including the definitions of Covered Employee and other terms used therein, shall be interpreted in a manner consistent with Section 162(m). The foregoing notwithstanding, because the Board cannot determine with certainty whether a given Grantee will be a Covered Employee with respect to a fiscal year that has not yet been completed, the term Covered Employee as used herein shall mean only a person designated by the Board, at the time of grant of Performance Awards, as likely to be a Covered Employee with respect to that fiscal year. If any provision of the Plan or any agreement relating to such Performance Awards does not comply or is inconsistent with the requirements of Section 162(m), such provision shall be construed or deemed amended to the extent necessary to conform to such requirements.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SHARE-BASED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13.1 Grant of Other Share-based Awards</w:t>
      </w:r>
    </w:p>
    <w:p>
      <w:pPr>
        <w:spacing w:after="0" w:line="229"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Other Share-based Awards may be granted either alone or in addition to or in conjunction with other Awards. Other Share-based Awards may be granted in lieu of other cash or other compensation to which a Service Provider is entitled from the Company or may be used in the settlement of amounts payable in Shares under any other compensation plan or arrangement of the Company, including any other Company incentive compensation plan. The Board shall determine the persons to whom and the time or times at which such Awards will be made, the number of Shares to be granted pursuant to such Awards, and all other terms and conditions of such Awards. Unless the Board determines otherwise, any such Award shall be confirmed by an Award Agreement, which shall contain such provisions as the Board determines to be necessary or appropriate to carry out the intent of the Plan with respect to such Award.</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13.2 Terms of Other Share-based Awards</w:t>
      </w:r>
    </w:p>
    <w:p>
      <w:pPr>
        <w:spacing w:after="0" w:line="225" w:lineRule="exact"/>
        <w:rPr>
          <w:sz w:val="20"/>
          <w:szCs w:val="20"/>
          <w:color w:val="auto"/>
        </w:rPr>
      </w:pPr>
    </w:p>
    <w:p>
      <w:pPr>
        <w:ind w:right="340" w:firstLine="913"/>
        <w:spacing w:after="0" w:line="347" w:lineRule="auto"/>
        <w:rPr>
          <w:sz w:val="20"/>
          <w:szCs w:val="20"/>
          <w:color w:val="auto"/>
        </w:rPr>
      </w:pPr>
      <w:r>
        <w:rPr>
          <w:rFonts w:ascii="Arial" w:cs="Arial" w:eastAsia="Arial" w:hAnsi="Arial"/>
          <w:sz w:val="16"/>
          <w:szCs w:val="16"/>
          <w:color w:val="auto"/>
        </w:rPr>
        <w:t xml:space="preserve">Any Common Stock subject to Awards made under this </w:t>
      </w:r>
      <w:r>
        <w:rPr>
          <w:rFonts w:ascii="Arial" w:cs="Arial" w:eastAsia="Arial" w:hAnsi="Arial"/>
          <w:sz w:val="16"/>
          <w:szCs w:val="16"/>
          <w:b w:val="1"/>
          <w:bCs w:val="1"/>
          <w:color w:val="auto"/>
        </w:rPr>
        <w:t>Section 13</w:t>
      </w:r>
      <w:r>
        <w:rPr>
          <w:rFonts w:ascii="Arial" w:cs="Arial" w:eastAsia="Arial" w:hAnsi="Arial"/>
          <w:sz w:val="16"/>
          <w:szCs w:val="16"/>
          <w:color w:val="auto"/>
        </w:rPr>
        <w:t xml:space="preserve"> may not be sold, assigned, transferred, pledged or otherwise encumbered prior to the date on which the Shares are issued, or, if later, the date on which any applicable restriction, performance or deferral period lapses.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94" w:name="page95"/>
    <w:bookmarkEnd w:id="94"/>
    <w:p>
      <w:pPr>
        <w:ind w:left="460" w:right="8920" w:hanging="452"/>
        <w:spacing w:after="0" w:line="407" w:lineRule="auto"/>
        <w:tabs>
          <w:tab w:leader="none" w:pos="27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REQUIREMENTS OF LAW 14.1 General</w:t>
      </w:r>
    </w:p>
    <w:p>
      <w:pPr>
        <w:spacing w:after="0" w:line="5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The Company shall not be required to sell or issue any Shares under any Award if the sale or issuance of such Shares would constitute a violation by the Grantee, any other individual exercising an Option or the Company of any provision of any law or regulation of any governmental authority, including any federal or state securities laws or regulations. If at any time the Board determines that the listing, registration or qualification of any Shares subject to an Award upon any securities exchange or under any governmental regulatory body is necessary or desirable as a condition of, or in connection with, the issuance or purchase of Shares hereunder, no Shares may be issued or sold to the Grantee or any other individual exercising an Option pursuant to such Award unless such listing, registration, qualification, consent or approval shall have been effected or obtained free of any conditions not acceptable to the Company, and any delay caused thereby shall in no way affect the date of termination of the Award. Specifically, in connection with the Securities Act, upon the exercise of any Option or the delivery of any Shares underlying an Award, unless a registration statement under such Act is in effect with respect to the Shares covered by such Award, the Company shall not be required to sell or issue such Shares unless the Board has received evidence satisfactory to it that the Grantee or any other individual exercising an Option may acquire such Shares pursuant to an exemption from registration under the Securities Act. The Company may, but shall in no event be obligated to, register any securities covered hereby pursuant to the Securities Act. The Company shall not be obligated to take any affirmative action in order to cause the exercise of an Option or the issuance of Shares pursuant to the Plan to comply with any law or regulation of any governmental authority. As to any jurisdiction that expressly imposes the requirement that an Option shall not be exercisable until the Shares covered by such Option are registered or are exempt from registration, the exercise of such Option (under circumstances in which the laws of such jurisdiction apply) shall be deemed conditioned upon the effectiveness of such registration or the availability of such an exemption. The Committee may require the Participant to sign such additional documentation, make such representations and furnish such information as it may consider appropriate in connection with the grant of Awards or issuance or delivery of Shares in compliance with applicable laws, rules and regulations.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14.2 Rule 16b-3</w:t>
      </w:r>
    </w:p>
    <w:p>
      <w:pPr>
        <w:spacing w:after="0" w:line="229"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During any time when the Company has a class of equity security registered under Section 12 of the Exchange Act, it is the intent of the Company that Awards and the exercise of Options will qualify for the exemption provided by Rule 16b-3 under the Exchange Act. To the extent that any provision of the Plan or action by the Board or Committee does not comply with the requirements of Rule 16b-3, it shall be deemed inoperative to the extent permitted by law and deemed advisable by the Board, and shall not affect the validity of the Plan. In the event that Rule 16b-3 is revised or replaced, the Board may modify the Plan in any respect necessary to satisfy the requirements of, or to take advantage of any features of, the revised exemption or its replacement.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EFFECT OF CHANGES IN CAPITALIZATION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15.1 Adjustments for Changes in Capital Structure</w:t>
      </w:r>
    </w:p>
    <w:p>
      <w:pPr>
        <w:spacing w:after="0" w:line="229"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Subject to any required action by the Stockholders, in the event of any change in the Common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in a form other than Shares (excepting normal cash dividends) that has a material effect on the Fair Market Value, appropriate and proportionate adjustments shall be made in the number and class of shares subject to the Plan and to any outstanding Awards, and in the Option Price, SAR Exercise Price or Purchase Price per Share of any outstanding Awards in order to prevent dilution or enlargement of Grantees’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 Change in Control) shares of another corporation (the “</w:t>
      </w:r>
      <w:r>
        <w:rPr>
          <w:rFonts w:ascii="Arial" w:cs="Arial" w:eastAsia="Arial" w:hAnsi="Arial"/>
          <w:sz w:val="16"/>
          <w:szCs w:val="16"/>
          <w:b w:val="1"/>
          <w:bCs w:val="1"/>
          <w:color w:val="auto"/>
        </w:rPr>
        <w:t>New Shares</w:t>
      </w:r>
      <w:r>
        <w:rPr>
          <w:rFonts w:ascii="Arial" w:cs="Arial" w:eastAsia="Arial" w:hAnsi="Arial"/>
          <w:sz w:val="16"/>
          <w:szCs w:val="16"/>
          <w:color w:val="auto"/>
        </w:rPr>
        <w:t>”), the Board may unilaterally amend the outstanding Awards to provide that such Awards are for New Shares. In the event of any such amendment, the number of Shares subject to, and the Option Price, SAR Exercise Price or Purchase Price per Share of, the outstanding Awards shall be adjusted in a fair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95" w:name="page96"/>
    <w:bookmarkEnd w:id="9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equitable manner. Any fractional share resulting from an adjustment pursuant to this </w:t>
      </w:r>
      <w:r>
        <w:rPr>
          <w:rFonts w:ascii="Arial" w:cs="Arial" w:eastAsia="Arial" w:hAnsi="Arial"/>
          <w:sz w:val="16"/>
          <w:szCs w:val="16"/>
          <w:b w:val="1"/>
          <w:bCs w:val="1"/>
          <w:color w:val="auto"/>
        </w:rPr>
        <w:t>Section 15.1</w:t>
      </w:r>
      <w:r>
        <w:rPr>
          <w:rFonts w:ascii="Arial" w:cs="Arial" w:eastAsia="Arial" w:hAnsi="Arial"/>
          <w:sz w:val="16"/>
          <w:szCs w:val="16"/>
          <w:color w:val="auto"/>
        </w:rPr>
        <w:t xml:space="preserve"> shall be rounded down to the nearest whole number and the Option Price, SAR Exercise Price or Purchase Price per share shall be rounded up to the nearest whole cent. In no event may the exercise price of any Award be decreased to an amount less than the par value, if any, of the stock subject to the Award. The Board may also make such adjustments in the terms of any Award to reflect, or related to, such changes in the capital structure of the Company or distributions as it deems appropriate. Adjustments determined by the Board pursuant to this </w:t>
      </w:r>
      <w:r>
        <w:rPr>
          <w:rFonts w:ascii="Arial" w:cs="Arial" w:eastAsia="Arial" w:hAnsi="Arial"/>
          <w:sz w:val="16"/>
          <w:szCs w:val="16"/>
          <w:b w:val="1"/>
          <w:bCs w:val="1"/>
          <w:color w:val="auto"/>
        </w:rPr>
        <w:t>Section 15.1</w:t>
      </w:r>
      <w:r>
        <w:rPr>
          <w:rFonts w:ascii="Arial" w:cs="Arial" w:eastAsia="Arial" w:hAnsi="Arial"/>
          <w:sz w:val="16"/>
          <w:szCs w:val="16"/>
          <w:color w:val="auto"/>
        </w:rPr>
        <w:t xml:space="preserve"> shall be made in accordance with Section 409A to the extent applicable.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15.2 Change in Control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15.2.1 Consequences of a Change in Control</w:t>
      </w:r>
    </w:p>
    <w:p>
      <w:pPr>
        <w:spacing w:after="0" w:line="229" w:lineRule="exact"/>
        <w:rPr>
          <w:sz w:val="20"/>
          <w:szCs w:val="20"/>
          <w:color w:val="auto"/>
        </w:rPr>
      </w:pPr>
    </w:p>
    <w:p>
      <w:pPr>
        <w:ind w:left="460" w:right="220" w:firstLine="876"/>
        <w:spacing w:after="0" w:line="277" w:lineRule="auto"/>
        <w:rPr>
          <w:sz w:val="20"/>
          <w:szCs w:val="20"/>
          <w:color w:val="auto"/>
        </w:rPr>
      </w:pPr>
      <w:r>
        <w:rPr>
          <w:rFonts w:ascii="Arial" w:cs="Arial" w:eastAsia="Arial" w:hAnsi="Arial"/>
          <w:sz w:val="18"/>
          <w:szCs w:val="18"/>
          <w:color w:val="auto"/>
        </w:rPr>
        <w:t>Subject to the requirements and limitations of Section 409A if applicable, the Board may provide for any one or more of the following in connection with a Change in Control, which such actions need not be the same for all Grantees:</w:t>
      </w:r>
    </w:p>
    <w:p>
      <w:pPr>
        <w:spacing w:after="0" w:line="72" w:lineRule="exact"/>
        <w:rPr>
          <w:sz w:val="20"/>
          <w:szCs w:val="20"/>
          <w:color w:val="auto"/>
        </w:rPr>
      </w:pPr>
    </w:p>
    <w:p>
      <w:pPr>
        <w:ind w:left="1480" w:right="120" w:hanging="567"/>
        <w:spacing w:after="0" w:line="258" w:lineRule="auto"/>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Accelerated Vesting. </w:t>
      </w:r>
      <w:r>
        <w:rPr>
          <w:rFonts w:ascii="Arial" w:cs="Arial" w:eastAsia="Arial" w:hAnsi="Arial"/>
          <w:sz w:val="18"/>
          <w:szCs w:val="18"/>
          <w:color w:val="auto"/>
        </w:rPr>
        <w:t>The Board may provide in any Award Agreement, or in the event of a Change in Control may take such actions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it deems appropriate to provide, for the acceleration of the exercisability, vesting and/or settlement in connection with such Change in Control of each or any outstanding Award or portion thereof and Shares acquired pursuant thereto upon such terms and conditions, including a Grantee’s Separation from Service prior to, upon, or following such Change in Control, to such extent as determined by the Board.</w:t>
      </w:r>
    </w:p>
    <w:p>
      <w:pPr>
        <w:spacing w:after="0" w:line="89" w:lineRule="exact"/>
        <w:rPr>
          <w:rFonts w:ascii="Arial" w:cs="Arial" w:eastAsia="Arial" w:hAnsi="Arial"/>
          <w:sz w:val="18"/>
          <w:szCs w:val="18"/>
          <w:color w:val="auto"/>
        </w:rPr>
      </w:pPr>
    </w:p>
    <w:p>
      <w:pPr>
        <w:ind w:left="1480" w:right="60" w:hanging="567"/>
        <w:spacing w:after="0" w:line="286" w:lineRule="auto"/>
        <w:tabs>
          <w:tab w:leader="none" w:pos="148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Assumption, Continuation or Substitution. </w:t>
      </w:r>
      <w:r>
        <w:rPr>
          <w:rFonts w:ascii="Arial" w:cs="Arial" w:eastAsia="Arial" w:hAnsi="Arial"/>
          <w:sz w:val="16"/>
          <w:szCs w:val="16"/>
          <w:color w:val="auto"/>
        </w:rPr>
        <w:t>In the event of a Change in Control, the surviving, continuing, successor or purchasing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other business entity or parent thereof, as the case may be (the “</w:t>
      </w:r>
      <w:r>
        <w:rPr>
          <w:rFonts w:ascii="Arial" w:cs="Arial" w:eastAsia="Arial" w:hAnsi="Arial"/>
          <w:sz w:val="16"/>
          <w:szCs w:val="16"/>
          <w:b w:val="1"/>
          <w:bCs w:val="1"/>
          <w:color w:val="auto"/>
        </w:rPr>
        <w:t>Acquiror</w:t>
      </w:r>
      <w:r>
        <w:rPr>
          <w:rFonts w:ascii="Arial" w:cs="Arial" w:eastAsia="Arial" w:hAnsi="Arial"/>
          <w:sz w:val="16"/>
          <w:szCs w:val="16"/>
          <w:i w:val="1"/>
          <w:iCs w:val="1"/>
          <w:color w:val="auto"/>
        </w:rPr>
        <w:t>”</w:t>
      </w:r>
      <w:r>
        <w:rPr>
          <w:rFonts w:ascii="Arial" w:cs="Arial" w:eastAsia="Arial" w:hAnsi="Arial"/>
          <w:sz w:val="16"/>
          <w:szCs w:val="16"/>
          <w:color w:val="auto"/>
        </w:rPr>
        <w:t xml:space="preserve">), may, without the consent of any Grantee,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w:t>
      </w:r>
      <w:r>
        <w:rPr>
          <w:rFonts w:ascii="Arial" w:cs="Arial" w:eastAsia="Arial" w:hAnsi="Arial"/>
          <w:sz w:val="16"/>
          <w:szCs w:val="16"/>
          <w:b w:val="1"/>
          <w:bCs w:val="1"/>
          <w:color w:val="auto"/>
        </w:rPr>
        <w:t>Section 15.2.1</w:t>
      </w:r>
      <w:r>
        <w:rPr>
          <w:rFonts w:ascii="Arial" w:cs="Arial" w:eastAsia="Arial" w:hAnsi="Arial"/>
          <w:sz w:val="16"/>
          <w:szCs w:val="16"/>
          <w:color w:val="auto"/>
        </w:rPr>
        <w:t xml:space="preserve">, an Award denominated in Shares shall be deemed assumed if, following the Change in Control, the Award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Stockholder on the effective date of the Change in Control was entitled;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consideration is not solely common stock of the Acquiror, the Board may, with the consent of the Acquiror, provide for the consideration to be received upon the exercise or settlement of the Award, for each Share subject to the Award, to consist solely of common stock of the Acquiror equal in Fair Market Value to the per Share consideration received by Stockholders pursuant to the Change in Control. If any portion of such consideration may be received by Stockholders pursuant to the Change in Control on a contingent or delayed basis, the Board may determine such Fair Market Value as of the time of the Change in Control on the basis of the Board’s estimate of the present value of the probable future payment of such consideration.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286" w:lineRule="exact"/>
        <w:rPr>
          <w:rFonts w:ascii="Arial" w:cs="Arial" w:eastAsia="Arial" w:hAnsi="Arial"/>
          <w:sz w:val="16"/>
          <w:szCs w:val="16"/>
          <w:color w:val="auto"/>
        </w:rPr>
      </w:pPr>
    </w:p>
    <w:p>
      <w:pPr>
        <w:ind w:left="1480" w:right="140" w:hanging="567"/>
        <w:spacing w:after="0" w:line="261" w:lineRule="auto"/>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Cash-Out of Awards</w:t>
      </w:r>
      <w:r>
        <w:rPr>
          <w:rFonts w:ascii="Arial" w:cs="Arial" w:eastAsia="Arial" w:hAnsi="Arial"/>
          <w:sz w:val="18"/>
          <w:szCs w:val="18"/>
          <w:color w:val="auto"/>
        </w:rPr>
        <w:t>. The Board may, without the consent of any Grantee, determine that, upon the occurrence of a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each or any Award or a portion thereof outstanding immediately prior to the Change in Control and not previously exercised or settled shall be canceled in exchange for a payment with respect to each vested Share (and each unvested Share, if so determined by the Board) subject to such canceled Award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96" w:name="page97"/>
    <w:bookmarkEnd w:id="96"/>
    <w:p>
      <w:pPr>
        <w:ind w:left="1020"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(i) cash, (ii) stock of the Company or of a corporation or other business entity a party to the Change in Control or (iii) other property which, in any such case, shall be in an amount having a Fair Market Value equal to the Fair Market Value of the consideration to be paid per Share in the Change in Control, reduced by the exercise or purchase price per Share, if any, under such Award. If any portion of such consideration may be received by Stockholders pursuant to the Change in Control on a contingent or delayed basis, the Board may determine such Fair Market Value as of the time of the Change in Control on the basis of the Board’s estimate of the present value of the probable future payment of such consideration. In the event such determination is made by the Board, the amount of such payment (reduced by applicable withholding taxes, if any) shall be paid to Grantees in respect of the vested portions of their canceled Awards as soon as practicable following the date of the Change in Control and in respect of the unvested portions of their canceled Awards in accordance with the vesting schedules applicable to such Awards. For avoidance of doubt, if the amount determined pursuant to this Section 15.2.1(c) for an Option or SAR is zero or less, the affected Option or SAR may be cancelled without any payment therefore.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15.2.2 Change in Control Defined</w:t>
      </w:r>
    </w:p>
    <w:p>
      <w:pPr>
        <w:spacing w:after="0" w:line="225" w:lineRule="exact"/>
        <w:rPr>
          <w:sz w:val="20"/>
          <w:szCs w:val="20"/>
          <w:color w:val="auto"/>
        </w:rPr>
      </w:pPr>
    </w:p>
    <w:p>
      <w:pPr>
        <w:ind w:right="320" w:firstLine="876"/>
        <w:spacing w:after="0" w:line="282" w:lineRule="auto"/>
        <w:rPr>
          <w:sz w:val="20"/>
          <w:szCs w:val="20"/>
          <w:color w:val="auto"/>
        </w:rPr>
      </w:pPr>
      <w:r>
        <w:rPr>
          <w:rFonts w:ascii="Arial" w:cs="Arial" w:eastAsia="Arial" w:hAnsi="Arial"/>
          <w:sz w:val="18"/>
          <w:szCs w:val="18"/>
          <w:color w:val="auto"/>
        </w:rPr>
        <w:t>Unless other provided in the applicable Award Agreement, a “</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in a single transaction or in a series of related transactions, of any one or more of the following events following the Effective Date:</w:t>
      </w:r>
    </w:p>
    <w:p>
      <w:pPr>
        <w:spacing w:after="0" w:line="71" w:lineRule="exact"/>
        <w:rPr>
          <w:sz w:val="20"/>
          <w:szCs w:val="20"/>
          <w:color w:val="auto"/>
        </w:rPr>
      </w:pPr>
    </w:p>
    <w:p>
      <w:pPr>
        <w:ind w:left="1020" w:right="20" w:hanging="567"/>
        <w:spacing w:after="0" w:line="268" w:lineRule="auto"/>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Exchange Act Person becomes the Owner, directly or indirectly, of securities of the Company representing more than fifty percent of the combined voting power of the Company’s then outstanding securities other than by virtue of a merger, consolidation or similar transaction; provided that, notwithstanding the foregoing, a Change in Control shall not be deemed to occur (i) on account of the acquisition of securities of the Company directly from the Company, (ii)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(iii) solely because the level of Ownership held by any Exchange Act Person (the “</w:t>
      </w:r>
      <w:r>
        <w:rPr>
          <w:rFonts w:ascii="Arial" w:cs="Arial" w:eastAsia="Arial" w:hAnsi="Arial"/>
          <w:sz w:val="17"/>
          <w:szCs w:val="17"/>
          <w:b w:val="1"/>
          <w:bCs w:val="1"/>
          <w:color w:val="auto"/>
        </w:rPr>
        <w:t>Subject Person</w:t>
      </w:r>
      <w:r>
        <w:rPr>
          <w:rFonts w:ascii="Arial" w:cs="Arial" w:eastAsia="Arial" w:hAnsi="Arial"/>
          <w:sz w:val="17"/>
          <w:szCs w:val="17"/>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93" w:lineRule="exact"/>
        <w:rPr>
          <w:rFonts w:ascii="Arial" w:cs="Arial" w:eastAsia="Arial" w:hAnsi="Arial"/>
          <w:sz w:val="17"/>
          <w:szCs w:val="17"/>
          <w:color w:val="auto"/>
        </w:rPr>
      </w:pPr>
    </w:p>
    <w:p>
      <w:pPr>
        <w:ind w:left="1020" w:hanging="567"/>
        <w:spacing w:after="0" w:line="255"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(i) outstanding voting securities representing more than fifty percent of the combined outstanding voting power of the surviving entity in such merger, consolidation or similar transaction or (ii) more than fifty percent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94" w:lineRule="exact"/>
        <w:rPr>
          <w:rFonts w:ascii="Arial" w:cs="Arial" w:eastAsia="Arial" w:hAnsi="Arial"/>
          <w:sz w:val="18"/>
          <w:szCs w:val="18"/>
          <w:color w:val="auto"/>
        </w:rPr>
      </w:pPr>
    </w:p>
    <w:p>
      <w:pPr>
        <w:ind w:left="1020" w:right="580" w:hanging="567"/>
        <w:spacing w:after="0" w:line="277"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the Subsidiaries, other</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97" w:name="page98"/>
    <w:bookmarkEnd w:id="97"/>
    <w:p>
      <w:pPr>
        <w:ind w:left="148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a sale, lease, license or other disposition of all or substantially all of the consolidated assets of the Company and the Subsidiaries to an entity, more than fifty percent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88" w:lineRule="exact"/>
        <w:rPr>
          <w:sz w:val="20"/>
          <w:szCs w:val="20"/>
          <w:color w:val="auto"/>
        </w:rPr>
      </w:pPr>
    </w:p>
    <w:p>
      <w:pPr>
        <w:ind w:left="1480" w:right="200" w:hanging="567"/>
        <w:spacing w:after="0" w:line="281" w:lineRule="auto"/>
        <w:tabs>
          <w:tab w:leader="none" w:pos="1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individuals who, on the date hereof, are members of the Board (the “</w:t>
      </w:r>
      <w:r>
        <w:rPr>
          <w:rFonts w:ascii="Arial" w:cs="Arial" w:eastAsia="Arial" w:hAnsi="Arial"/>
          <w:sz w:val="17"/>
          <w:szCs w:val="17"/>
          <w:b w:val="1"/>
          <w:bCs w:val="1"/>
          <w:color w:val="auto"/>
        </w:rPr>
        <w:t>Incumbent Board</w:t>
      </w:r>
      <w:r>
        <w:rPr>
          <w:rFonts w:ascii="Arial" w:cs="Arial" w:eastAsia="Arial" w:hAnsi="Arial"/>
          <w:sz w:val="17"/>
          <w:szCs w:val="17"/>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Agreement, be considered as a member of the Incumbent Board.</w:t>
      </w:r>
    </w:p>
    <w:p>
      <w:pPr>
        <w:spacing w:after="0" w:line="169"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Notwithstanding the foregoing, if it is determined that an Award is subject to the requirements of Section 409A and payable upon a Change in Control, the Company will not be deemed to have undergone a Change in Control for purposes of the Plan unless the Company is deemed to have undergone a “change in control event” pursuant to the definition of such term in Section 409A.</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15.3 Adjustments</w:t>
      </w:r>
    </w:p>
    <w:p>
      <w:pPr>
        <w:spacing w:after="0" w:line="225"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 xml:space="preserve">Adjustments under this </w:t>
      </w:r>
      <w:r>
        <w:rPr>
          <w:rFonts w:ascii="Arial" w:cs="Arial" w:eastAsia="Arial" w:hAnsi="Arial"/>
          <w:sz w:val="18"/>
          <w:szCs w:val="18"/>
          <w:b w:val="1"/>
          <w:bCs w:val="1"/>
          <w:color w:val="auto"/>
        </w:rPr>
        <w:t>Section 15</w:t>
      </w:r>
      <w:r>
        <w:rPr>
          <w:rFonts w:ascii="Arial" w:cs="Arial" w:eastAsia="Arial" w:hAnsi="Arial"/>
          <w:sz w:val="18"/>
          <w:szCs w:val="18"/>
          <w:color w:val="auto"/>
        </w:rPr>
        <w:t xml:space="preserve"> related to Shares or other securities of the Company shall be made by the Board. No fractional Shares or other securities shall be issued pursuant to any such adjustment, and any fractions resulting from any such adjustment shall be eliminated in each case by rounding downward to the nearest whole Share.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No Limitations on Company</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making of Awards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285" w:lineRule="exact"/>
        <w:rPr>
          <w:sz w:val="20"/>
          <w:szCs w:val="20"/>
          <w:color w:val="auto"/>
        </w:rPr>
      </w:pPr>
    </w:p>
    <w:p>
      <w:pPr>
        <w:ind w:left="460" w:right="4440" w:hanging="452"/>
        <w:spacing w:after="0" w:line="407" w:lineRule="auto"/>
        <w:tabs>
          <w:tab w:leader="none" w:pos="27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TERMS APPLICABLE GENERALLY TO AWARDS GRANTED UNDER THE PLAN 17.1 Disclaimer of Rights</w:t>
      </w:r>
    </w:p>
    <w:p>
      <w:pPr>
        <w:spacing w:after="0" w:line="58"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No provision in the Plan or in any Award Agreement shall be construed to confer upon any individual the right to remain in the employ or service of the Company or any Affiliate, or to interfere in any way with any contractual or other right or authority of the Company or any Affiliate either to increase or decrease the compensation or other payments to any individual at any time, or to terminate any employment or other relationship between any individual and the Company or any Affiliate. In addition, notwithstanding anything contained in the Plan to the contrary, unless otherwise provided in the applicable Award Agreement, no Award granted under the Plan shall be affected by any change of duties or position of the Grantee, so long as such Grantee continues to be a Service Provider. The obligation of the Company to pay any benefits pursuant to the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of the Plan.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17.2 Nonexclusivity of the Plan</w:t>
      </w:r>
    </w:p>
    <w:p>
      <w:pPr>
        <w:spacing w:after="0" w:line="229"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Neither the adoption of the Plan nor the submission of the Plan to the Stockholders for approval shall be construed as creating any limitations upon the right or authority of the Board or its delegate to adopt such other compensation arrangements as the Board or its delegate determines desirable.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17.3 Withholding Taxes</w:t>
      </w:r>
    </w:p>
    <w:p>
      <w:pPr>
        <w:spacing w:after="0" w:line="229"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The Company or an Affiliate, as the case may be, shall have the right to deduct from payments of any kind otherwise due to a Grantee any federal, state or local taxes of any kind required by law to be withheld (a) with respect to the vesting of or other lapse of restrictions applicable to an Award,</w:t>
      </w:r>
    </w:p>
    <w:p>
      <w:pPr>
        <w:ind w:right="40" w:firstLine="8"/>
        <w:spacing w:after="0" w:line="268" w:lineRule="auto"/>
        <w:tabs>
          <w:tab w:leader="none" w:pos="2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upon the issuance of any Shares upon the exercise of an Option or SAR or (c) otherwise due in connection with an Award. At the time of such vesting, lapse or exercise, the Grantee shall pay to the Company or the Affiliate, as the case may be, any amount that the Company or the Affiliate may reasonably determine to be necessary to satisfy such withholding obligation. Subject to the prior approval of the Board, the Grantee may elect to satisfy such obligations, in whole or in part, (i) by causing the Company or the Affiliate to withhold the minimum required number of Shares otherwise issuable to the Grantee as may be necessary to satisfy such withholding obligation or (ii) by delivering to the Company or the Affiliate Shares already owned by the Grantee. The Shares so delivered or withheld shall have an aggregate Fair Market Value equal to such withholding obligations. The Fair Market Value of the Shares used to satisfy such withholding obligation shall be determined by the Company or the Affiliate as of the date that the amount of tax to be withheld is to be determined. A Grantee who has made an election pursuant to this </w:t>
      </w:r>
      <w:r>
        <w:rPr>
          <w:rFonts w:ascii="Arial" w:cs="Arial" w:eastAsia="Arial" w:hAnsi="Arial"/>
          <w:sz w:val="17"/>
          <w:szCs w:val="17"/>
          <w:b w:val="1"/>
          <w:bCs w:val="1"/>
          <w:color w:val="auto"/>
        </w:rPr>
        <w:t>Section 17.3</w:t>
      </w:r>
      <w:r>
        <w:rPr>
          <w:rFonts w:ascii="Arial" w:cs="Arial" w:eastAsia="Arial" w:hAnsi="Arial"/>
          <w:sz w:val="17"/>
          <w:szCs w:val="17"/>
          <w:color w:val="auto"/>
        </w:rPr>
        <w:t xml:space="preserve"> may satisfy his or her withholding obligation only with Shares that are not subject to any repurchase, forfeiture, unfulfilled vesting or other similar requirements.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17.4 Right of First Refusal; Right to Repurchase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17.4.1 Right of First Refusal</w:t>
      </w:r>
    </w:p>
    <w:p>
      <w:pPr>
        <w:spacing w:after="0" w:line="229" w:lineRule="exact"/>
        <w:rPr>
          <w:sz w:val="20"/>
          <w:szCs w:val="20"/>
          <w:color w:val="auto"/>
        </w:rPr>
      </w:pPr>
    </w:p>
    <w:p>
      <w:pPr>
        <w:ind w:left="460" w:firstLine="876"/>
        <w:spacing w:after="0" w:line="286" w:lineRule="auto"/>
        <w:rPr>
          <w:sz w:val="20"/>
          <w:szCs w:val="20"/>
          <w:color w:val="auto"/>
        </w:rPr>
      </w:pPr>
      <w:r>
        <w:rPr>
          <w:rFonts w:ascii="Arial" w:cs="Arial" w:eastAsia="Arial" w:hAnsi="Arial"/>
          <w:sz w:val="16"/>
          <w:szCs w:val="16"/>
          <w:color w:val="auto"/>
        </w:rPr>
        <w:t>Unless otherwise provided in the applicable Award Agreement, stockholders’ agreement or other agreement to which a Holder is a party, at any time prior to registration by the Company of its Common Stock under Section 12 of the Exchange Act, in the event that the Holder desires at any time to sell or otherwise transfer all or any part of such Holder’s Issued Shares (to the extent vested), the Holder first shall give written notice to the Company of the Holder’s intention to make such transfer. Such notice shall state the number of Issued Shares which the Holder proposes to sell (the “</w:t>
      </w:r>
      <w:r>
        <w:rPr>
          <w:rFonts w:ascii="Arial" w:cs="Arial" w:eastAsia="Arial" w:hAnsi="Arial"/>
          <w:sz w:val="16"/>
          <w:szCs w:val="16"/>
          <w:b w:val="1"/>
          <w:bCs w:val="1"/>
          <w:color w:val="auto"/>
        </w:rPr>
        <w:t>Offered Shares</w:t>
      </w:r>
      <w:r>
        <w:rPr>
          <w:rFonts w:ascii="Arial" w:cs="Arial" w:eastAsia="Arial" w:hAnsi="Arial"/>
          <w:sz w:val="16"/>
          <w:szCs w:val="16"/>
          <w:color w:val="auto"/>
        </w:rPr>
        <w:t xml:space="preserve">”),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w:t>
      </w:r>
      <w:r>
        <w:rPr>
          <w:rFonts w:ascii="Arial" w:cs="Arial" w:eastAsia="Arial" w:hAnsi="Arial"/>
          <w:sz w:val="16"/>
          <w:szCs w:val="16"/>
          <w:b w:val="1"/>
          <w:bCs w:val="1"/>
          <w:color w:val="auto"/>
        </w:rPr>
        <w:t>Section 17.4.1</w:t>
      </w:r>
      <w:r>
        <w:rPr>
          <w:rFonts w:ascii="Arial" w:cs="Arial" w:eastAsia="Arial" w:hAnsi="Arial"/>
          <w:sz w:val="16"/>
          <w:szCs w:val="16"/>
          <w:color w:val="auto"/>
        </w:rPr>
        <w:t>,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may, within 60 days thereafter, sell the Offered Shares to the proposed transferee at the same price and on the same terms as specified in the Holder’s notice. Any Issued Shares purchased by such proposed transferee shall continue to be subject to the terms of the Plan. Any Issued Shares not sold to the proposed transferee shall remain subject to the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17.4.2 Right of Repurchase</w:t>
      </w:r>
    </w:p>
    <w:p>
      <w:pPr>
        <w:spacing w:after="0" w:line="229" w:lineRule="exact"/>
        <w:rPr>
          <w:sz w:val="20"/>
          <w:szCs w:val="20"/>
          <w:color w:val="auto"/>
        </w:rPr>
      </w:pPr>
    </w:p>
    <w:p>
      <w:pPr>
        <w:ind w:left="460" w:right="140" w:firstLine="876"/>
        <w:spacing w:after="0" w:line="255" w:lineRule="auto"/>
        <w:rPr>
          <w:sz w:val="20"/>
          <w:szCs w:val="20"/>
          <w:color w:val="auto"/>
        </w:rPr>
      </w:pPr>
      <w:r>
        <w:rPr>
          <w:rFonts w:ascii="Arial" w:cs="Arial" w:eastAsia="Arial" w:hAnsi="Arial"/>
          <w:sz w:val="18"/>
          <w:szCs w:val="18"/>
          <w:color w:val="auto"/>
        </w:rPr>
        <w:t>Unless otherwise provided in the applicable Award Agreement, stockholders’ agreement or other agreement to which a Grantee is a party, at any time prior to registration by the Company of its Common Stock under Section 12 of the Exchange Act, in the case of any Grantee whose Separation from Service is for Cause, or where the Grantee has, in the Board’s reasonable determination, taken any action prior to or following his Separation from Service which would have constituted grounds for Cause, the Company shall have the right, exercisable at any time and from time to time thereafter, to repurchase from the Grantee (or any successor in interest by purchase, gift or other mode of transfer) any Shares issued to such Grantee under the Plan for the purchase price paid by the Grantee for such Shares (or the Fair Market Value of such Common Stock at the time of repurchase, if lower).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17.5 Market Standoff Requirement</w:t>
      </w:r>
    </w:p>
    <w:p>
      <w:pPr>
        <w:spacing w:after="0" w:line="229"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Unless otherwise provided in the applicable Award Agreement, stockholders’ agreement or other agreement to which a Grantee is a party, in connection with any underwritten public offering of its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99" w:name="page100"/>
    <w:bookmarkEnd w:id="99"/>
    <w:p>
      <w:pPr>
        <w:ind w:right="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Offering</w:t>
      </w:r>
      <w:r>
        <w:rPr>
          <w:rFonts w:ascii="Arial" w:cs="Arial" w:eastAsia="Arial" w:hAnsi="Arial"/>
          <w:sz w:val="17"/>
          <w:szCs w:val="17"/>
          <w:color w:val="auto"/>
        </w:rPr>
        <w:t>”) and upon request of the Company or the underwriters managing the Offering, Grantees shall not be permitted to sell, make any short sale of, loan, grant any option for the purchase of, or otherwise directly or indirectly dispose of any Shares delivered under the Plan (other than those Shares included in the Offering) without the prior written consent of the Company or such underwriters, as the case may be, for such period of time from the effective date of the registration statement with respect to such Offering as may be requested by the Company or such managing underwriters and to execute an agreement reflecting the foregoing as may be requested by the underwriters in connection with such Offering.</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17.6 Other Provisions; Legends</w:t>
      </w:r>
    </w:p>
    <w:p>
      <w:pPr>
        <w:spacing w:after="0" w:line="229"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Each Award Agreement may contain such other terms and conditions not inconsistent with the Plan as may be determined by the Board. Any stock certificates for any Shares issued under the Plan shall be subject to such stop-transfer orders and other restrictions as the Company in its sole discretion may deem advisable under the rules, regulations and other requirements of the SEC, any securities exchange on which the Common Stock may then be listed and any applicable federal or state securities law, and the Company in its sole discretion may cause a legend or legends to be placed on such certificates to make appropriate reference to such restrictions.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17.7 Severability</w:t>
      </w:r>
    </w:p>
    <w:p>
      <w:pPr>
        <w:spacing w:after="0" w:line="229"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17.8 Governing Law</w:t>
      </w:r>
    </w:p>
    <w:p>
      <w:pPr>
        <w:spacing w:after="0" w:line="22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Plan shall be governed by and construed in accordance with the internal laws of the State of Delaware without regard to the principles of conflicts of law thereof or principles of conflicts of laws of any other jurisdiction that could cause the application of the laws of any jurisdiction other than the State of Delaware. For purposes of resolving any dispute that arises directly or indirectly in connection with the Plan, each Participant, by virtue of receiving an Award, shall be deemed to have submitted to and consented to the exclusive jurisdiction of the State of Delaware and to have agreed that any related litigation shall be conducted solely in the state courts of Delaware and any federal court located in the State of Delaware, where the Plan is made and/or to be performed, and no other courts.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17.9 Section 409A</w:t>
      </w:r>
    </w:p>
    <w:p>
      <w:pPr>
        <w:spacing w:after="0" w:line="22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Plan is intended to comply with Section 409A to the extent subject thereto,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applicable laws require otherwise. Notwithstanding anything to the contrary in the Plan, to the extent required to avoid accelerated taxation and tax penalties under Section 409A, amounts that would otherwise be payable and benefits that would otherwise be provided pursuant to the Plan during the six-month period immediately following the Grantee’s Separation from Service shall instead be paid on the first payroll date after the six-month anniversary of the Grantee’s Separation from Service (or the Grantee’s death, if earlier). Notwithstanding the foregoing, neither the Company nor the Committee shall have any obligation to take any action to prevent the assessment of any excise tax or penalty on any Grantee under Section 409A and neither the Company nor the Board shall have any liability to any Grantee for such tax or penalty.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17.10 Separation from Service</w:t>
      </w:r>
    </w:p>
    <w:p>
      <w:pPr>
        <w:spacing w:after="0" w:line="22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Board shall determine the effect of a Separation from Service upon Awards, and such effect shall be set forth in the applicable Award Agreement. Without limiting the foregoing, the Board may provide in the Award Agreements at the time of grant, or any time thereafter with the consent of the Grantee, the actions that will be taken upon the occurrence of a Separation from Service, including accelerated vesting or termination, depending upon the circumstances surrounding the Separation from Service.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0" w:right="27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17.11 Transferability of Awards and Issued Shares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17.11.1 Transfers in General</w:t>
      </w:r>
    </w:p>
    <w:p>
      <w:pPr>
        <w:spacing w:after="0" w:line="229" w:lineRule="exact"/>
        <w:rPr>
          <w:sz w:val="20"/>
          <w:szCs w:val="20"/>
          <w:color w:val="auto"/>
        </w:rPr>
      </w:pPr>
    </w:p>
    <w:p>
      <w:pPr>
        <w:ind w:right="20" w:firstLine="1484"/>
        <w:spacing w:after="0" w:line="264" w:lineRule="auto"/>
        <w:rPr>
          <w:sz w:val="20"/>
          <w:szCs w:val="20"/>
          <w:color w:val="auto"/>
        </w:rPr>
      </w:pPr>
      <w:r>
        <w:rPr>
          <w:rFonts w:ascii="Arial" w:cs="Arial" w:eastAsia="Arial" w:hAnsi="Arial"/>
          <w:sz w:val="18"/>
          <w:szCs w:val="18"/>
          <w:color w:val="auto"/>
        </w:rPr>
        <w:t>No Award shall be assignable or transferable by the Grantee to whom it is granted, other than by will, the laws of descent and distribution or pursuant to a domestic relations order by a court of competent jurisdiction, and, during the lifetime of the Grantee, only the Grantee personally (or the Grantee’s personal representative) may exercise rights under the Plan.</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17.11.2 Issued Shares</w:t>
      </w:r>
    </w:p>
    <w:p>
      <w:pPr>
        <w:spacing w:after="0" w:line="229" w:lineRule="exact"/>
        <w:rPr>
          <w:sz w:val="20"/>
          <w:szCs w:val="20"/>
          <w:color w:val="auto"/>
        </w:rPr>
      </w:pPr>
    </w:p>
    <w:p>
      <w:pPr>
        <w:ind w:right="40" w:firstLine="1484"/>
        <w:spacing w:after="0" w:line="284" w:lineRule="auto"/>
        <w:rPr>
          <w:sz w:val="20"/>
          <w:szCs w:val="20"/>
          <w:color w:val="auto"/>
        </w:rPr>
      </w:pPr>
      <w:r>
        <w:rPr>
          <w:rFonts w:ascii="Arial" w:cs="Arial" w:eastAsia="Arial" w:hAnsi="Arial"/>
          <w:sz w:val="16"/>
          <w:szCs w:val="16"/>
          <w:color w:val="auto"/>
        </w:rPr>
        <w:t xml:space="preserve">No Issued Shares shall be sold, assigned, transferred, pledged, hypothecated, given away or in any other manner disposed of or encumbered, whether voluntarily or by operation of law, unless (a) such transfer is in compliance with the terms of the applicable Award, all applicable securities laws, and with the terms and conditions of the Plan (including </w:t>
      </w:r>
      <w:r>
        <w:rPr>
          <w:rFonts w:ascii="Arial" w:cs="Arial" w:eastAsia="Arial" w:hAnsi="Arial"/>
          <w:sz w:val="16"/>
          <w:szCs w:val="16"/>
          <w:b w:val="1"/>
          <w:bCs w:val="1"/>
          <w:color w:val="auto"/>
        </w:rPr>
        <w:t>Sections 17.4</w:t>
      </w:r>
      <w:r>
        <w:rPr>
          <w:rFonts w:ascii="Arial" w:cs="Arial" w:eastAsia="Arial" w:hAnsi="Arial"/>
          <w:sz w:val="16"/>
          <w:szCs w:val="16"/>
          <w:color w:val="auto"/>
        </w:rPr>
        <w:t xml:space="preserve"> and </w:t>
      </w:r>
      <w:r>
        <w:rPr>
          <w:rFonts w:ascii="Arial" w:cs="Arial" w:eastAsia="Arial" w:hAnsi="Arial"/>
          <w:sz w:val="16"/>
          <w:szCs w:val="16"/>
          <w:b w:val="1"/>
          <w:bCs w:val="1"/>
          <w:color w:val="auto"/>
        </w:rPr>
        <w:t>17.5</w:t>
      </w:r>
      <w:r>
        <w:rPr>
          <w:rFonts w:ascii="Arial" w:cs="Arial" w:eastAsia="Arial" w:hAnsi="Arial"/>
          <w:sz w:val="16"/>
          <w:szCs w:val="16"/>
          <w:color w:val="auto"/>
        </w:rPr>
        <w:t xml:space="preserve"> and this </w:t>
      </w:r>
      <w:r>
        <w:rPr>
          <w:rFonts w:ascii="Arial" w:cs="Arial" w:eastAsia="Arial" w:hAnsi="Arial"/>
          <w:sz w:val="16"/>
          <w:szCs w:val="16"/>
          <w:b w:val="1"/>
          <w:bCs w:val="1"/>
          <w:color w:val="auto"/>
        </w:rPr>
        <w:t>Section 17.11.2</w:t>
      </w:r>
      <w:r>
        <w:rPr>
          <w:rFonts w:ascii="Arial" w:cs="Arial" w:eastAsia="Arial" w:hAnsi="Arial"/>
          <w:sz w:val="16"/>
          <w:szCs w:val="16"/>
          <w:color w:val="auto"/>
        </w:rPr>
        <w:t xml:space="preserve">), (b) such transfer does not cause the Company to become subject to the reporting requirements of the Exchange Act, and (c) the transferee consents in writing to be bound by the terms and conditions of the Plan (including </w:t>
      </w:r>
      <w:r>
        <w:rPr>
          <w:rFonts w:ascii="Arial" w:cs="Arial" w:eastAsia="Arial" w:hAnsi="Arial"/>
          <w:sz w:val="16"/>
          <w:szCs w:val="16"/>
          <w:b w:val="1"/>
          <w:bCs w:val="1"/>
          <w:color w:val="auto"/>
        </w:rPr>
        <w:t>Sections 17.4</w:t>
      </w:r>
      <w:r>
        <w:rPr>
          <w:rFonts w:ascii="Arial" w:cs="Arial" w:eastAsia="Arial" w:hAnsi="Arial"/>
          <w:sz w:val="16"/>
          <w:szCs w:val="16"/>
          <w:color w:val="auto"/>
        </w:rPr>
        <w:t xml:space="preserve"> and </w:t>
      </w:r>
      <w:r>
        <w:rPr>
          <w:rFonts w:ascii="Arial" w:cs="Arial" w:eastAsia="Arial" w:hAnsi="Arial"/>
          <w:sz w:val="16"/>
          <w:szCs w:val="16"/>
          <w:b w:val="1"/>
          <w:bCs w:val="1"/>
          <w:color w:val="auto"/>
        </w:rPr>
        <w:t>17.5</w:t>
      </w:r>
      <w:r>
        <w:rPr>
          <w:rFonts w:ascii="Arial" w:cs="Arial" w:eastAsia="Arial" w:hAnsi="Arial"/>
          <w:sz w:val="16"/>
          <w:szCs w:val="16"/>
          <w:color w:val="auto"/>
        </w:rPr>
        <w:t xml:space="preserve"> and this </w:t>
      </w:r>
      <w:r>
        <w:rPr>
          <w:rFonts w:ascii="Arial" w:cs="Arial" w:eastAsia="Arial" w:hAnsi="Arial"/>
          <w:sz w:val="16"/>
          <w:szCs w:val="16"/>
          <w:b w:val="1"/>
          <w:bCs w:val="1"/>
          <w:color w:val="auto"/>
        </w:rPr>
        <w:t>Section 17.11.2</w:t>
      </w:r>
      <w:r>
        <w:rPr>
          <w:rFonts w:ascii="Arial" w:cs="Arial" w:eastAsia="Arial" w:hAnsi="Arial"/>
          <w:sz w:val="16"/>
          <w:szCs w:val="16"/>
          <w:color w:val="auto"/>
        </w:rPr>
        <w:t>). In connection with any proposed transfer, the Board may require the transferor to provide at the transferor’s own expense an opinion of counsel to the transferor, satisfactory to the Board, that such transfer is in compliance with all foreign, federal and state securities laws. Any attempted disposition of Issued Shares not in accordance with the terms and conditions of this</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Section 17.11.2 </w:t>
      </w:r>
      <w:r>
        <w:rPr>
          <w:rFonts w:ascii="Arial" w:cs="Arial" w:eastAsia="Arial" w:hAnsi="Arial"/>
          <w:sz w:val="18"/>
          <w:szCs w:val="18"/>
          <w:color w:val="auto"/>
        </w:rPr>
        <w:t>shall be null and void, and the Company shall not reflect on its records any change in record ownership of any Issued Shares as a result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disposition, shall otherwise refuse to recognize any such disposition and shall not in any way give effect to any such disposition of Issued Shares. Subject to the foregoing general provisions, and unless otherwise provided in the applicable Award Agreement, Issued Shares may be transferred pursuant to the following specific terms and conditions:</w:t>
      </w:r>
    </w:p>
    <w:p>
      <w:pPr>
        <w:spacing w:after="0" w:line="91" w:lineRule="exact"/>
        <w:rPr>
          <w:sz w:val="20"/>
          <w:szCs w:val="20"/>
          <w:color w:val="auto"/>
        </w:rPr>
      </w:pPr>
    </w:p>
    <w:p>
      <w:pPr>
        <w:ind w:left="1920" w:right="100" w:hanging="440"/>
        <w:spacing w:after="0" w:line="303" w:lineRule="auto"/>
        <w:tabs>
          <w:tab w:leader="none" w:pos="192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Transfers to Permitted Transferees</w:t>
      </w:r>
      <w:r>
        <w:rPr>
          <w:rFonts w:ascii="Arial" w:cs="Arial" w:eastAsia="Arial" w:hAnsi="Arial"/>
          <w:sz w:val="16"/>
          <w:szCs w:val="16"/>
          <w:color w:val="auto"/>
        </w:rPr>
        <w:t>. The Holder may sell, assign, transfer or give away any or all of the Issued Shares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Permitted Transferees;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following such sale, assignment or other transfer, such Issued Shares shall continue to be subject to the terms of the Plan (including </w:t>
      </w:r>
      <w:r>
        <w:rPr>
          <w:rFonts w:ascii="Arial" w:cs="Arial" w:eastAsia="Arial" w:hAnsi="Arial"/>
          <w:sz w:val="16"/>
          <w:szCs w:val="16"/>
          <w:b w:val="1"/>
          <w:bCs w:val="1"/>
          <w:color w:val="auto"/>
        </w:rPr>
        <w:t>Sections 17.4</w:t>
      </w:r>
      <w:r>
        <w:rPr>
          <w:rFonts w:ascii="Arial" w:cs="Arial" w:eastAsia="Arial" w:hAnsi="Arial"/>
          <w:sz w:val="16"/>
          <w:szCs w:val="16"/>
          <w:color w:val="auto"/>
        </w:rPr>
        <w:t xml:space="preserve"> and </w:t>
      </w:r>
      <w:r>
        <w:rPr>
          <w:rFonts w:ascii="Arial" w:cs="Arial" w:eastAsia="Arial" w:hAnsi="Arial"/>
          <w:sz w:val="16"/>
          <w:szCs w:val="16"/>
          <w:b w:val="1"/>
          <w:bCs w:val="1"/>
          <w:color w:val="auto"/>
        </w:rPr>
        <w:t>17.5</w:t>
      </w:r>
      <w:r>
        <w:rPr>
          <w:rFonts w:ascii="Arial" w:cs="Arial" w:eastAsia="Arial" w:hAnsi="Arial"/>
          <w:sz w:val="16"/>
          <w:szCs w:val="16"/>
          <w:color w:val="auto"/>
        </w:rPr>
        <w:t xml:space="preserve"> and this </w:t>
      </w:r>
      <w:r>
        <w:rPr>
          <w:rFonts w:ascii="Arial" w:cs="Arial" w:eastAsia="Arial" w:hAnsi="Arial"/>
          <w:sz w:val="16"/>
          <w:szCs w:val="16"/>
          <w:b w:val="1"/>
          <w:bCs w:val="1"/>
          <w:color w:val="auto"/>
        </w:rPr>
        <w:t>Section 17.11.2</w:t>
      </w:r>
      <w:r>
        <w:rPr>
          <w:rFonts w:ascii="Arial" w:cs="Arial" w:eastAsia="Arial" w:hAnsi="Arial"/>
          <w:sz w:val="16"/>
          <w:szCs w:val="16"/>
          <w:color w:val="auto"/>
        </w:rPr>
        <w:t>) and such Permitted Transferee(s) shall, as a condition to any such transfer, deliver a written acknowledgment to that effect to the Company.</w:t>
      </w:r>
    </w:p>
    <w:p>
      <w:pPr>
        <w:spacing w:after="0" w:line="56" w:lineRule="exact"/>
        <w:rPr>
          <w:rFonts w:ascii="Arial" w:cs="Arial" w:eastAsia="Arial" w:hAnsi="Arial"/>
          <w:sz w:val="16"/>
          <w:szCs w:val="16"/>
          <w:color w:val="auto"/>
        </w:rPr>
      </w:pPr>
    </w:p>
    <w:p>
      <w:pPr>
        <w:ind w:left="1920" w:right="80" w:hanging="440"/>
        <w:spacing w:after="0" w:line="281" w:lineRule="auto"/>
        <w:tabs>
          <w:tab w:leader="none" w:pos="192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Transfers upon Death</w:t>
      </w:r>
      <w:r>
        <w:rPr>
          <w:rFonts w:ascii="Arial" w:cs="Arial" w:eastAsia="Arial" w:hAnsi="Arial"/>
          <w:sz w:val="17"/>
          <w:szCs w:val="17"/>
          <w:color w:val="auto"/>
        </w:rPr>
        <w:t>. Upon the death of the Holder, any Issued Shares then held by the Holder at the time of such death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Issued Shares acquired thereafter by the Holder’s legal representative shall be subject to the terms and conditions of the Plan, and the Holder’s estate, executors, administrators, personal representatives, heirs, legatees and distributees shall be obligated to convey such Issued Shares to the Company or its assigns under the terms contemplated hereby.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17.12 Dividends and Dividend Equivalent Rights</w:t>
      </w:r>
    </w:p>
    <w:p>
      <w:pPr>
        <w:spacing w:after="0" w:line="229"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If specified in the Award Agreement, the recipient of an Award may be entitled to receive, currently or on a deferred basis, dividends or dividend equivalents with respect to the Common Stock or other securities covered by an Award. The terms and conditions of a dividend equivalent right may be set forth in the Award Agreement. Dividend equivalents credited to a Grantee may be paid currently or may be deemed to be reinvested in additional Shares or other securities of the Company at a price per unit equal to the Fair Market Value on the date that such dividend was paid to Stockholders.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17.13 Data Protection</w:t>
      </w:r>
    </w:p>
    <w:p>
      <w:pPr>
        <w:spacing w:after="0" w:line="229"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A Participant’s acceptance of an Award shall be deemed to constitute the Participant’s acknowledgement of and consent to the collection and processing of personal data relating to the Participant so that the Company and the Affiliates can fulfill their obligations and exercise their rights under the Plan and generally administer and manage the Plan. This data shall include data about participation in the Plan and Shares offered or received, purchased or sold under the Plan and other appropriate financial and other data (such as the date on which the Awards were granted) about the Participant and the Participant’s participation in the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101" w:name="page102"/>
    <w:bookmarkEnd w:id="10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17.14 Section 25102(o) of the California Corporations Code</w:t>
      </w:r>
    </w:p>
    <w:p>
      <w:pPr>
        <w:spacing w:after="0" w:line="229" w:lineRule="exact"/>
        <w:rPr>
          <w:sz w:val="20"/>
          <w:szCs w:val="20"/>
          <w:color w:val="auto"/>
        </w:rPr>
      </w:pPr>
    </w:p>
    <w:p>
      <w:pPr>
        <w:ind w:right="300" w:firstLine="913"/>
        <w:spacing w:after="0" w:line="286" w:lineRule="auto"/>
        <w:rPr>
          <w:sz w:val="20"/>
          <w:szCs w:val="20"/>
          <w:color w:val="auto"/>
        </w:rPr>
      </w:pPr>
      <w:r>
        <w:rPr>
          <w:rFonts w:ascii="Arial" w:cs="Arial" w:eastAsia="Arial" w:hAnsi="Arial"/>
          <w:sz w:val="16"/>
          <w:szCs w:val="16"/>
          <w:color w:val="auto"/>
        </w:rPr>
        <w:t>This Plan is intended to comply with Section 25102(o) of the California Corporations Code. In that regard, to the extent required by Section 25102(o), (a) the terms of any Options or SARs, to the extent vested and exercisable upon a Grantee’s Separation from Service, shall include any minimum exercise periods following Separation from Service specified by Section 25102(o), and (b) any repurchase right of the Company with respect to shares of Stock issued under the Plan shall include a minimum 90-day notice requirement. Any provision of this Plan which is inconsistent with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Section 25102(o) shall, without further act or amendment by the Company or the Board, be reformed to comply with the requirements of Section 25102(o).</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17.15 Plan Construction</w:t>
      </w:r>
    </w:p>
    <w:p>
      <w:pPr>
        <w:spacing w:after="0" w:line="229"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In the Plan, unless otherwise stated, the following uses apply: (a) references to a statute or law refer to the statute or law and any amendments and any successor statutes or laws, and to all valid and binding governmental regulations, court decisions and other regulatory and judicial authority issued or rendered thereunder, as amended, or their successors, as in effect at the relevant time; (b) in computing periods from a specified date to a later specified date, the words “from” and “commencing on” (and the like) mean “from and including,” and the words “to,” “until” and “ending on” (and the like) mean “to and including”; (c) indications of time of day shall be based upon the time applicable to the location of the principal headquarters of the Company; (d) the words “include,” “includes” and “including” (and the like) mean “include, without limitation,” “includes, without limitation” and “including, without limitation” (and the like), respectively; (e) all references to articles and sections are to articles and sections in the Plan; (f) all words used shall be construed to be of such gender or number as the circumstances and context require; (g) the captions and headings of articles and sections have been inserted solely for convenience of reference and shall not be considered a part of the Plan, nor shall any of them affect the meaning or interpretation of the Plan or any of its provisions; (h) any reference to an agreement, plan, policy, form, document or set of documents, and the rights and obligations of the parties under any such agreement, plan, policy, form, document or set of documents, shall mean such agreement, plan, policy, form, document or set of documents as amended from time to time, and any and all modifications, extensions, renewals, substitutions or replacements thereof; and (i) all accounting terms not specifically defined shall be construed in accordance with GAAP.</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Adopted by the Board: December 28, 2016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Approved by the Stockholders: October 31, 2017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Scheduled Termination Date: December 27, 2026</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0" w:right="2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56" w:lineRule="exact"/>
        <w:rPr>
          <w:sz w:val="20"/>
          <w:szCs w:val="20"/>
          <w:color w:val="auto"/>
        </w:rPr>
      </w:pPr>
    </w:p>
    <w:p>
      <w:pPr>
        <w:spacing w:after="0"/>
        <w:tabs>
          <w:tab w:leader="none" w:pos="8560" w:val="left"/>
        </w:tabs>
        <w:rPr>
          <w:sz w:val="20"/>
          <w:szCs w:val="20"/>
          <w:color w:val="auto"/>
        </w:rPr>
      </w:pPr>
      <w:r>
        <w:rPr>
          <w:rFonts w:ascii="Arial" w:cs="Arial" w:eastAsia="Arial" w:hAnsi="Arial"/>
          <w:sz w:val="18"/>
          <w:szCs w:val="18"/>
          <w:color w:val="auto"/>
        </w:rPr>
        <w:t>Warrant Shares: 80,000</w:t>
      </w:r>
      <w:r>
        <w:rPr>
          <w:sz w:val="20"/>
          <w:szCs w:val="20"/>
          <w:color w:val="auto"/>
        </w:rPr>
        <w:tab/>
      </w:r>
      <w:r>
        <w:rPr>
          <w:rFonts w:ascii="Arial" w:cs="Arial" w:eastAsia="Arial" w:hAnsi="Arial"/>
          <w:sz w:val="16"/>
          <w:szCs w:val="16"/>
          <w:color w:val="auto"/>
        </w:rPr>
        <w:t>Original Issue Date: November 2, 2017</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CLASS A COMMON STOCK PURCHASE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 Roth Capital Partners, LLC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November 2, 2017 (the “</w:t>
      </w:r>
      <w:r>
        <w:rPr>
          <w:rFonts w:ascii="Arial" w:cs="Arial" w:eastAsia="Arial" w:hAnsi="Arial"/>
          <w:sz w:val="17"/>
          <w:szCs w:val="17"/>
          <w:u w:val="single" w:color="auto"/>
          <w:color w:val="auto"/>
        </w:rPr>
        <w:t>Original Issue Date</w:t>
      </w:r>
      <w:r>
        <w:rPr>
          <w:rFonts w:ascii="Arial" w:cs="Arial" w:eastAsia="Arial" w:hAnsi="Arial"/>
          <w:sz w:val="17"/>
          <w:szCs w:val="17"/>
          <w:color w:val="auto"/>
        </w:rPr>
        <w:t>”) and, in accordance with FINRA Rule 5110(f)(2)(H)(i), will expire at 5:00 p.m. (New York time) 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November 1, 2022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but not thereafter, to subscribe for and purchase from ACM Research, Inc. a Delaware corporation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up to 80,000 shares (as subject to adjustment hereunder, the “</w:t>
      </w:r>
      <w:r>
        <w:rPr>
          <w:rFonts w:ascii="Arial" w:cs="Arial" w:eastAsia="Arial" w:hAnsi="Arial"/>
          <w:sz w:val="16"/>
          <w:szCs w:val="16"/>
          <w:u w:val="single" w:color="auto"/>
          <w:color w:val="auto"/>
        </w:rPr>
        <w:t>Warrant Shares</w:t>
      </w:r>
      <w:r>
        <w:rPr>
          <w:rFonts w:ascii="Arial" w:cs="Arial" w:eastAsia="Arial" w:hAnsi="Arial"/>
          <w:sz w:val="16"/>
          <w:szCs w:val="16"/>
          <w:color w:val="auto"/>
        </w:rPr>
        <w:t>”) of the Company’s Class A common stock, $0.0001 par value per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w:t>
      </w:r>
      <w:r>
        <w:rPr>
          <w:rFonts w:ascii="Arial" w:cs="Arial" w:eastAsia="Arial" w:hAnsi="Arial"/>
          <w:sz w:val="17"/>
          <w:szCs w:val="17"/>
          <w:u w:val="single" w:color="auto"/>
          <w:color w:val="auto"/>
        </w:rPr>
        <w:t>Common Stock</w:t>
      </w:r>
      <w:r>
        <w:rPr>
          <w:rFonts w:ascii="Arial" w:cs="Arial" w:eastAsia="Arial" w:hAnsi="Arial"/>
          <w:sz w:val="17"/>
          <w:szCs w:val="17"/>
          <w:color w:val="auto"/>
        </w:rPr>
        <w:t>”). The purchase price of one share of Common Stock under this Warrant shall be equal to the Exercise Price,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2(b).</w:t>
      </w:r>
    </w:p>
    <w:p>
      <w:pPr>
        <w:spacing w:after="0" w:line="21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Agreement, the following terms have the meanings indicated in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w:t>
      </w:r>
    </w:p>
    <w:p>
      <w:pPr>
        <w:spacing w:after="0" w:line="103" w:lineRule="exact"/>
        <w:rPr>
          <w:sz w:val="20"/>
          <w:szCs w:val="20"/>
          <w:color w:val="auto"/>
        </w:rPr>
      </w:pPr>
    </w:p>
    <w:p>
      <w:pPr>
        <w:ind w:left="460" w:right="40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460" w:right="40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left="460" w:right="1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means any securities of the Company which would entitle the holder thereof to acquire at any time shares of Common Stock including any debt, preferred stock, rights, options, warrants or other instrument that is at any time convertible into or exercisable for, or otherwise entitles the holder thereof to receive, Common Stock.</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left="460" w:right="6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03" w:name="page104"/>
    <w:bookmarkEnd w:id="1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117" w:lineRule="exact"/>
        <w:rPr>
          <w:sz w:val="20"/>
          <w:szCs w:val="20"/>
          <w:color w:val="auto"/>
        </w:rPr>
      </w:pPr>
    </w:p>
    <w:p>
      <w:pPr>
        <w:jc w:val="both"/>
        <w:ind w:right="2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the Nasdaq Capital Market, the Nasdaq Global Market, the Nasdaq Global Select Market, the New York Stock Exchange or the OTC Bulletin Board (or any successors to any of the foregoing).</w:t>
      </w:r>
    </w:p>
    <w:p>
      <w:pPr>
        <w:spacing w:after="0" w:line="73" w:lineRule="exact"/>
        <w:rPr>
          <w:sz w:val="20"/>
          <w:szCs w:val="20"/>
          <w:color w:val="auto"/>
        </w:rPr>
      </w:pPr>
    </w:p>
    <w:p>
      <w:pPr>
        <w:ind w:right="48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Computershare Trust Company, N.A., the current transfer agent of the Company, with a mailing address of 480 Washington Bouleva, Jersey City, New Jersey 07310 and a facsimile number of 201-680-4606, and any successor transfer agent of the Company.</w:t>
      </w:r>
    </w:p>
    <w:p>
      <w:pPr>
        <w:spacing w:after="0" w:line="16" w:lineRule="exact"/>
        <w:rPr>
          <w:sz w:val="20"/>
          <w:szCs w:val="20"/>
          <w:color w:val="auto"/>
        </w:rPr>
      </w:pPr>
    </w:p>
    <w:p>
      <w:pPr>
        <w:ind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means the Underwriting Agreement dated November 2, 2017, between the Company and Roth Capital Partners, LLC, as representative of the several Underwriters named therein.</w:t>
      </w:r>
    </w:p>
    <w:p>
      <w:pPr>
        <w:spacing w:after="0" w:line="62" w:lineRule="exact"/>
        <w:rPr>
          <w:sz w:val="20"/>
          <w:szCs w:val="20"/>
          <w:color w:val="auto"/>
        </w:rPr>
      </w:pPr>
    </w:p>
    <w:p>
      <w:pPr>
        <w:ind w:right="160" w:firstLine="43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(or, if not reported on Bloomberg, L.P., another reporting service reasonably agreed to by the parties) (based on a Trading Day from 9:30 a.m. (New York City time) to 4:02 p.m. (New York City time)), (b) if the Common Stock is not then listed or quoted for trading on a Trading Market and if prices for the Common Stock are then reported in the “Pink Sheets” published by Pink OTC Markets, Inc. (or a similar organization or agency succeeding to its functions of reporting prices), the most recent bid price per share of the Common Stock so reported, or (c) 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29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117" w:lineRule="exact"/>
        <w:rPr>
          <w:sz w:val="20"/>
          <w:szCs w:val="20"/>
          <w:color w:val="auto"/>
        </w:rPr>
      </w:pPr>
    </w:p>
    <w:p>
      <w:pPr>
        <w:ind w:right="220" w:firstLine="443"/>
        <w:spacing w:after="0" w:line="255" w:lineRule="auto"/>
        <w:tabs>
          <w:tab w:leader="none" w:pos="7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Exercise of the purchase rights represented by this Warrant may be made, in whole or in part, at any time or times on or after the Original Issue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(or email attachment) of the Notice of Exercise form annexed hereto and, within two (2) Trading Days of the date said Notice of Exercise is delivered to the Company, payment of the aggregate Exercise Price of the shares thereby purchased by wire transfer or cashier’s check drawn on a United States bank or, if available, pursuant</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104" w:name="page105"/>
    <w:bookmarkEnd w:id="10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the cashless exercise procedure specified in Section 2(c) below if specified in the applicable Notice of Exercise.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two (2)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Business Day of receipt of such notice. </w:t>
      </w:r>
      <w:r>
        <w:rPr>
          <w:rFonts w:ascii="Arial" w:cs="Arial" w:eastAsia="Arial" w:hAnsi="Arial"/>
          <w:sz w:val="16"/>
          <w:szCs w:val="16"/>
          <w:b w:val="1"/>
          <w:bCs w:val="1"/>
          <w:color w:val="auto"/>
        </w:rPr>
        <w:t>The Holder and any assignee, by acceptance of this Warrant, acknowledge</w:t>
      </w:r>
      <w:r>
        <w:rPr>
          <w:rFonts w:ascii="Arial" w:cs="Arial" w:eastAsia="Arial" w:hAnsi="Arial"/>
          <w:sz w:val="16"/>
          <w:szCs w:val="16"/>
          <w:color w:val="auto"/>
        </w:rPr>
        <w:t xml:space="preserve"> </w:t>
      </w:r>
      <w:r>
        <w:rPr>
          <w:rFonts w:ascii="Arial" w:cs="Arial" w:eastAsia="Arial" w:hAnsi="Arial"/>
          <w:sz w:val="16"/>
          <w:szCs w:val="16"/>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61" w:lineRule="exact"/>
        <w:rPr>
          <w:sz w:val="20"/>
          <w:szCs w:val="20"/>
          <w:color w:val="auto"/>
        </w:rPr>
      </w:pPr>
    </w:p>
    <w:p>
      <w:pPr>
        <w:ind w:right="240" w:firstLine="443"/>
        <w:spacing w:after="0" w:line="277" w:lineRule="auto"/>
        <w:tabs>
          <w:tab w:leader="none" w:pos="76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the Common Stock under this Warrant shall be $6.16,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520" w:firstLine="443"/>
        <w:spacing w:after="0" w:line="342" w:lineRule="auto"/>
        <w:tabs>
          <w:tab w:leader="none" w:pos="75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This Warrant may be exercised, in whole or in part, by means of a “cashless exercise” in which the Holder shall be entitled to receive a certificate for the number of Warrant Shares equal to the quotient obtained by dividing [(A-B) (X)] by (A), where:</w:t>
      </w:r>
    </w:p>
    <w:p>
      <w:pPr>
        <w:spacing w:after="0" w:line="29" w:lineRule="exact"/>
        <w:rPr>
          <w:rFonts w:ascii="Arial" w:cs="Arial" w:eastAsia="Arial" w:hAnsi="Arial"/>
          <w:sz w:val="16"/>
          <w:szCs w:val="16"/>
          <w:color w:val="auto"/>
        </w:rPr>
      </w:pPr>
    </w:p>
    <w:p>
      <w:pPr>
        <w:ind w:left="1020" w:hanging="567"/>
        <w:spacing w:after="0" w:line="259" w:lineRule="auto"/>
        <w:tabs>
          <w:tab w:leader="none" w:pos="748" w:val="left"/>
        </w:tabs>
        <w:numPr>
          <w:ilvl w:val="1"/>
          <w:numId w:val="65"/>
        </w:numPr>
        <w:rPr>
          <w:rFonts w:ascii="Arial" w:cs="Arial" w:eastAsia="Arial" w:hAnsi="Arial"/>
          <w:sz w:val="18"/>
          <w:szCs w:val="18"/>
          <w:color w:val="auto"/>
        </w:rPr>
      </w:pPr>
      <w:r>
        <w:rPr>
          <w:rFonts w:ascii="Arial" w:cs="Arial" w:eastAsia="Arial" w:hAnsi="Arial"/>
          <w:sz w:val="18"/>
          <w:szCs w:val="18"/>
          <w:color w:val="auto"/>
        </w:rPr>
        <w:t>= the last VWAP immediately preceding the time of delivery of the Notice of Exercise giving rise to the applicable “cashless exercise”, as set forth in the applicable Notice of Exercise (to clarify, the “last VWAP” will be the last VWAP as calculated over an entire Trading Day such that, in the event that this Warrant is exercised at a time that the Trading Market is open, the prior Trading Day’s VWAP shall be used in this calculation);</w:t>
      </w:r>
    </w:p>
    <w:p>
      <w:pPr>
        <w:spacing w:after="0" w:line="92" w:lineRule="exact"/>
        <w:rPr>
          <w:rFonts w:ascii="Arial" w:cs="Arial" w:eastAsia="Arial" w:hAnsi="Arial"/>
          <w:sz w:val="18"/>
          <w:szCs w:val="18"/>
          <w:color w:val="auto"/>
        </w:rPr>
      </w:pPr>
    </w:p>
    <w:p>
      <w:pPr>
        <w:ind w:left="740" w:hanging="287"/>
        <w:spacing w:after="0"/>
        <w:tabs>
          <w:tab w:leader="none" w:pos="7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131" w:lineRule="exact"/>
        <w:rPr>
          <w:sz w:val="20"/>
          <w:szCs w:val="20"/>
          <w:color w:val="auto"/>
        </w:rPr>
      </w:pPr>
    </w:p>
    <w:p>
      <w:pPr>
        <w:ind w:left="1020" w:right="180" w:hanging="567"/>
        <w:spacing w:after="0" w:line="277" w:lineRule="auto"/>
        <w:tabs>
          <w:tab w:leader="none" w:pos="7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62" w:lineRule="exact"/>
        <w:rPr>
          <w:sz w:val="20"/>
          <w:szCs w:val="20"/>
          <w:color w:val="auto"/>
        </w:rPr>
      </w:pPr>
    </w:p>
    <w:p>
      <w:pPr>
        <w:ind w:right="320" w:firstLine="438"/>
        <w:spacing w:after="0" w:line="277" w:lineRule="auto"/>
        <w:rPr>
          <w:sz w:val="20"/>
          <w:szCs w:val="20"/>
          <w:color w:val="auto"/>
        </w:rPr>
      </w:pPr>
      <w:r>
        <w:rPr>
          <w:rFonts w:ascii="Arial" w:cs="Arial" w:eastAsia="Arial" w:hAnsi="Arial"/>
          <w:sz w:val="18"/>
          <w:szCs w:val="18"/>
          <w:color w:val="auto"/>
        </w:rPr>
        <w:t>Notwithstanding anything herein to the contrary, on the Termination Date, this Warrant shall be automatically exercised via cashless exercise pursuant to this Section 2(c).</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74" w:right="279" w:bottom="1440" w:gutter="0" w:footer="0" w:header="0"/>
        </w:sectPr>
      </w:pPr>
    </w:p>
    <w:bookmarkStart w:id="105" w:name="page106"/>
    <w:bookmarkEnd w:id="105"/>
    <w:p>
      <w:pPr>
        <w:ind w:left="337" w:hanging="337"/>
        <w:spacing w:after="0"/>
        <w:tabs>
          <w:tab w:leader="none" w:pos="33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Mechanics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97" w:firstLine="389"/>
        <w:spacing w:after="0" w:line="285" w:lineRule="auto"/>
        <w:tabs>
          <w:tab w:leader="none" w:pos="1269"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Delivery of Certificates Upon Exercise</w:t>
      </w:r>
      <w:r>
        <w:rPr>
          <w:rFonts w:ascii="Arial" w:cs="Arial" w:eastAsia="Arial" w:hAnsi="Arial"/>
          <w:sz w:val="16"/>
          <w:szCs w:val="16"/>
          <w:color w:val="auto"/>
        </w:rPr>
        <w:t>. Certificates for shares purchased hereunder shall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two (2) Trading Days after the latest of (x) the delivery to the Company of the Notice of Exercise, (y) surrender of this Warrant (if required) and (z) payment of the aggregate Exercise Price as set forth above (including by cashless exercise, if permitted)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(or by cashless exercise, if permitted) and all taxes required to be paid by the Holder, if any, pursuant to Section 2(d)(vi) prior to the issuance of such shares, having been paid. If the Company fails for any reason to deliver to the Holder certificates evidencing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certificates are delivered or Holder rescinds such exercise. The Company agrees to maintain a transfer agent that is a participant in the FAST program so long as this Warrant remains outstanding and exerciseable.</w:t>
      </w:r>
    </w:p>
    <w:p>
      <w:pPr>
        <w:spacing w:after="0" w:line="62" w:lineRule="exact"/>
        <w:rPr>
          <w:rFonts w:ascii="Arial" w:cs="Arial" w:eastAsia="Arial" w:hAnsi="Arial"/>
          <w:sz w:val="16"/>
          <w:szCs w:val="16"/>
          <w:color w:val="auto"/>
        </w:rPr>
      </w:pPr>
    </w:p>
    <w:p>
      <w:pPr>
        <w:ind w:left="597" w:firstLine="389"/>
        <w:spacing w:after="0" w:line="276" w:lineRule="auto"/>
        <w:tabs>
          <w:tab w:leader="none" w:pos="1319"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certificate or certificates representing Warrant Shares (or at the time the Holder’s or its designee’s balance account is credited through DWAC pursuant to Section 2(d)(i)), deliver to the Holder a new Warrant evidencing the rights of the Holder to purchase the unpurchased Warrant Shares called for by this Warrant, which new Warrant shall in all other respects be identical with this Warrant.</w:t>
      </w:r>
    </w:p>
    <w:p>
      <w:pPr>
        <w:spacing w:after="0" w:line="105" w:lineRule="exact"/>
        <w:rPr>
          <w:sz w:val="20"/>
          <w:szCs w:val="20"/>
          <w:color w:val="auto"/>
        </w:rPr>
      </w:pPr>
    </w:p>
    <w:p>
      <w:pPr>
        <w:ind w:left="475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97"/>
          </w:cols>
          <w:pgMar w:left="1143" w:top="274" w:right="259" w:bottom="1440" w:gutter="0" w:footer="0" w:header="0"/>
        </w:sectPr>
      </w:pPr>
    </w:p>
    <w:bookmarkStart w:id="106" w:name="page107"/>
    <w:bookmarkEnd w:id="106"/>
    <w:p>
      <w:pPr>
        <w:jc w:val="both"/>
        <w:ind w:left="300" w:right="240" w:firstLine="389"/>
        <w:spacing w:after="0" w:line="264" w:lineRule="auto"/>
        <w:tabs>
          <w:tab w:leader="none" w:pos="107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Rescission Rights</w:t>
      </w:r>
      <w:r>
        <w:rPr>
          <w:rFonts w:ascii="Arial" w:cs="Arial" w:eastAsia="Arial" w:hAnsi="Arial"/>
          <w:sz w:val="18"/>
          <w:szCs w:val="18"/>
          <w:color w:val="auto"/>
        </w:rPr>
        <w:t>. If the Company fails to cause the Transfer Agent to transmit to the Holder a certificate or the certificates representing the Warrant Shares pursuant to Section 2(d)(i) by the Warrant Share Delivery Date, then the Holder will have the right to rescind such exercise.</w:t>
      </w:r>
    </w:p>
    <w:p>
      <w:pPr>
        <w:spacing w:after="0" w:line="73" w:lineRule="exact"/>
        <w:rPr>
          <w:rFonts w:ascii="Arial" w:cs="Arial" w:eastAsia="Arial" w:hAnsi="Arial"/>
          <w:sz w:val="18"/>
          <w:szCs w:val="18"/>
          <w:color w:val="auto"/>
        </w:rPr>
      </w:pPr>
    </w:p>
    <w:p>
      <w:pPr>
        <w:ind w:left="300" w:firstLine="389"/>
        <w:spacing w:after="0" w:line="285" w:lineRule="auto"/>
        <w:tabs>
          <w:tab w:leader="none" w:pos="105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Certificates Upon Exercise</w:t>
      </w:r>
      <w:r>
        <w:rPr>
          <w:rFonts w:ascii="Arial" w:cs="Arial" w:eastAsia="Arial" w:hAnsi="Arial"/>
          <w:sz w:val="16"/>
          <w:szCs w:val="16"/>
          <w:color w:val="auto"/>
        </w:rPr>
        <w:t>. In addition to any other rights available to the Holder, if the Company fails to cause the Transfer Agent to transmit to the Holder a certificate or the certificates representing the Warrant Shares (or otherwise credit Holder’s or its designee’s balance account through DWAC pursuant to Section 2(d)(i))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60" w:lineRule="exact"/>
        <w:rPr>
          <w:rFonts w:ascii="Arial" w:cs="Arial" w:eastAsia="Arial" w:hAnsi="Arial"/>
          <w:sz w:val="16"/>
          <w:szCs w:val="16"/>
          <w:color w:val="auto"/>
        </w:rPr>
      </w:pPr>
    </w:p>
    <w:p>
      <w:pPr>
        <w:jc w:val="both"/>
        <w:ind w:left="300" w:right="160" w:firstLine="389"/>
        <w:spacing w:after="0" w:line="264"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w:t>
      </w:r>
    </w:p>
    <w:p>
      <w:pPr>
        <w:spacing w:after="0" w:line="1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80"/>
          </w:cols>
          <w:pgMar w:left="1440" w:top="274" w:right="279" w:bottom="1440" w:gutter="0" w:footer="0" w:header="0"/>
        </w:sectPr>
      </w:pPr>
    </w:p>
    <w:bookmarkStart w:id="107" w:name="page108"/>
    <w:bookmarkEnd w:id="107"/>
    <w:p>
      <w:pPr>
        <w:ind w:left="10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either pay a cash adjustment in respect of such final fraction in an amount equal to such fraction multiplied by the Exercise Price or round up to the next whole share.</w:t>
      </w:r>
    </w:p>
    <w:p>
      <w:pPr>
        <w:spacing w:after="0" w:line="62" w:lineRule="exact"/>
        <w:rPr>
          <w:sz w:val="20"/>
          <w:szCs w:val="20"/>
          <w:color w:val="auto"/>
        </w:rPr>
      </w:pPr>
    </w:p>
    <w:p>
      <w:pPr>
        <w:ind w:left="1040" w:right="20" w:firstLine="389"/>
        <w:spacing w:after="0" w:line="291" w:lineRule="auto"/>
        <w:tabs>
          <w:tab w:leader="none" w:pos="1802"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w:t>
      </w:r>
    </w:p>
    <w:p>
      <w:pPr>
        <w:spacing w:after="0" w:line="59" w:lineRule="exact"/>
        <w:rPr>
          <w:rFonts w:ascii="Arial" w:cs="Arial" w:eastAsia="Arial" w:hAnsi="Arial"/>
          <w:sz w:val="16"/>
          <w:szCs w:val="16"/>
          <w:color w:val="auto"/>
        </w:rPr>
      </w:pPr>
    </w:p>
    <w:p>
      <w:pPr>
        <w:ind w:left="1040" w:right="400" w:firstLine="389"/>
        <w:spacing w:after="0" w:line="277" w:lineRule="auto"/>
        <w:tabs>
          <w:tab w:leader="none" w:pos="1852"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62" w:lineRule="exact"/>
        <w:rPr>
          <w:rFonts w:ascii="Arial" w:cs="Arial" w:eastAsia="Arial" w:hAnsi="Arial"/>
          <w:sz w:val="18"/>
          <w:szCs w:val="18"/>
          <w:color w:val="auto"/>
        </w:rPr>
      </w:pPr>
    </w:p>
    <w:p>
      <w:pPr>
        <w:ind w:firstLine="443"/>
        <w:spacing w:after="0" w:line="286" w:lineRule="auto"/>
        <w:tabs>
          <w:tab w:leader="none" w:pos="758"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108" w:name="page109"/>
    <w:bookmarkEnd w:id="10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xml:space="preserve"> </w:t>
      </w:r>
      <w:r>
        <w:rPr>
          <w:rFonts w:ascii="Arial" w:cs="Arial" w:eastAsia="Arial" w:hAnsi="Arial"/>
          <w:sz w:val="16"/>
          <w:szCs w:val="16"/>
          <w:u w:val="single" w:color="auto"/>
          <w:color w:val="auto"/>
        </w:rPr>
        <w:t>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117" w:lineRule="exact"/>
        <w:rPr>
          <w:sz w:val="20"/>
          <w:szCs w:val="20"/>
          <w:color w:val="auto"/>
        </w:rPr>
      </w:pPr>
    </w:p>
    <w:p>
      <w:pPr>
        <w:ind w:right="20" w:firstLine="443"/>
        <w:spacing w:after="0" w:line="271" w:lineRule="auto"/>
        <w:tabs>
          <w:tab w:leader="none" w:pos="758"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09" w:name="page110"/>
    <w:bookmarkEnd w:id="109"/>
    <w:p>
      <w:pPr>
        <w:ind w:right="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9" w:lineRule="exact"/>
        <w:rPr>
          <w:sz w:val="20"/>
          <w:szCs w:val="20"/>
          <w:color w:val="auto"/>
        </w:rPr>
      </w:pPr>
    </w:p>
    <w:p>
      <w:pPr>
        <w:ind w:left="820" w:hanging="377"/>
        <w:spacing w:after="0"/>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43"/>
        <w:spacing w:after="0" w:line="270" w:lineRule="auto"/>
        <w:tabs>
          <w:tab w:leader="none" w:pos="758"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If the Company, at any time while the Warrant is outstanding, shall issue rights, options or warrants to all holders of Common Stock (and not to the Holder) entitling them to subscribe for or purchase shares of Common Stock at a price per share less than the VWAP on the record date mentioned below, then the Exercise Price shall be multiplied by a fraction, of which the denominator shall be the number of shares of the Common Stock outstanding on the date of issuance of such rights, options or warrants plus the number of additional shares of Common Stock offered for subscription or purchase, and of which the numerator shall be the number of shares of the Common Stock outstanding on the date of issuance of such rights, options or warrants plus the number of shares which the aggregate offering price of the total number of shares so offered (assuming receipt by the Company in full of all consideration payable upon exercise of such rights, options or warrants) would purchase at such VWAP. Such adjustment shall be made whenever such rights, options or warrants are issued, and shall become effective immediately after the record date for the determination of stockholders entitled to receive such rights, options or warrants.</w:t>
      </w:r>
    </w:p>
    <w:p>
      <w:pPr>
        <w:spacing w:after="0" w:line="73" w:lineRule="exact"/>
        <w:rPr>
          <w:rFonts w:ascii="Arial" w:cs="Arial" w:eastAsia="Arial" w:hAnsi="Arial"/>
          <w:sz w:val="17"/>
          <w:szCs w:val="17"/>
          <w:color w:val="auto"/>
        </w:rPr>
      </w:pPr>
    </w:p>
    <w:p>
      <w:pPr>
        <w:ind w:right="20" w:firstLine="443"/>
        <w:spacing w:after="0" w:line="289" w:lineRule="auto"/>
        <w:tabs>
          <w:tab w:leader="none" w:pos="768"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If the Company, at any time while this Warrant is outstanding, shall distribute to all holders of Common Stock (and not to the Holder) evidences of its indebtedness or assets (including cash and cash dividends) or rights or warrants to subscribe for or purchase any security, then in each such case the Exercise Price shall be adjusted by multiplying the Exercise Price in effect immediately prior to the record date fixed for determination of stockholders entitled to receive such distribution by a fraction of which the denominator shall be the VWAP determined as of the record date mentioned above, and of which the numerator shall be such VWAP on such record date less the then per share fair market value at such record date of the portion of such assets or evidence of indebtedness so distributed applicable to one outstanding share of the Common Stock as determined by the Board of Directors in good faith. In either case the adjustments shall be described in a statement provided to the Holder of the portion of assets or evidences of indebtedness so distributed or such subscription rights applicable to one share of Common Stock. Such adjustment shall be made whenever any such distribution is made and shall become effective immediately after the record date mentioned above.</w:t>
      </w:r>
    </w:p>
    <w:p>
      <w:pPr>
        <w:spacing w:after="0" w:line="58" w:lineRule="exact"/>
        <w:rPr>
          <w:rFonts w:ascii="Arial" w:cs="Arial" w:eastAsia="Arial" w:hAnsi="Arial"/>
          <w:sz w:val="16"/>
          <w:szCs w:val="16"/>
          <w:color w:val="auto"/>
        </w:rPr>
      </w:pPr>
    </w:p>
    <w:p>
      <w:pPr>
        <w:ind w:right="180" w:firstLine="443"/>
        <w:spacing w:after="0" w:line="286" w:lineRule="auto"/>
        <w:tabs>
          <w:tab w:leader="none" w:pos="758"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Fundamental Transaction</w:t>
      </w:r>
      <w:r>
        <w:rPr>
          <w:rFonts w:ascii="Arial" w:cs="Arial" w:eastAsia="Arial" w:hAnsi="Arial"/>
          <w:sz w:val="17"/>
          <w:szCs w:val="17"/>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10" w:name="page111"/>
    <w:bookmarkEnd w:id="11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11" w:name="page112"/>
    <w:bookmarkEnd w:id="111"/>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58" w:lineRule="exact"/>
        <w:rPr>
          <w:sz w:val="20"/>
          <w:szCs w:val="20"/>
          <w:color w:val="auto"/>
        </w:rPr>
      </w:pPr>
    </w:p>
    <w:p>
      <w:pPr>
        <w:ind w:right="80" w:firstLine="443"/>
        <w:spacing w:after="0" w:line="264" w:lineRule="auto"/>
        <w:tabs>
          <w:tab w:leader="none" w:pos="73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89" w:lineRule="exact"/>
        <w:rPr>
          <w:rFonts w:ascii="Arial" w:cs="Arial" w:eastAsia="Arial" w:hAnsi="Arial"/>
          <w:sz w:val="18"/>
          <w:szCs w:val="18"/>
          <w:color w:val="auto"/>
        </w:rPr>
      </w:pPr>
    </w:p>
    <w:p>
      <w:pPr>
        <w:ind w:left="780" w:hanging="337"/>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40" w:firstLine="389"/>
        <w:spacing w:after="0" w:line="312" w:lineRule="auto"/>
        <w:tabs>
          <w:tab w:leader="none" w:pos="1712" w:val="left"/>
        </w:tabs>
        <w:numPr>
          <w:ilvl w:val="2"/>
          <w:numId w:val="73"/>
        </w:numPr>
        <w:rPr>
          <w:rFonts w:ascii="Arial" w:cs="Arial" w:eastAsia="Arial" w:hAnsi="Arial"/>
          <w:sz w:val="16"/>
          <w:szCs w:val="16"/>
          <w:color w:val="auto"/>
        </w:rPr>
      </w:pPr>
      <w:r>
        <w:rPr>
          <w:rFonts w:ascii="Arial" w:cs="Arial" w:eastAsia="Arial" w:hAnsi="Arial"/>
          <w:sz w:val="16"/>
          <w:szCs w:val="16"/>
          <w:u w:val="single" w:color="auto"/>
          <w:color w:val="auto"/>
        </w:rPr>
        <w:t>Adjustment to Exercise Price</w:t>
      </w:r>
      <w:r>
        <w:rPr>
          <w:rFonts w:ascii="Arial" w:cs="Arial" w:eastAsia="Arial" w:hAnsi="Arial"/>
          <w:sz w:val="16"/>
          <w:szCs w:val="16"/>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38" w:lineRule="exact"/>
        <w:rPr>
          <w:rFonts w:ascii="Arial" w:cs="Arial" w:eastAsia="Arial" w:hAnsi="Arial"/>
          <w:sz w:val="16"/>
          <w:szCs w:val="16"/>
          <w:color w:val="auto"/>
        </w:rPr>
      </w:pPr>
    </w:p>
    <w:p>
      <w:pPr>
        <w:ind w:left="1040" w:right="140" w:firstLine="389"/>
        <w:spacing w:after="0" w:line="291" w:lineRule="auto"/>
        <w:tabs>
          <w:tab w:leader="none" w:pos="1762" w:val="left"/>
        </w:tabs>
        <w:numPr>
          <w:ilvl w:val="2"/>
          <w:numId w:val="73"/>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w:t>
      </w:r>
    </w:p>
    <w:p>
      <w:pPr>
        <w:ind w:left="1040" w:right="60" w:hanging="8"/>
        <w:spacing w:after="0" w:line="252" w:lineRule="auto"/>
        <w:tabs>
          <w:tab w:leader="none" w:pos="1325"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112" w:name="page113"/>
    <w:bookmarkEnd w:id="112"/>
    <w:p>
      <w:pPr>
        <w:ind w:left="1040"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Company or any of the subsidiaries of the Company,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117" w:lineRule="exact"/>
        <w:rPr>
          <w:sz w:val="20"/>
          <w:szCs w:val="20"/>
          <w:color w:val="auto"/>
        </w:rPr>
      </w:pPr>
    </w:p>
    <w:p>
      <w:pPr>
        <w:ind w:firstLine="443"/>
        <w:spacing w:after="0" w:line="279" w:lineRule="auto"/>
        <w:tabs>
          <w:tab w:leader="none" w:pos="758"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Pursuant to Rule FINRA 5110(g)(1),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63" w:lineRule="exact"/>
        <w:rPr>
          <w:rFonts w:ascii="Arial" w:cs="Arial" w:eastAsia="Arial" w:hAnsi="Arial"/>
          <w:sz w:val="17"/>
          <w:szCs w:val="17"/>
          <w:color w:val="auto"/>
        </w:rPr>
      </w:pPr>
    </w:p>
    <w:p>
      <w:pPr>
        <w:ind w:left="1160" w:hanging="279"/>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117" w:lineRule="exact"/>
        <w:rPr>
          <w:rFonts w:ascii="Arial" w:cs="Arial" w:eastAsia="Arial" w:hAnsi="Arial"/>
          <w:sz w:val="18"/>
          <w:szCs w:val="18"/>
          <w:color w:val="auto"/>
        </w:rPr>
      </w:pPr>
    </w:p>
    <w:p>
      <w:pPr>
        <w:ind w:left="460" w:right="420" w:firstLine="421"/>
        <w:spacing w:after="0" w:line="277" w:lineRule="auto"/>
        <w:tabs>
          <w:tab w:leader="none" w:pos="1205"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in this Section 4(a) for the remainder of the time period;</w:t>
      </w:r>
    </w:p>
    <w:p>
      <w:pPr>
        <w:spacing w:after="0" w:line="62" w:lineRule="exact"/>
        <w:rPr>
          <w:rFonts w:ascii="Arial" w:cs="Arial" w:eastAsia="Arial" w:hAnsi="Arial"/>
          <w:sz w:val="18"/>
          <w:szCs w:val="18"/>
          <w:color w:val="auto"/>
        </w:rPr>
      </w:pPr>
    </w:p>
    <w:p>
      <w:pPr>
        <w:ind w:left="1260" w:hanging="379"/>
        <w:spacing w:after="0"/>
        <w:tabs>
          <w:tab w:leader="none" w:pos="12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if the aggregate amount of securities of the Company held by the Holder or related person do not exceed 1% of the securities being</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offered;</w:t>
      </w:r>
    </w:p>
    <w:p>
      <w:pPr>
        <w:spacing w:after="0" w:line="102" w:lineRule="exact"/>
        <w:rPr>
          <w:rFonts w:ascii="Arial" w:cs="Arial" w:eastAsia="Arial" w:hAnsi="Arial"/>
          <w:sz w:val="16"/>
          <w:szCs w:val="16"/>
          <w:color w:val="auto"/>
        </w:rPr>
      </w:pPr>
    </w:p>
    <w:p>
      <w:pPr>
        <w:ind w:left="460" w:firstLine="421"/>
        <w:spacing w:after="0" w:line="264" w:lineRule="auto"/>
        <w:tabs>
          <w:tab w:leader="none" w:pos="1233"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13" w:name="page114"/>
    <w:bookmarkEnd w:id="113"/>
    <w:p>
      <w:pPr>
        <w:ind w:left="460" w:right="120" w:firstLine="421"/>
        <w:spacing w:after="0" w:line="277" w:lineRule="auto"/>
        <w:tabs>
          <w:tab w:leader="none" w:pos="1183"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exercise or conversion of any security, if all securities received remain subject to the lock-up restriction in this Section 4(a) for the remainder of the time period.</w:t>
      </w:r>
    </w:p>
    <w:p>
      <w:pPr>
        <w:spacing w:after="0" w:line="62" w:lineRule="exact"/>
        <w:rPr>
          <w:sz w:val="20"/>
          <w:szCs w:val="20"/>
          <w:color w:val="auto"/>
        </w:rPr>
      </w:pPr>
    </w:p>
    <w:p>
      <w:pPr>
        <w:ind w:left="460" w:firstLine="420"/>
        <w:spacing w:after="0" w:line="271" w:lineRule="auto"/>
        <w:rPr>
          <w:sz w:val="20"/>
          <w:szCs w:val="20"/>
          <w:color w:val="auto"/>
        </w:rPr>
      </w:pPr>
      <w:r>
        <w:rPr>
          <w:rFonts w:ascii="Arial" w:cs="Arial" w:eastAsia="Arial" w:hAnsi="Arial"/>
          <w:sz w:val="17"/>
          <w:szCs w:val="17"/>
          <w:color w:val="auto"/>
        </w:rPr>
        <w:t>Subject to the foregoing restriction, any applicable securities laws and the conditions set forth in Section 4(d),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71" w:lineRule="exact"/>
        <w:rPr>
          <w:sz w:val="20"/>
          <w:szCs w:val="20"/>
          <w:color w:val="auto"/>
        </w:rPr>
      </w:pPr>
    </w:p>
    <w:p>
      <w:pPr>
        <w:ind w:firstLine="443"/>
        <w:spacing w:after="0" w:line="255" w:lineRule="auto"/>
        <w:tabs>
          <w:tab w:leader="none" w:pos="76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85" w:lineRule="exact"/>
        <w:rPr>
          <w:rFonts w:ascii="Arial" w:cs="Arial" w:eastAsia="Arial" w:hAnsi="Arial"/>
          <w:sz w:val="18"/>
          <w:szCs w:val="18"/>
          <w:color w:val="auto"/>
        </w:rPr>
      </w:pPr>
    </w:p>
    <w:p>
      <w:pPr>
        <w:jc w:val="both"/>
        <w:ind w:right="120" w:firstLine="443"/>
        <w:spacing w:after="0" w:line="257" w:lineRule="auto"/>
        <w:tabs>
          <w:tab w:leader="none" w:pos="75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Warrant Register; No Registration Rights</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The Holder acknowledges, by receipt of this Warrant, that the Company is not obligated to register for resale the Warrant Shares underlying this Warrant.</w:t>
      </w:r>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17" w:lineRule="exact"/>
        <w:rPr>
          <w:sz w:val="20"/>
          <w:szCs w:val="20"/>
          <w:color w:val="auto"/>
        </w:rPr>
      </w:pPr>
    </w:p>
    <w:p>
      <w:pPr>
        <w:ind w:right="640" w:firstLine="443"/>
        <w:spacing w:after="0" w:line="277" w:lineRule="auto"/>
        <w:tabs>
          <w:tab w:leader="none" w:pos="75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14" w:name="page115"/>
    <w:bookmarkEnd w:id="114"/>
    <w:p>
      <w:pPr>
        <w:ind w:right="100" w:firstLine="443"/>
        <w:spacing w:after="0" w:line="276" w:lineRule="auto"/>
        <w:tabs>
          <w:tab w:leader="none" w:pos="768"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64" w:lineRule="exact"/>
        <w:rPr>
          <w:rFonts w:ascii="Arial" w:cs="Arial" w:eastAsia="Arial" w:hAnsi="Arial"/>
          <w:sz w:val="17"/>
          <w:szCs w:val="17"/>
          <w:color w:val="auto"/>
        </w:rPr>
      </w:pPr>
    </w:p>
    <w:p>
      <w:pPr>
        <w:ind w:right="160" w:firstLine="443"/>
        <w:spacing w:after="0" w:line="342" w:lineRule="auto"/>
        <w:tabs>
          <w:tab w:leader="none" w:pos="75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31" w:lineRule="exact"/>
        <w:rPr>
          <w:rFonts w:ascii="Arial" w:cs="Arial" w:eastAsia="Arial" w:hAnsi="Arial"/>
          <w:sz w:val="16"/>
          <w:szCs w:val="16"/>
          <w:color w:val="auto"/>
        </w:rPr>
      </w:pPr>
    </w:p>
    <w:p>
      <w:pPr>
        <w:ind w:left="780" w:hanging="337"/>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117" w:lineRule="exact"/>
        <w:rPr>
          <w:sz w:val="20"/>
          <w:szCs w:val="20"/>
          <w:color w:val="auto"/>
        </w:rPr>
      </w:pPr>
    </w:p>
    <w:p>
      <w:pPr>
        <w:ind w:left="460" w:firstLine="840"/>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61" w:lineRule="exact"/>
        <w:rPr>
          <w:sz w:val="20"/>
          <w:szCs w:val="20"/>
          <w:color w:val="auto"/>
        </w:rPr>
      </w:pPr>
    </w:p>
    <w:p>
      <w:pPr>
        <w:ind w:left="460" w:right="140" w:firstLine="420"/>
        <w:spacing w:after="0" w:line="271"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115" w:name="page116"/>
    <w:bookmarkEnd w:id="115"/>
    <w:p>
      <w:pPr>
        <w:ind w:left="460"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 w:lineRule="exact"/>
        <w:rPr>
          <w:sz w:val="20"/>
          <w:szCs w:val="20"/>
          <w:color w:val="auto"/>
        </w:rPr>
      </w:pPr>
    </w:p>
    <w:p>
      <w:pPr>
        <w:jc w:val="both"/>
        <w:ind w:left="460" w:right="180" w:firstLine="420"/>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73" w:lineRule="exact"/>
        <w:rPr>
          <w:sz w:val="20"/>
          <w:szCs w:val="20"/>
          <w:color w:val="auto"/>
        </w:rPr>
      </w:pPr>
    </w:p>
    <w:p>
      <w:pPr>
        <w:ind w:right="560" w:firstLine="443"/>
        <w:spacing w:after="0" w:line="277" w:lineRule="auto"/>
        <w:tabs>
          <w:tab w:leader="none" w:pos="75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Underwriting Agreement.</w:t>
      </w:r>
    </w:p>
    <w:p>
      <w:pPr>
        <w:spacing w:after="0" w:line="62" w:lineRule="exact"/>
        <w:rPr>
          <w:rFonts w:ascii="Arial" w:cs="Arial" w:eastAsia="Arial" w:hAnsi="Arial"/>
          <w:sz w:val="18"/>
          <w:szCs w:val="18"/>
          <w:color w:val="auto"/>
        </w:rPr>
      </w:pPr>
    </w:p>
    <w:p>
      <w:pPr>
        <w:ind w:right="160" w:firstLine="443"/>
        <w:spacing w:after="0" w:line="277" w:lineRule="auto"/>
        <w:tabs>
          <w:tab w:leader="none" w:pos="73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62" w:lineRule="exact"/>
        <w:rPr>
          <w:rFonts w:ascii="Arial" w:cs="Arial" w:eastAsia="Arial" w:hAnsi="Arial"/>
          <w:sz w:val="18"/>
          <w:szCs w:val="18"/>
          <w:color w:val="auto"/>
        </w:rPr>
      </w:pPr>
    </w:p>
    <w:p>
      <w:pPr>
        <w:ind w:firstLine="443"/>
        <w:spacing w:after="0" w:line="255" w:lineRule="auto"/>
        <w:tabs>
          <w:tab w:leader="none" w:pos="76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Underwriting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5" w:lineRule="exact"/>
        <w:rPr>
          <w:rFonts w:ascii="Arial" w:cs="Arial" w:eastAsia="Arial" w:hAnsi="Arial"/>
          <w:sz w:val="18"/>
          <w:szCs w:val="18"/>
          <w:color w:val="auto"/>
        </w:rPr>
      </w:pPr>
    </w:p>
    <w:p>
      <w:pPr>
        <w:ind w:right="600" w:firstLine="443"/>
        <w:spacing w:after="0" w:line="277" w:lineRule="auto"/>
        <w:tabs>
          <w:tab w:leader="none" w:pos="76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Underwriting Agreement.</w:t>
      </w:r>
    </w:p>
    <w:p>
      <w:pPr>
        <w:spacing w:after="0" w:line="62" w:lineRule="exact"/>
        <w:rPr>
          <w:rFonts w:ascii="Arial" w:cs="Arial" w:eastAsia="Arial" w:hAnsi="Arial"/>
          <w:sz w:val="18"/>
          <w:szCs w:val="18"/>
          <w:color w:val="auto"/>
        </w:rPr>
      </w:pPr>
    </w:p>
    <w:p>
      <w:pPr>
        <w:ind w:right="160" w:firstLine="443"/>
        <w:spacing w:after="0" w:line="312" w:lineRule="auto"/>
        <w:tabs>
          <w:tab w:leader="none" w:pos="728"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38" w:lineRule="exact"/>
        <w:rPr>
          <w:rFonts w:ascii="Arial" w:cs="Arial" w:eastAsia="Arial" w:hAnsi="Arial"/>
          <w:sz w:val="16"/>
          <w:szCs w:val="16"/>
          <w:color w:val="auto"/>
        </w:rPr>
      </w:pPr>
    </w:p>
    <w:p>
      <w:pPr>
        <w:jc w:val="both"/>
        <w:ind w:right="80" w:firstLine="443"/>
        <w:spacing w:after="0" w:line="259" w:lineRule="auto"/>
        <w:tabs>
          <w:tab w:leader="none" w:pos="72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116" w:name="page117"/>
    <w:bookmarkEnd w:id="116"/>
    <w:p>
      <w:pPr>
        <w:ind w:firstLine="443"/>
        <w:spacing w:after="0" w:line="259" w:lineRule="auto"/>
        <w:tabs>
          <w:tab w:leader="none" w:pos="76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8" w:lineRule="exact"/>
        <w:rPr>
          <w:rFonts w:ascii="Arial" w:cs="Arial" w:eastAsia="Arial" w:hAnsi="Arial"/>
          <w:sz w:val="18"/>
          <w:szCs w:val="18"/>
          <w:color w:val="auto"/>
        </w:rPr>
      </w:pPr>
    </w:p>
    <w:p>
      <w:pPr>
        <w:ind w:left="740" w:hanging="297"/>
        <w:spacing w:after="0"/>
        <w:tabs>
          <w:tab w:leader="none" w:pos="74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102" w:lineRule="exact"/>
        <w:rPr>
          <w:rFonts w:ascii="Arial" w:cs="Arial" w:eastAsia="Arial" w:hAnsi="Arial"/>
          <w:sz w:val="16"/>
          <w:szCs w:val="16"/>
          <w:color w:val="auto"/>
        </w:rPr>
      </w:pPr>
    </w:p>
    <w:p>
      <w:pPr>
        <w:ind w:right="320" w:firstLine="443"/>
        <w:spacing w:after="0" w:line="312" w:lineRule="auto"/>
        <w:tabs>
          <w:tab w:leader="none" w:pos="818"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38" w:lineRule="exact"/>
        <w:rPr>
          <w:rFonts w:ascii="Arial" w:cs="Arial" w:eastAsia="Arial" w:hAnsi="Arial"/>
          <w:sz w:val="16"/>
          <w:szCs w:val="16"/>
          <w:color w:val="auto"/>
        </w:rPr>
      </w:pPr>
    </w:p>
    <w:p>
      <w:pPr>
        <w:ind w:right="200" w:firstLine="443"/>
        <w:spacing w:after="0" w:line="277" w:lineRule="auto"/>
        <w:tabs>
          <w:tab w:leader="none" w:pos="76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700" w:top="274" w:right="319" w:bottom="1440" w:gutter="0" w:footer="0" w:header="0"/>
        </w:sectPr>
      </w:pPr>
    </w:p>
    <w:bookmarkStart w:id="117" w:name="page118"/>
    <w:bookmarkEnd w:id="11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color w:val="auto"/>
        </w:rPr>
        <w:t>N</w:t>
      </w:r>
      <w:r>
        <w:rPr>
          <w:rFonts w:ascii="Arial" w:cs="Arial" w:eastAsia="Arial" w:hAnsi="Arial"/>
          <w:sz w:val="18"/>
          <w:szCs w:val="18"/>
          <w:color w:val="auto"/>
        </w:rPr>
        <w:t xml:space="preserve"> W</w:t>
      </w:r>
      <w:r>
        <w:rPr>
          <w:rFonts w:ascii="Arial" w:cs="Arial" w:eastAsia="Arial" w:hAnsi="Arial"/>
          <w:sz w:val="15"/>
          <w:szCs w:val="15"/>
          <w:color w:val="auto"/>
        </w:rPr>
        <w:t>ITNESS</w:t>
      </w:r>
      <w:r>
        <w:rPr>
          <w:rFonts w:ascii="Arial" w:cs="Arial" w:eastAsia="Arial" w:hAnsi="Arial"/>
          <w:sz w:val="18"/>
          <w:szCs w:val="18"/>
          <w:color w:val="auto"/>
        </w:rPr>
        <w:t xml:space="preserve"> W</w:t>
      </w:r>
      <w:r>
        <w:rPr>
          <w:rFonts w:ascii="Arial" w:cs="Arial" w:eastAsia="Arial" w:hAnsi="Arial"/>
          <w:sz w:val="15"/>
          <w:szCs w:val="15"/>
          <w:color w:val="auto"/>
        </w:rPr>
        <w:t>HEREOF</w:t>
      </w:r>
      <w:r>
        <w:rPr>
          <w:rFonts w:ascii="Arial" w:cs="Arial" w:eastAsia="Arial" w:hAnsi="Arial"/>
          <w:sz w:val="18"/>
          <w:szCs w:val="18"/>
          <w:color w:val="auto"/>
        </w:rPr>
        <w:t>, the Company has caused this Warrant to be executed by its officer thereunto duly authorized as of the date first above indicated.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ACM RESEARCH, INC.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Min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Min Xu</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 and Treasurer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00"/>
          </w:cols>
          <w:pgMar w:left="240" w:top="274" w:right="95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940" w:type="dxa"/>
            <w:vAlign w:val="bottom"/>
            <w:gridSpan w:val="2"/>
          </w:tcPr>
          <w:p>
            <w:pPr>
              <w:ind w:left="300"/>
              <w:spacing w:after="0"/>
              <w:rPr>
                <w:sz w:val="20"/>
                <w:szCs w:val="20"/>
                <w:color w:val="auto"/>
              </w:rPr>
            </w:pPr>
            <w:r>
              <w:rPr>
                <w:rFonts w:ascii="Arial" w:cs="Arial" w:eastAsia="Arial" w:hAnsi="Arial"/>
                <w:sz w:val="18"/>
                <w:szCs w:val="18"/>
                <w:b w:val="1"/>
                <w:bCs w:val="1"/>
                <w:color w:val="auto"/>
              </w:rPr>
              <w:t>NOTICE OF EXERCISE</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TO:</w:t>
            </w:r>
          </w:p>
        </w:tc>
        <w:tc>
          <w:tcPr>
            <w:tcW w:w="3760" w:type="dxa"/>
            <w:vAlign w:val="bottom"/>
          </w:tcPr>
          <w:p>
            <w:pPr>
              <w:ind w:left="140"/>
              <w:spacing w:after="0"/>
              <w:rPr>
                <w:sz w:val="20"/>
                <w:szCs w:val="20"/>
                <w:color w:val="auto"/>
              </w:rPr>
            </w:pPr>
            <w:r>
              <w:rPr>
                <w:rFonts w:ascii="Arial" w:cs="Arial" w:eastAsia="Arial" w:hAnsi="Arial"/>
                <w:sz w:val="18"/>
                <w:szCs w:val="18"/>
                <w:color w:val="auto"/>
              </w:rPr>
              <w:t>ACM RESEARCH, INC.</w:t>
            </w:r>
          </w:p>
        </w:tc>
        <w:tc>
          <w:tcPr>
            <w:tcW w:w="72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ATTN:</w:t>
            </w:r>
          </w:p>
        </w:tc>
        <w:tc>
          <w:tcPr>
            <w:tcW w:w="3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392"/>
        </w:trPr>
        <w:tc>
          <w:tcPr>
            <w:tcW w:w="660" w:type="dxa"/>
            <w:vAlign w:val="bottom"/>
          </w:tcPr>
          <w:p>
            <w:pPr>
              <w:spacing w:after="0"/>
              <w:rPr>
                <w:sz w:val="24"/>
                <w:szCs w:val="24"/>
                <w:color w:val="auto"/>
              </w:rPr>
            </w:pPr>
          </w:p>
        </w:tc>
        <w:tc>
          <w:tcPr>
            <w:tcW w:w="3760" w:type="dxa"/>
            <w:vAlign w:val="bottom"/>
          </w:tcPr>
          <w:p>
            <w:pPr>
              <w:ind w:left="260"/>
              <w:spacing w:after="0"/>
              <w:rPr>
                <w:sz w:val="20"/>
                <w:szCs w:val="20"/>
                <w:color w:val="auto"/>
              </w:rPr>
            </w:pPr>
            <w:r>
              <w:rPr>
                <w:rFonts w:ascii="Arial" w:cs="Arial" w:eastAsia="Arial" w:hAnsi="Arial"/>
                <w:sz w:val="18"/>
                <w:szCs w:val="18"/>
                <w:color w:val="auto"/>
                <w:w w:val="92"/>
              </w:rPr>
              <w:t>(1)  The undersigned hereby elects to purchase</w:t>
            </w:r>
          </w:p>
        </w:tc>
        <w:tc>
          <w:tcPr>
            <w:tcW w:w="720" w:type="dxa"/>
            <w:vAlign w:val="bottom"/>
            <w:tcBorders>
              <w:bottom w:val="single" w:sz="8" w:color="auto"/>
            </w:tcBorders>
          </w:tcPr>
          <w:p>
            <w:pPr>
              <w:spacing w:after="0"/>
              <w:rPr>
                <w:sz w:val="24"/>
                <w:szCs w:val="24"/>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90"/>
              </w:rPr>
              <w:t>Warrant Shares of the Company pursuant to the terms of the attached Warrant (only if</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exercised in full), and tenders herewith payment of the exercise price in full, together with all applicable transfer taxes, if any.</w:t>
      </w:r>
    </w:p>
    <w:p>
      <w:pPr>
        <w:spacing w:after="0" w:line="225" w:lineRule="exact"/>
        <w:rPr>
          <w:sz w:val="20"/>
          <w:szCs w:val="20"/>
          <w:color w:val="auto"/>
        </w:rPr>
      </w:pPr>
    </w:p>
    <w:p>
      <w:pPr>
        <w:jc w:val="center"/>
        <w:ind w:right="5240"/>
        <w:spacing w:after="0"/>
        <w:tabs>
          <w:tab w:leader="none" w:pos="1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Payment shall take the form of (check applicable box):</w:t>
      </w:r>
    </w:p>
    <w:p>
      <w:pPr>
        <w:spacing w:after="0" w:line="117" w:lineRule="exact"/>
        <w:rPr>
          <w:sz w:val="20"/>
          <w:szCs w:val="20"/>
          <w:color w:val="auto"/>
        </w:rPr>
      </w:pPr>
    </w:p>
    <w:p>
      <w:pPr>
        <w:ind w:left="150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in lawful money of the United States; or</w:t>
      </w:r>
    </w:p>
    <w:p>
      <w:pPr>
        <w:spacing w:after="0" w:line="117" w:lineRule="exact"/>
        <w:rPr>
          <w:sz w:val="20"/>
          <w:szCs w:val="20"/>
          <w:color w:val="auto"/>
        </w:rPr>
      </w:pPr>
    </w:p>
    <w:p>
      <w:pPr>
        <w:ind w:left="1500" w:hanging="8"/>
        <w:spacing w:after="0" w:line="264" w:lineRule="auto"/>
        <w:tabs>
          <w:tab w:leader="none" w:pos="17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rFonts w:ascii="Arial" w:cs="Arial" w:eastAsia="Arial" w:hAnsi="Arial"/>
          <w:sz w:val="18"/>
          <w:szCs w:val="18"/>
          <w:color w:val="auto"/>
        </w:rPr>
      </w:pPr>
    </w:p>
    <w:p>
      <w:pPr>
        <w:ind w:right="140" w:firstLine="921"/>
        <w:spacing w:after="0" w:line="277" w:lineRule="auto"/>
        <w:tabs>
          <w:tab w:leader="none" w:pos="1303" w:val="left"/>
        </w:tabs>
        <w:numPr>
          <w:ilvl w:val="0"/>
          <w:numId w:val="81"/>
        </w:numPr>
        <w:rPr>
          <w:rFonts w:ascii="Arial" w:cs="Arial" w:eastAsia="Arial" w:hAnsi="Arial"/>
          <w:sz w:val="18"/>
          <w:szCs w:val="18"/>
          <w:color w:val="auto"/>
        </w:rPr>
      </w:pPr>
      <w:r>
        <w:rPr>
          <w:rFonts w:ascii="Arial" w:cs="Arial" w:eastAsia="Arial" w:hAnsi="Arial"/>
          <w:sz w:val="18"/>
          <w:szCs w:val="18"/>
          <w:color w:val="auto"/>
        </w:rPr>
        <w:t>Please register and issue a certificate or certificates representing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254635</wp:posOffset>
            </wp:positionV>
            <wp:extent cx="31902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 or by physical delivery of a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443865</wp:posOffset>
            </wp:positionV>
            <wp:extent cx="31902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735330</wp:posOffset>
            </wp:positionV>
            <wp:extent cx="31902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1026795</wp:posOffset>
            </wp:positionV>
            <wp:extent cx="31902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43478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14605</wp:posOffset>
            </wp:positionV>
            <wp:extent cx="55054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14605</wp:posOffset>
            </wp:positionV>
            <wp:extent cx="55054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8776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9" w:name="page120"/>
    <w:bookmarkEnd w:id="119"/>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(To assign the foregoing warrant, execute</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Do not use this form to exercise the warrant.)</w:t>
      </w:r>
    </w:p>
    <w:p>
      <w:pPr>
        <w:spacing w:after="0" w:line="211" w:lineRule="exact"/>
        <w:rPr>
          <w:sz w:val="20"/>
          <w:szCs w:val="20"/>
          <w:color w:val="auto"/>
        </w:rPr>
      </w:pPr>
    </w:p>
    <w:p>
      <w:pPr>
        <w:ind w:left="920"/>
        <w:spacing w:after="0"/>
        <w:tabs>
          <w:tab w:leader="none" w:pos="3320" w:val="left"/>
          <w:tab w:leader="none" w:pos="4820" w:val="left"/>
        </w:tabs>
        <w:rPr>
          <w:sz w:val="20"/>
          <w:szCs w:val="20"/>
          <w:color w:val="auto"/>
        </w:rPr>
      </w:pPr>
      <w:r>
        <w:rPr>
          <w:rFonts w:ascii="Arial" w:cs="Arial" w:eastAsia="Arial" w:hAnsi="Arial"/>
          <w:sz w:val="18"/>
          <w:szCs w:val="18"/>
          <w:color w:val="auto"/>
        </w:rPr>
        <w:t>FOR VALUE RECEIVED, [</w:t>
      </w:r>
      <w:r>
        <w:rPr>
          <w:sz w:val="20"/>
          <w:szCs w:val="20"/>
          <w:color w:val="auto"/>
        </w:rPr>
        <w:tab/>
      </w:r>
      <w:r>
        <w:rPr>
          <w:rFonts w:ascii="Arial" w:cs="Arial" w:eastAsia="Arial" w:hAnsi="Arial"/>
          <w:sz w:val="18"/>
          <w:szCs w:val="18"/>
          <w:color w:val="auto"/>
        </w:rPr>
        <w:t>] all of or [</w:t>
      </w:r>
      <w:r>
        <w:rPr>
          <w:sz w:val="20"/>
          <w:szCs w:val="20"/>
          <w:color w:val="auto"/>
        </w:rPr>
        <w:tab/>
      </w:r>
      <w:r>
        <w:rPr>
          <w:rFonts w:ascii="Arial" w:cs="Arial" w:eastAsia="Arial" w:hAnsi="Arial"/>
          <w:sz w:val="16"/>
          <w:szCs w:val="16"/>
          <w:color w:val="auto"/>
        </w:rPr>
        <w:t>] shares of the foregoing Warrant and all rights evidenced thereby are hereby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1896745</wp:posOffset>
            </wp:positionH>
            <wp:positionV relativeFrom="paragraph">
              <wp:posOffset>-10160</wp:posOffset>
            </wp:positionV>
            <wp:extent cx="2286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-10160</wp:posOffset>
            </wp:positionV>
            <wp:extent cx="4572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4004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340042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2005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42005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718185</wp:posOffset>
            </wp:positionV>
            <wp:extent cx="42005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840"/>
        <w:spacing w:after="0"/>
        <w:tabs>
          <w:tab w:leader="none" w:pos="78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4676140</wp:posOffset>
            </wp:positionH>
            <wp:positionV relativeFrom="paragraph">
              <wp:posOffset>-10160</wp:posOffset>
            </wp:positionV>
            <wp:extent cx="6286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-1905</wp:posOffset>
            </wp:positionV>
            <wp:extent cx="24701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4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24701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247015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306705</wp:posOffset>
            </wp:positionV>
            <wp:extent cx="24701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w:t>
      </w:r>
    </w:p>
    <w:p>
      <w:pPr>
        <w:sectPr>
          <w:pgSz w:w="11900" w:h="16838" w:orient="portrait"/>
          <w:cols w:equalWidth="0" w:num="1">
            <w:col w:w="11240"/>
          </w:cols>
          <w:pgMar w:left="240" w:top="270" w:right="4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H. Wang, certify that:</w:t>
      </w:r>
    </w:p>
    <w:p>
      <w:pPr>
        <w:spacing w:after="0" w:line="131"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7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December 8, 2017</w:t>
      </w:r>
      <w:r>
        <w:rPr>
          <w:sz w:val="20"/>
          <w:szCs w:val="20"/>
          <w:color w:val="auto"/>
        </w:rPr>
        <w:tab/>
      </w:r>
      <w:r>
        <w:rPr>
          <w:rFonts w:ascii="Arial" w:cs="Arial" w:eastAsia="Arial" w:hAnsi="Arial"/>
          <w:sz w:val="17"/>
          <w:szCs w:val="17"/>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Min Xu, certify that:</w:t>
      </w:r>
    </w:p>
    <w:p>
      <w:pPr>
        <w:spacing w:after="0" w:line="131"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7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December 8, 2017</w:t>
      </w:r>
      <w:r>
        <w:rPr>
          <w:sz w:val="20"/>
          <w:szCs w:val="20"/>
          <w:color w:val="auto"/>
        </w:rPr>
        <w:tab/>
      </w:r>
      <w:r>
        <w:rPr>
          <w:rFonts w:ascii="Arial" w:cs="Arial" w:eastAsia="Arial" w:hAnsi="Arial"/>
          <w:sz w:val="17"/>
          <w:szCs w:val="17"/>
          <w:color w:val="auto"/>
        </w:rPr>
        <w:t>By:  /s/ Min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Min Xu</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on Form 10-Q of ACM Research, Inc. for the quarterly period ended September 30, 2017, as filed with the Securities and Exchange Commission on the date hereof (the “Report”), each of the undersigned certifies, pursuant to 18 U.S.C. 1350, as adopted pursuant to Section 906 of the Sarbanes-Oxley Act of 2002, that, to his knowledge:</w:t>
      </w:r>
    </w:p>
    <w:p>
      <w:pPr>
        <w:spacing w:after="0" w:line="87"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ACM Research, Inc.</w:t>
      </w:r>
    </w:p>
    <w:p>
      <w:pPr>
        <w:spacing w:after="0" w:line="27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December 8, 2017</w:t>
      </w:r>
      <w:r>
        <w:rPr>
          <w:sz w:val="20"/>
          <w:szCs w:val="20"/>
          <w:color w:val="auto"/>
        </w:rPr>
        <w:tab/>
      </w:r>
      <w:r>
        <w:rPr>
          <w:rFonts w:ascii="Arial" w:cs="Arial" w:eastAsia="Arial" w:hAnsi="Arial"/>
          <w:sz w:val="17"/>
          <w:szCs w:val="17"/>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December 8, 2017</w:t>
      </w:r>
      <w:r>
        <w:rPr>
          <w:sz w:val="20"/>
          <w:szCs w:val="20"/>
          <w:color w:val="auto"/>
        </w:rPr>
        <w:tab/>
      </w:r>
      <w:r>
        <w:rPr>
          <w:rFonts w:ascii="Arial" w:cs="Arial" w:eastAsia="Arial" w:hAnsi="Arial"/>
          <w:sz w:val="17"/>
          <w:szCs w:val="17"/>
          <w:color w:val="auto"/>
        </w:rPr>
        <w:t>By:  /s/ Min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Min Xu</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lvl w:ilvl="1">
      <w:lvlJc w:val="left"/>
      <w:lvlText w:val="(%2)"/>
      <w:numFmt w:val="lowerLetter"/>
      <w:start w:val="2"/>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lowerLetter"/>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lvl w:ilvl="1">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1)"/>
      <w:numFmt w:val="decimal"/>
      <w:start w:val="2"/>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1."/>
      <w:numFmt w:val="decimal"/>
      <w:start w:val="3"/>
    </w:lvl>
  </w:abstractNum>
  <w:abstractNum w:abstractNumId="44">
    <w:nsid w:val="5FF87E05"/>
    <w:multiLevelType w:val="hybridMultilevel"/>
    <w:lvl w:ilvl="0">
      <w:lvlJc w:val="left"/>
      <w:lvlText w:val="(%1)"/>
      <w:numFmt w:val="lowerLetter"/>
      <w:start w:val="1"/>
    </w:lvl>
  </w:abstractNum>
  <w:abstractNum w:abstractNumId="45">
    <w:nsid w:val="2F305DEF"/>
    <w:multiLevelType w:val="hybridMultilevel"/>
    <w:lvl w:ilvl="0">
      <w:lvlJc w:val="left"/>
      <w:lvlText w:val="(%1)"/>
      <w:numFmt w:val="lowerLetter"/>
      <w:start w:val="1"/>
    </w:lvl>
  </w:abstractNum>
  <w:abstractNum w:abstractNumId="46">
    <w:nsid w:val="25A70BF7"/>
    <w:multiLevelType w:val="hybridMultilevel"/>
    <w:lvl w:ilvl="0">
      <w:lvlJc w:val="left"/>
      <w:lvlText w:val="%1."/>
      <w:numFmt w:val="decimal"/>
      <w:start w:val="4"/>
    </w:lvl>
  </w:abstractNum>
  <w:abstractNum w:abstractNumId="47">
    <w:nsid w:val="1DBABF00"/>
    <w:multiLevelType w:val="hybridMultilevel"/>
    <w:lvl w:ilvl="0">
      <w:lvlJc w:val="left"/>
      <w:lvlText w:val="%1."/>
      <w:numFmt w:val="decimal"/>
      <w:start w:val="5"/>
    </w:lvl>
  </w:abstractNum>
  <w:abstractNum w:abstractNumId="48">
    <w:nsid w:val="4AD084E9"/>
    <w:multiLevelType w:val="hybridMultilevel"/>
    <w:lvl w:ilvl="0">
      <w:lvlJc w:val="left"/>
      <w:lvlText w:val="%1."/>
      <w:numFmt w:val="decimal"/>
      <w:start w:val="6"/>
    </w:lvl>
  </w:abstractNum>
  <w:abstractNum w:abstractNumId="49">
    <w:nsid w:val="1F48EAA1"/>
    <w:multiLevelType w:val="hybridMultilevel"/>
    <w:lvl w:ilvl="0">
      <w:lvlJc w:val="left"/>
      <w:lvlText w:val="%1."/>
      <w:numFmt w:val="decimal"/>
      <w:start w:val="8"/>
    </w:lvl>
  </w:abstractNum>
  <w:abstractNum w:abstractNumId="50">
    <w:nsid w:val="1381823A"/>
    <w:multiLevelType w:val="hybridMultilevel"/>
    <w:lvl w:ilvl="0">
      <w:lvlJc w:val="left"/>
      <w:lvlText w:val="%1."/>
      <w:numFmt w:val="decimal"/>
      <w:start w:val="9"/>
    </w:lvl>
  </w:abstractNum>
  <w:abstractNum w:abstractNumId="51">
    <w:nsid w:val="5DB70AE5"/>
    <w:multiLevelType w:val="hybridMultilevel"/>
    <w:lvl w:ilvl="0">
      <w:lvlJc w:val="left"/>
      <w:lvlText w:val="(%1)"/>
      <w:numFmt w:val="lowerLetter"/>
      <w:start w:val="2"/>
    </w:lvl>
  </w:abstractNum>
  <w:abstractNum w:abstractNumId="52">
    <w:nsid w:val="100F8FCA"/>
    <w:multiLevelType w:val="hybridMultilevel"/>
    <w:lvl w:ilvl="0">
      <w:lvlJc w:val="left"/>
      <w:lvlText w:val="(%1)"/>
      <w:numFmt w:val="lowerLetter"/>
      <w:start w:val="1"/>
    </w:lvl>
  </w:abstractNum>
  <w:abstractNum w:abstractNumId="53">
    <w:nsid w:val="6590700B"/>
    <w:multiLevelType w:val="hybridMultilevel"/>
    <w:lvl w:ilvl="0">
      <w:lvlJc w:val="left"/>
      <w:lvlText w:val="%1."/>
      <w:numFmt w:val="decimal"/>
      <w:start w:val="10"/>
    </w:lvl>
  </w:abstractNum>
  <w:abstractNum w:abstractNumId="54">
    <w:nsid w:val="15014ACB"/>
    <w:multiLevelType w:val="hybridMultilevel"/>
    <w:lvl w:ilvl="0">
      <w:lvlJc w:val="left"/>
      <w:lvlText w:val="%1."/>
      <w:numFmt w:val="decimal"/>
      <w:start w:val="11"/>
    </w:lvl>
  </w:abstractNum>
  <w:abstractNum w:abstractNumId="55">
    <w:nsid w:val="5F5E7FD0"/>
    <w:multiLevelType w:val="hybridMultilevel"/>
    <w:lvl w:ilvl="0">
      <w:lvlJc w:val="left"/>
      <w:lvlText w:val="%1."/>
      <w:numFmt w:val="decimal"/>
      <w:start w:val="12"/>
    </w:lvl>
  </w:abstractNum>
  <w:abstractNum w:abstractNumId="56">
    <w:nsid w:val="98A3148"/>
    <w:multiLevelType w:val="hybridMultilevel"/>
    <w:lvl w:ilvl="0">
      <w:lvlJc w:val="left"/>
      <w:lvlText w:val="%1."/>
      <w:numFmt w:val="decimal"/>
      <w:start w:val="14"/>
    </w:lvl>
  </w:abstractNum>
  <w:abstractNum w:abstractNumId="57">
    <w:nsid w:val="799D0247"/>
    <w:multiLevelType w:val="hybridMultilevel"/>
    <w:lvl w:ilvl="0">
      <w:lvlJc w:val="left"/>
      <w:lvlText w:val="(%1)"/>
      <w:numFmt w:val="lowerLetter"/>
      <w:start w:val="1"/>
    </w:lvl>
  </w:abstractNum>
  <w:abstractNum w:abstractNumId="58">
    <w:nsid w:val="6B94764"/>
    <w:multiLevelType w:val="hybridMultilevel"/>
    <w:lvl w:ilvl="0">
      <w:lvlJc w:val="left"/>
      <w:lvlText w:val="(%1)"/>
      <w:numFmt w:val="lowerLetter"/>
      <w:start w:val="1"/>
    </w:lvl>
  </w:abstractNum>
  <w:abstractNum w:abstractNumId="59">
    <w:nsid w:val="42C296BD"/>
    <w:multiLevelType w:val="hybridMultilevel"/>
    <w:lvl w:ilvl="0">
      <w:lvlJc w:val="left"/>
      <w:lvlText w:val="(%1)"/>
      <w:numFmt w:val="lowerLetter"/>
      <w:start w:val="4"/>
    </w:lvl>
  </w:abstractNum>
  <w:abstractNum w:abstractNumId="60">
    <w:nsid w:val="168E121F"/>
    <w:multiLevelType w:val="hybridMultilevel"/>
    <w:lvl w:ilvl="0">
      <w:lvlJc w:val="left"/>
      <w:lvlText w:val="%1."/>
      <w:numFmt w:val="decimal"/>
      <w:start w:val="17"/>
    </w:lvl>
  </w:abstractNum>
  <w:abstractNum w:abstractNumId="61">
    <w:nsid w:val="1EBA5D23"/>
    <w:multiLevelType w:val="hybridMultilevel"/>
    <w:lvl w:ilvl="0">
      <w:lvlJc w:val="left"/>
      <w:lvlText w:val="(%1)"/>
      <w:numFmt w:val="lowerLetter"/>
      <w:start w:val="2"/>
    </w:lvl>
  </w:abstractNum>
  <w:abstractNum w:abstractNumId="62">
    <w:nsid w:val="661E3F1E"/>
    <w:multiLevelType w:val="hybridMultilevel"/>
    <w:lvl w:ilvl="0">
      <w:lvlJc w:val="left"/>
      <w:lvlText w:val="(%1)"/>
      <w:numFmt w:val="lowerRoman"/>
      <w:start w:val="1"/>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2"/>
    </w:lvl>
    <w:lvl w:ilvl="1">
      <w:lvlJc w:val="left"/>
      <w:lvlText w:val="(%2)"/>
      <w:numFmt w:val="upperLetter"/>
      <w:start w:val="1"/>
    </w:lvl>
  </w:abstractNum>
  <w:abstractNum w:abstractNumId="65">
    <w:nsid w:val="7BD3EE7B"/>
    <w:multiLevelType w:val="hybridMultilevel"/>
    <w:lvl w:ilvl="0">
      <w:lvlJc w:val="left"/>
      <w:lvlText w:val="(%1)"/>
      <w:numFmt w:val="upperLetter"/>
      <w:start w:val="24"/>
    </w:lvl>
  </w:abstractNum>
  <w:abstractNum w:abstractNumId="66">
    <w:nsid w:val="51D9C564"/>
    <w:multiLevelType w:val="hybridMultilevel"/>
    <w:lvl w:ilvl="0">
      <w:lvlJc w:val="left"/>
      <w:lvlText w:val="%1)"/>
      <w:numFmt w:val="lowerLetter"/>
      <w:start w:val="4"/>
    </w:lvl>
    <w:lvl w:ilvl="1">
      <w:lvlJc w:val="left"/>
      <w:lvlText w:val="%2."/>
      <w:numFmt w:val="lowerRoman"/>
      <w:start w:val="1"/>
    </w:lvl>
  </w:abstractNum>
  <w:abstractNum w:abstractNumId="67">
    <w:nsid w:val="613EFDC5"/>
    <w:multiLevelType w:val="hybridMultilevel"/>
    <w:lvl w:ilvl="0">
      <w:lvlJc w:val="left"/>
      <w:lvlText w:val="%1."/>
      <w:numFmt w:val="lowerRoman"/>
      <w:start w:val="3"/>
    </w:lvl>
  </w:abstractNum>
  <w:abstractNum w:abstractNumId="68">
    <w:nsid w:val="BF72B14"/>
    <w:multiLevelType w:val="hybridMultilevel"/>
    <w:lvl w:ilvl="0">
      <w:lvlJc w:val="left"/>
      <w:lvlText w:val="%1"/>
      <w:numFmt w:val="lowerLetter"/>
      <w:start w:val="1"/>
    </w:lvl>
    <w:lvl w:ilvl="1">
      <w:lvlJc w:val="left"/>
      <w:lvlText w:val="%2."/>
      <w:numFmt w:val="lowerRoman"/>
      <w:start w:val="6"/>
    </w:lvl>
  </w:abstractNum>
  <w:abstractNum w:abstractNumId="69">
    <w:nsid w:val="11447B73"/>
    <w:multiLevelType w:val="hybridMultilevel"/>
    <w:lvl w:ilvl="0">
      <w:lvlJc w:val="left"/>
      <w:lvlText w:val="%1)"/>
      <w:numFmt w:val="lowerLetter"/>
      <w:start w:val="5"/>
    </w:lvl>
    <w:lvl w:ilvl="1">
      <w:lvlJc w:val="left"/>
      <w:lvlText w:val="%2"/>
      <w:numFmt w:val="lowerRoman"/>
      <w:start w:val="1"/>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lowerLetter"/>
      <w:start w:val="2"/>
    </w:lvl>
  </w:abstractNum>
  <w:abstractNum w:abstractNumId="72">
    <w:nsid w:val="8F2B15E"/>
    <w:multiLevelType w:val="hybridMultilevel"/>
    <w:lvl w:ilvl="0">
      <w:lvlJc w:val="left"/>
      <w:lvlText w:val="%1)"/>
      <w:numFmt w:val="lowerLetter"/>
      <w:start w:val="6"/>
    </w:lvl>
    <w:lvl w:ilvl="1">
      <w:lvlJc w:val="left"/>
      <w:lvlText w:val="(%2)"/>
      <w:numFmt w:val="upperLetter"/>
      <w:start w:val="2"/>
    </w:lvl>
    <w:lvl w:ilvl="2">
      <w:lvlJc w:val="left"/>
      <w:lvlText w:val="%3."/>
      <w:numFmt w:val="lowerRoman"/>
      <w:start w:val="1"/>
    </w:lvl>
  </w:abstractNum>
  <w:abstractNum w:abstractNumId="73">
    <w:nsid w:val="1A32234B"/>
    <w:multiLevelType w:val="hybridMultilevel"/>
    <w:lvl w:ilvl="0">
      <w:lvlJc w:val="left"/>
      <w:lvlText w:val="%1)"/>
      <w:numFmt w:val="lowerLetter"/>
      <w:start w:val="1"/>
    </w:lvl>
    <w:lvl w:ilvl="1">
      <w:lvlJc w:val="left"/>
      <w:lvlText w:val="%2."/>
      <w:numFmt w:val="lowerRoman"/>
      <w:start w:val="1"/>
    </w:lvl>
  </w:abstractNum>
  <w:abstractNum w:abstractNumId="74">
    <w:nsid w:val="3B0FD379"/>
    <w:multiLevelType w:val="hybridMultilevel"/>
    <w:lvl w:ilvl="0">
      <w:lvlJc w:val="left"/>
      <w:lvlText w:val="%1."/>
      <w:numFmt w:val="lowerRoman"/>
      <w:start w:val="5"/>
    </w:lvl>
  </w:abstractNum>
  <w:abstractNum w:abstractNumId="75">
    <w:nsid w:val="68EB2F63"/>
    <w:multiLevelType w:val="hybridMultilevel"/>
    <w:lvl w:ilvl="0">
      <w:lvlJc w:val="left"/>
      <w:lvlText w:val="%1)"/>
      <w:numFmt w:val="lowerLetter"/>
      <w:start w:val="2"/>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1)"/>
      <w:numFmt w:val="lowerLetter"/>
      <w:start w:val="2"/>
    </w:lvl>
  </w:abstractNum>
  <w:abstractNum w:abstractNumId="78">
    <w:nsid w:val="6A5EE64"/>
    <w:multiLevelType w:val="hybridMultilevel"/>
    <w:lvl w:ilvl="0">
      <w:lvlJc w:val="left"/>
      <w:lvlText w:val="%1)"/>
      <w:numFmt w:val="lowerLetter"/>
      <w:start w:val="5"/>
    </w:lvl>
  </w:abstractNum>
  <w:abstractNum w:abstractNumId="79">
    <w:nsid w:val="14330624"/>
    <w:multiLevelType w:val="hybridMultilevel"/>
    <w:lvl w:ilvl="0">
      <w:lvlJc w:val="left"/>
      <w:lvlText w:val="%1)"/>
      <w:numFmt w:val="lowerLetter"/>
      <w:start w:val="11"/>
    </w:lvl>
  </w:abstractNum>
  <w:abstractNum w:abstractNumId="80">
    <w:nsid w:val="7FFFCA11"/>
    <w:multiLevelType w:val="hybridMultilevel"/>
    <w:lvl w:ilvl="0">
      <w:lvlJc w:val="left"/>
      <w:lvlText w:val="(%1)"/>
      <w:numFmt w:val="decimal"/>
      <w:start w:val="2"/>
    </w:lvl>
    <w:lvl w:ilvl="1">
      <w:lvlJc w:val="left"/>
      <w:lvlText w:val="["/>
      <w:numFmt w:val="bullet"/>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95" Type="http://schemas.openxmlformats.org/officeDocument/2006/relationships/hyperlink" Target="http://www.sec.gov/Archives/edgar/data/1680062/000119312517342650/d407541dex301.htm" TargetMode="External"/><Relationship Id="rId96" Type="http://schemas.openxmlformats.org/officeDocument/2006/relationships/hyperlink" Target="http://www.sec.gov/Archives/edgar/data/1680062/000119312517342650/d407541dex302.htm" TargetMode="External"/><Relationship Id="rId97" Type="http://schemas.openxmlformats.org/officeDocument/2006/relationships/hyperlink" Target="http://www.sec.gov/Archives/edgar/data/1680062/000119312517283955/d311227dex1010a.htm" TargetMode="External"/><Relationship Id="rId98" Type="http://schemas.openxmlformats.org/officeDocument/2006/relationships/hyperlink" Target="http://www.sec.gov/Archives/edgar/data/1680062/000119312517283955/d311227dex1010b.htm" TargetMode="External"/><Relationship Id="rId99" Type="http://schemas.openxmlformats.org/officeDocument/2006/relationships/hyperlink" Target="http://www.sec.gov/Archives/edgar/data/1680062/000119312517283955/d311227dex1010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2019-12-29T02:16:08Z</dcterms:created>
  <dcterms:modified xsi:type="dcterms:W3CDTF">2019-12-29T02:16:08Z</dcterms:modified>
</cp:coreProperties>
</file>